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oter3.xml" ContentType="application/vnd.openxmlformats-officedocument.wordprocessingml.footer+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oter4.xml" ContentType="application/vnd.openxmlformats-officedocument.wordprocessingml.footer+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FC1" w:rsidRDefault="004B0FC1">
      <w:bookmarkStart w:id="0" w:name="_Toc15396476"/>
      <w:bookmarkStart w:id="1" w:name="_Toc15378442"/>
      <w:bookmarkStart w:id="2" w:name="_Toc15377426"/>
      <w:bookmarkStart w:id="3" w:name="_Toc15377194"/>
      <w:bookmarkStart w:id="4" w:name="_Toc15396598"/>
    </w:p>
    <w:p w:rsidR="004B0FC1" w:rsidRDefault="004B0FC1">
      <w:pPr>
        <w:pStyle w:val="a5"/>
        <w:spacing w:before="93"/>
        <w:jc w:val="center"/>
        <w:rPr>
          <w:rFonts w:ascii="Times New Roman" w:eastAsia="方正小标宋简体"/>
          <w:kern w:val="2"/>
          <w:sz w:val="44"/>
          <w:szCs w:val="44"/>
        </w:rPr>
      </w:pPr>
    </w:p>
    <w:p w:rsidR="004B0FC1" w:rsidRDefault="004B0FC1">
      <w:pPr>
        <w:pStyle w:val="a5"/>
        <w:spacing w:before="93"/>
        <w:jc w:val="center"/>
        <w:rPr>
          <w:rFonts w:ascii="Times New Roman" w:eastAsia="方正小标宋简体"/>
          <w:kern w:val="2"/>
          <w:sz w:val="44"/>
          <w:szCs w:val="44"/>
        </w:rPr>
      </w:pPr>
    </w:p>
    <w:p w:rsidR="004B0FC1" w:rsidRDefault="004B0FC1">
      <w:pPr>
        <w:pStyle w:val="a5"/>
        <w:spacing w:before="93"/>
        <w:jc w:val="center"/>
        <w:rPr>
          <w:rFonts w:ascii="Times New Roman" w:eastAsia="方正小标宋简体"/>
          <w:kern w:val="2"/>
          <w:sz w:val="44"/>
          <w:szCs w:val="44"/>
        </w:rPr>
      </w:pPr>
    </w:p>
    <w:p w:rsidR="004B0FC1" w:rsidRDefault="004B0FC1">
      <w:pPr>
        <w:pStyle w:val="a5"/>
        <w:spacing w:before="93"/>
        <w:jc w:val="center"/>
        <w:rPr>
          <w:rFonts w:ascii="Times New Roman" w:eastAsia="方正小标宋简体"/>
          <w:kern w:val="2"/>
          <w:sz w:val="44"/>
          <w:szCs w:val="44"/>
        </w:rPr>
      </w:pPr>
    </w:p>
    <w:p w:rsidR="004B0FC1" w:rsidRDefault="00A976D9">
      <w:pPr>
        <w:pStyle w:val="a5"/>
        <w:jc w:val="center"/>
        <w:rPr>
          <w:rFonts w:ascii="Times New Roman" w:eastAsia="方正小标宋简体" w:hAnsi="Times New Roman" w:cs="Times New Roman"/>
          <w:color w:val="auto"/>
          <w:kern w:val="2"/>
          <w:sz w:val="44"/>
          <w:szCs w:val="44"/>
          <w:lang w:eastAsia="zh-CN"/>
        </w:rPr>
      </w:pPr>
      <w:r>
        <w:rPr>
          <w:rFonts w:ascii="Times New Roman" w:eastAsia="方正小标宋简体" w:hint="eastAsia"/>
          <w:kern w:val="2"/>
          <w:sz w:val="44"/>
          <w:szCs w:val="44"/>
          <w:lang w:eastAsia="zh-CN"/>
        </w:rPr>
        <w:t>2</w:t>
      </w:r>
      <w:r>
        <w:rPr>
          <w:rFonts w:ascii="Times New Roman" w:eastAsia="方正小标宋简体" w:cs="Times New Roman" w:hint="eastAsia"/>
          <w:color w:val="auto"/>
          <w:kern w:val="2"/>
          <w:sz w:val="44"/>
          <w:szCs w:val="44"/>
          <w:lang w:eastAsia="zh-CN"/>
        </w:rPr>
        <w:t>025</w:t>
      </w:r>
      <w:r>
        <w:rPr>
          <w:rFonts w:ascii="Times New Roman" w:eastAsia="方正小标宋简体" w:cs="Times New Roman" w:hint="eastAsia"/>
          <w:color w:val="auto"/>
          <w:kern w:val="2"/>
          <w:sz w:val="44"/>
          <w:szCs w:val="44"/>
          <w:lang w:eastAsia="zh-CN"/>
        </w:rPr>
        <w:t>年度</w:t>
      </w:r>
      <w:r>
        <w:rPr>
          <w:rFonts w:ascii="Times New Roman" w:eastAsia="方正小标宋简体" w:hAnsi="Times New Roman" w:cs="Times New Roman" w:hint="eastAsia"/>
          <w:color w:val="auto"/>
          <w:kern w:val="2"/>
          <w:sz w:val="44"/>
          <w:szCs w:val="44"/>
          <w:lang w:eastAsia="zh-CN"/>
        </w:rPr>
        <w:t>四川省</w:t>
      </w:r>
      <w:bookmarkStart w:id="5" w:name="_Toc15306268"/>
      <w:r>
        <w:rPr>
          <w:rFonts w:ascii="Times New Roman" w:eastAsia="方正小标宋简体" w:hAnsi="Times New Roman" w:cs="Times New Roman" w:hint="eastAsia"/>
          <w:color w:val="auto"/>
          <w:kern w:val="2"/>
          <w:sz w:val="44"/>
          <w:szCs w:val="44"/>
          <w:lang w:eastAsia="zh-CN"/>
        </w:rPr>
        <w:t>攀枝花市市场监督管理局部门决算</w:t>
      </w:r>
      <w:bookmarkEnd w:id="5"/>
    </w:p>
    <w:p w:rsidR="004B0FC1" w:rsidRDefault="004B0FC1">
      <w:pPr>
        <w:pStyle w:val="a5"/>
        <w:spacing w:before="93"/>
        <w:jc w:val="center"/>
        <w:rPr>
          <w:rFonts w:ascii="Times New Roman" w:eastAsia="方正小标宋简体"/>
          <w:kern w:val="2"/>
          <w:sz w:val="44"/>
          <w:szCs w:val="44"/>
          <w:lang w:eastAsia="zh-CN"/>
        </w:rPr>
      </w:pPr>
    </w:p>
    <w:bookmarkEnd w:id="0"/>
    <w:bookmarkEnd w:id="1"/>
    <w:bookmarkEnd w:id="2"/>
    <w:bookmarkEnd w:id="3"/>
    <w:bookmarkEnd w:id="4"/>
    <w:p w:rsidR="004B0FC1" w:rsidRDefault="004B0FC1">
      <w:pPr>
        <w:spacing w:before="156" w:line="360" w:lineRule="auto"/>
        <w:ind w:left="4006"/>
        <w:rPr>
          <w:rFonts w:ascii="黑体" w:eastAsia="黑体" w:hAnsi="黑体" w:cs="黑体"/>
          <w:sz w:val="48"/>
          <w:szCs w:val="48"/>
          <w:lang w:eastAsia="zh-CN"/>
        </w:rPr>
      </w:pPr>
    </w:p>
    <w:p w:rsidR="004B0FC1" w:rsidRDefault="004B0FC1">
      <w:pPr>
        <w:spacing w:before="156" w:line="360" w:lineRule="auto"/>
        <w:ind w:left="4006"/>
        <w:rPr>
          <w:rFonts w:ascii="黑体" w:eastAsia="黑体" w:hAnsi="黑体" w:cs="黑体"/>
          <w:sz w:val="48"/>
          <w:szCs w:val="48"/>
          <w:lang w:eastAsia="zh-CN"/>
        </w:rPr>
      </w:pPr>
    </w:p>
    <w:p w:rsidR="004B0FC1" w:rsidRDefault="004B0FC1">
      <w:pPr>
        <w:spacing w:before="156" w:line="360" w:lineRule="auto"/>
        <w:ind w:left="4006"/>
        <w:rPr>
          <w:rFonts w:ascii="黑体" w:eastAsia="黑体" w:hAnsi="黑体" w:cs="黑体"/>
          <w:sz w:val="48"/>
          <w:szCs w:val="48"/>
          <w:lang w:eastAsia="zh-CN"/>
        </w:rPr>
      </w:pPr>
    </w:p>
    <w:p w:rsidR="004B0FC1" w:rsidRDefault="004B0FC1">
      <w:pPr>
        <w:spacing w:before="156" w:line="360" w:lineRule="auto"/>
        <w:ind w:left="4006"/>
        <w:rPr>
          <w:rFonts w:ascii="黑体" w:eastAsia="黑体" w:hAnsi="黑体" w:cs="黑体"/>
          <w:sz w:val="48"/>
          <w:szCs w:val="48"/>
          <w:lang w:eastAsia="zh-CN"/>
        </w:rPr>
      </w:pPr>
    </w:p>
    <w:p w:rsidR="004B0FC1" w:rsidRDefault="004B0FC1">
      <w:pPr>
        <w:spacing w:before="156" w:line="360" w:lineRule="auto"/>
        <w:ind w:left="4006"/>
        <w:rPr>
          <w:rFonts w:ascii="黑体" w:eastAsia="黑体" w:hAnsi="黑体" w:cs="黑体"/>
          <w:sz w:val="48"/>
          <w:szCs w:val="48"/>
          <w:lang w:eastAsia="zh-CN"/>
        </w:rPr>
      </w:pPr>
    </w:p>
    <w:p w:rsidR="004B0FC1" w:rsidRDefault="004B0FC1">
      <w:pPr>
        <w:spacing w:before="156" w:line="360" w:lineRule="auto"/>
        <w:ind w:left="4006"/>
        <w:rPr>
          <w:rFonts w:ascii="黑体" w:eastAsia="黑体" w:hAnsi="黑体" w:cs="黑体"/>
          <w:sz w:val="48"/>
          <w:szCs w:val="48"/>
          <w:lang w:eastAsia="zh-CN"/>
        </w:rPr>
      </w:pPr>
    </w:p>
    <w:p w:rsidR="004B0FC1" w:rsidRDefault="004B0FC1">
      <w:pPr>
        <w:spacing w:before="156" w:line="360" w:lineRule="auto"/>
        <w:ind w:left="4006"/>
        <w:rPr>
          <w:rFonts w:ascii="黑体" w:eastAsia="黑体" w:hAnsi="黑体" w:cs="黑体"/>
          <w:sz w:val="48"/>
          <w:szCs w:val="48"/>
          <w:lang w:eastAsia="zh-CN"/>
        </w:rPr>
      </w:pPr>
    </w:p>
    <w:p w:rsidR="004B0FC1" w:rsidRDefault="004B0FC1">
      <w:pPr>
        <w:spacing w:before="156" w:line="360" w:lineRule="auto"/>
        <w:ind w:left="4006"/>
        <w:rPr>
          <w:rFonts w:ascii="黑体" w:eastAsia="黑体" w:hAnsi="黑体" w:cs="黑体"/>
          <w:sz w:val="48"/>
          <w:szCs w:val="48"/>
          <w:lang w:eastAsia="zh-CN"/>
        </w:rPr>
      </w:pPr>
    </w:p>
    <w:p w:rsidR="004B0FC1" w:rsidRDefault="004B0FC1">
      <w:pPr>
        <w:pStyle w:val="a0"/>
        <w:rPr>
          <w:lang w:eastAsia="zh-CN"/>
        </w:rPr>
      </w:pPr>
    </w:p>
    <w:p w:rsidR="004B0FC1" w:rsidRDefault="00A976D9">
      <w:pPr>
        <w:jc w:val="center"/>
        <w:rPr>
          <w:rFonts w:ascii="Times New Roman" w:eastAsia="黑体" w:hAnsi="Times New Roman"/>
          <w:color w:val="auto"/>
          <w:sz w:val="48"/>
          <w:szCs w:val="48"/>
        </w:rPr>
      </w:pPr>
      <w:r>
        <w:rPr>
          <w:rFonts w:ascii="Times New Roman" w:eastAsia="黑体" w:hAnsi="Times New Roman" w:hint="eastAsia"/>
          <w:color w:val="auto"/>
          <w:sz w:val="48"/>
          <w:szCs w:val="48"/>
        </w:rPr>
        <w:lastRenderedPageBreak/>
        <w:t>目录</w:t>
      </w:r>
    </w:p>
    <w:p w:rsidR="004B0FC1" w:rsidRDefault="004B0FC1">
      <w:pPr>
        <w:pStyle w:val="a0"/>
        <w:rPr>
          <w:rFonts w:ascii="黑体" w:eastAsia="黑体" w:hAnsi="黑体" w:cs="黑体"/>
          <w:sz w:val="48"/>
          <w:szCs w:val="48"/>
        </w:rPr>
      </w:pPr>
    </w:p>
    <w:p w:rsidR="004B0FC1" w:rsidRDefault="00A976D9">
      <w:pPr>
        <w:pStyle w:val="10"/>
        <w:rPr>
          <w:rFonts w:ascii="Times New Roman" w:eastAsia="仿宋_GB2312" w:hAnsi="Times New Roman" w:cs="仿宋_GB2312"/>
          <w:color w:val="auto"/>
          <w:sz w:val="32"/>
          <w:szCs w:val="32"/>
        </w:rPr>
      </w:pPr>
      <w:r>
        <w:rPr>
          <w:rFonts w:ascii="Times New Roman" w:eastAsia="仿宋_GB2312" w:hAnsi="Times New Roman" w:cs="仿宋_GB2312" w:hint="eastAsia"/>
          <w:color w:val="auto"/>
          <w:sz w:val="32"/>
          <w:szCs w:val="32"/>
        </w:rPr>
        <w:t>公开时间：</w:t>
      </w:r>
      <w:r>
        <w:rPr>
          <w:rFonts w:ascii="Times New Roman" w:eastAsia="仿宋_GB2312" w:hAnsi="Times New Roman" w:cs="仿宋_GB2312" w:hint="eastAsia"/>
          <w:color w:val="auto"/>
          <w:sz w:val="32"/>
          <w:szCs w:val="32"/>
        </w:rPr>
        <w:t>20</w:t>
      </w:r>
      <w:r>
        <w:rPr>
          <w:rFonts w:ascii="Times New Roman" w:eastAsia="仿宋_GB2312" w:hAnsi="Times New Roman" w:cs="仿宋_GB2312" w:hint="eastAsia"/>
          <w:color w:val="auto"/>
          <w:sz w:val="32"/>
          <w:szCs w:val="32"/>
          <w:lang w:eastAsia="zh-CN"/>
        </w:rPr>
        <w:t>26</w:t>
      </w:r>
      <w:r>
        <w:rPr>
          <w:rFonts w:ascii="Times New Roman" w:eastAsia="仿宋_GB2312" w:hAnsi="Times New Roman" w:cs="仿宋_GB2312" w:hint="eastAsia"/>
          <w:color w:val="auto"/>
          <w:sz w:val="32"/>
          <w:szCs w:val="32"/>
        </w:rPr>
        <w:t>年</w:t>
      </w:r>
      <w:r>
        <w:rPr>
          <w:rFonts w:ascii="Times New Roman" w:eastAsia="仿宋_GB2312" w:hAnsi="Times New Roman" w:cs="仿宋_GB2312" w:hint="eastAsia"/>
          <w:color w:val="auto"/>
          <w:sz w:val="32"/>
          <w:szCs w:val="32"/>
          <w:lang w:eastAsia="zh-CN"/>
        </w:rPr>
        <w:t xml:space="preserve"> 9 </w:t>
      </w:r>
      <w:r>
        <w:rPr>
          <w:rFonts w:ascii="Times New Roman" w:eastAsia="仿宋_GB2312" w:hAnsi="Times New Roman" w:cs="仿宋_GB2312" w:hint="eastAsia"/>
          <w:color w:val="auto"/>
          <w:sz w:val="32"/>
          <w:szCs w:val="32"/>
        </w:rPr>
        <w:t>月</w:t>
      </w:r>
      <w:r>
        <w:rPr>
          <w:rFonts w:ascii="Times New Roman" w:eastAsia="仿宋_GB2312" w:hAnsi="Times New Roman" w:cs="仿宋_GB2312" w:hint="eastAsia"/>
          <w:color w:val="auto"/>
          <w:sz w:val="32"/>
          <w:szCs w:val="32"/>
          <w:lang w:eastAsia="zh-CN"/>
        </w:rPr>
        <w:t xml:space="preserve"> 15 </w:t>
      </w:r>
      <w:r>
        <w:rPr>
          <w:rFonts w:ascii="Times New Roman" w:eastAsia="仿宋_GB2312" w:hAnsi="Times New Roman" w:cs="仿宋_GB2312" w:hint="eastAsia"/>
          <w:color w:val="auto"/>
          <w:sz w:val="32"/>
          <w:szCs w:val="32"/>
        </w:rPr>
        <w:t>日</w:t>
      </w:r>
    </w:p>
    <w:sdt>
      <w:sdtPr>
        <w:rPr>
          <w:rFonts w:ascii="宋体" w:eastAsia="宋体" w:hAnsi="宋体" w:cs="仿宋"/>
          <w:sz w:val="31"/>
          <w:szCs w:val="31"/>
        </w:rPr>
        <w:id w:val="147474100"/>
        <w:docPartObj>
          <w:docPartGallery w:val="Table of Contents"/>
          <w:docPartUnique/>
        </w:docPartObj>
      </w:sdtPr>
      <w:sdtEndPr/>
      <w:sdtContent>
        <w:p w:rsidR="004B0FC1" w:rsidRDefault="004B0FC1">
          <w:pPr>
            <w:jc w:val="center"/>
          </w:pPr>
        </w:p>
        <w:p w:rsidR="004B0FC1" w:rsidRDefault="00A976D9">
          <w:pPr>
            <w:pStyle w:val="10"/>
            <w:tabs>
              <w:tab w:val="clear" w:pos="8296"/>
              <w:tab w:val="right" w:leader="dot" w:pos="8336"/>
            </w:tabs>
            <w:rPr>
              <w:rFonts w:ascii="Times New Roman" w:eastAsia="黑体" w:hAnsi="Times New Roman" w:cs="黑体"/>
              <w:snapToGrid/>
              <w:color w:val="auto"/>
              <w:kern w:val="2"/>
              <w:sz w:val="32"/>
              <w:szCs w:val="32"/>
              <w:lang w:eastAsia="zh-CN"/>
            </w:rPr>
          </w:pPr>
          <w:r>
            <w:fldChar w:fldCharType="begin"/>
          </w:r>
          <w:r>
            <w:instrText xml:space="preserve">TOC \o "1-2" \h \u </w:instrText>
          </w:r>
          <w:r>
            <w:fldChar w:fldCharType="separate"/>
          </w:r>
          <w:hyperlink w:anchor="_Toc2104" w:history="1">
            <w:r>
              <w:rPr>
                <w:rFonts w:ascii="Times New Roman" w:eastAsia="黑体" w:hAnsi="Times New Roman" w:cs="黑体" w:hint="eastAsia"/>
                <w:snapToGrid/>
                <w:color w:val="auto"/>
                <w:kern w:val="2"/>
                <w:sz w:val="32"/>
                <w:szCs w:val="32"/>
                <w:lang w:eastAsia="zh-CN"/>
              </w:rPr>
              <w:t>第一部分</w:t>
            </w:r>
            <w:r>
              <w:rPr>
                <w:rFonts w:ascii="Times New Roman" w:eastAsia="黑体" w:hAnsi="Times New Roman" w:cs="黑体" w:hint="eastAsia"/>
                <w:snapToGrid/>
                <w:color w:val="auto"/>
                <w:kern w:val="2"/>
                <w:sz w:val="32"/>
                <w:szCs w:val="32"/>
                <w:lang w:eastAsia="zh-CN"/>
              </w:rPr>
              <w:t xml:space="preserve"> </w:t>
            </w:r>
            <w:r>
              <w:rPr>
                <w:rFonts w:ascii="Times New Roman" w:eastAsia="黑体" w:hAnsi="Times New Roman" w:cs="黑体" w:hint="eastAsia"/>
                <w:snapToGrid/>
                <w:color w:val="auto"/>
                <w:kern w:val="2"/>
                <w:sz w:val="32"/>
                <w:szCs w:val="32"/>
                <w:lang w:eastAsia="zh-CN"/>
              </w:rPr>
              <w:t>部门概况</w:t>
            </w:r>
            <w:r>
              <w:rPr>
                <w:rFonts w:ascii="Times New Roman" w:eastAsia="黑体" w:hAnsi="Times New Roman" w:cs="黑体" w:hint="eastAsia"/>
                <w:snapToGrid/>
                <w:color w:val="auto"/>
                <w:kern w:val="2"/>
                <w:sz w:val="32"/>
                <w:szCs w:val="32"/>
                <w:lang w:eastAsia="zh-CN"/>
              </w:rPr>
              <w:tab/>
            </w:r>
            <w:r>
              <w:rPr>
                <w:rFonts w:ascii="Times New Roman" w:eastAsia="黑体" w:hAnsi="Times New Roman" w:cs="黑体" w:hint="eastAsia"/>
                <w:snapToGrid/>
                <w:color w:val="auto"/>
                <w:kern w:val="2"/>
                <w:sz w:val="32"/>
                <w:szCs w:val="32"/>
                <w:lang w:eastAsia="zh-CN"/>
              </w:rPr>
              <w:fldChar w:fldCharType="begin"/>
            </w:r>
            <w:r>
              <w:rPr>
                <w:rFonts w:ascii="Times New Roman" w:eastAsia="黑体" w:hAnsi="Times New Roman" w:cs="黑体" w:hint="eastAsia"/>
                <w:snapToGrid/>
                <w:color w:val="auto"/>
                <w:kern w:val="2"/>
                <w:sz w:val="32"/>
                <w:szCs w:val="32"/>
                <w:lang w:eastAsia="zh-CN"/>
              </w:rPr>
              <w:instrText xml:space="preserve"> PAGEREF _Toc2104 \h </w:instrText>
            </w:r>
            <w:r>
              <w:rPr>
                <w:rFonts w:ascii="Times New Roman" w:eastAsia="黑体" w:hAnsi="Times New Roman" w:cs="黑体" w:hint="eastAsia"/>
                <w:snapToGrid/>
                <w:color w:val="auto"/>
                <w:kern w:val="2"/>
                <w:sz w:val="32"/>
                <w:szCs w:val="32"/>
                <w:lang w:eastAsia="zh-CN"/>
              </w:rPr>
            </w:r>
            <w:r>
              <w:rPr>
                <w:rFonts w:ascii="Times New Roman" w:eastAsia="黑体" w:hAnsi="Times New Roman" w:cs="黑体" w:hint="eastAsia"/>
                <w:snapToGrid/>
                <w:color w:val="auto"/>
                <w:kern w:val="2"/>
                <w:sz w:val="32"/>
                <w:szCs w:val="32"/>
                <w:lang w:eastAsia="zh-CN"/>
              </w:rPr>
              <w:fldChar w:fldCharType="separate"/>
            </w:r>
            <w:r>
              <w:rPr>
                <w:rFonts w:ascii="Times New Roman" w:eastAsia="黑体" w:hAnsi="Times New Roman" w:cs="黑体" w:hint="eastAsia"/>
                <w:snapToGrid/>
                <w:color w:val="auto"/>
                <w:kern w:val="2"/>
                <w:sz w:val="32"/>
                <w:szCs w:val="32"/>
                <w:lang w:eastAsia="zh-CN"/>
              </w:rPr>
              <w:t>1</w:t>
            </w:r>
            <w:r>
              <w:rPr>
                <w:rFonts w:ascii="Times New Roman" w:eastAsia="黑体" w:hAnsi="Times New Roman" w:cs="黑体"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10871" w:history="1">
            <w:r w:rsidR="00A976D9">
              <w:rPr>
                <w:rFonts w:ascii="Times New Roman" w:eastAsia="仿宋_GB2312" w:hAnsi="Times New Roman" w:cs="仿宋_GB2312" w:hint="eastAsia"/>
                <w:snapToGrid/>
                <w:color w:val="auto"/>
                <w:kern w:val="2"/>
                <w:sz w:val="32"/>
                <w:szCs w:val="32"/>
                <w:lang w:eastAsia="zh-CN"/>
              </w:rPr>
              <w:t>一、部门职责</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_Toc10871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1</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22618" w:history="1">
            <w:r w:rsidR="00A976D9">
              <w:rPr>
                <w:rFonts w:ascii="Times New Roman" w:eastAsia="仿宋_GB2312" w:hAnsi="Times New Roman" w:cs="仿宋_GB2312" w:hint="eastAsia"/>
                <w:snapToGrid/>
                <w:color w:val="auto"/>
                <w:kern w:val="2"/>
                <w:sz w:val="32"/>
                <w:szCs w:val="32"/>
                <w:lang w:eastAsia="zh-CN"/>
              </w:rPr>
              <w:t>二、机构设置</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_Toc22618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1</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10"/>
            <w:widowControl w:val="0"/>
            <w:kinsoku/>
            <w:autoSpaceDE/>
            <w:autoSpaceDN/>
            <w:spacing w:before="0" w:line="560" w:lineRule="exact"/>
            <w:jc w:val="left"/>
            <w:textAlignment w:val="auto"/>
            <w:rPr>
              <w:rFonts w:ascii="Times New Roman" w:eastAsia="黑体" w:hAnsi="Times New Roman" w:cs="黑体"/>
              <w:snapToGrid/>
              <w:color w:val="auto"/>
              <w:kern w:val="2"/>
              <w:sz w:val="32"/>
              <w:szCs w:val="32"/>
              <w:lang w:eastAsia="zh-CN"/>
            </w:rPr>
          </w:pPr>
          <w:hyperlink w:anchor="_Toc12993" w:history="1">
            <w:r w:rsidR="00A976D9">
              <w:rPr>
                <w:rFonts w:ascii="Times New Roman" w:eastAsia="黑体" w:hAnsi="Times New Roman" w:cs="黑体" w:hint="eastAsia"/>
                <w:snapToGrid/>
                <w:color w:val="auto"/>
                <w:kern w:val="2"/>
                <w:sz w:val="32"/>
                <w:szCs w:val="32"/>
                <w:lang w:eastAsia="zh-CN"/>
              </w:rPr>
              <w:t>第二部分</w:t>
            </w:r>
            <w:r w:rsidR="00A976D9">
              <w:rPr>
                <w:rFonts w:ascii="Times New Roman" w:eastAsia="黑体" w:hAnsi="Times New Roman" w:cs="黑体" w:hint="eastAsia"/>
                <w:snapToGrid/>
                <w:color w:val="auto"/>
                <w:kern w:val="2"/>
                <w:sz w:val="32"/>
                <w:szCs w:val="32"/>
                <w:lang w:eastAsia="zh-CN"/>
              </w:rPr>
              <w:t xml:space="preserve"> 2025</w:t>
            </w:r>
            <w:r w:rsidR="00A976D9">
              <w:rPr>
                <w:rFonts w:ascii="Times New Roman" w:eastAsia="黑体" w:hAnsi="Times New Roman" w:cs="黑体" w:hint="eastAsia"/>
                <w:snapToGrid/>
                <w:color w:val="auto"/>
                <w:kern w:val="2"/>
                <w:sz w:val="32"/>
                <w:szCs w:val="32"/>
                <w:lang w:eastAsia="zh-CN"/>
              </w:rPr>
              <w:t>年度部门决算情况说明</w:t>
            </w:r>
            <w:r w:rsidR="00A976D9">
              <w:rPr>
                <w:rFonts w:ascii="Times New Roman" w:eastAsia="黑体" w:hAnsi="Times New Roman" w:cs="黑体" w:hint="eastAsia"/>
                <w:snapToGrid/>
                <w:color w:val="auto"/>
                <w:kern w:val="2"/>
                <w:sz w:val="32"/>
                <w:szCs w:val="32"/>
                <w:lang w:eastAsia="zh-CN"/>
              </w:rPr>
              <w:tab/>
            </w:r>
            <w:r w:rsidR="00A976D9">
              <w:rPr>
                <w:rFonts w:ascii="Times New Roman" w:eastAsia="黑体" w:hAnsi="Times New Roman" w:cs="黑体" w:hint="eastAsia"/>
                <w:snapToGrid/>
                <w:color w:val="auto"/>
                <w:kern w:val="2"/>
                <w:sz w:val="32"/>
                <w:szCs w:val="32"/>
                <w:lang w:eastAsia="zh-CN"/>
              </w:rPr>
              <w:fldChar w:fldCharType="begin"/>
            </w:r>
            <w:r w:rsidR="00A976D9">
              <w:rPr>
                <w:rFonts w:ascii="Times New Roman" w:eastAsia="黑体" w:hAnsi="Times New Roman" w:cs="黑体" w:hint="eastAsia"/>
                <w:snapToGrid/>
                <w:color w:val="auto"/>
                <w:kern w:val="2"/>
                <w:sz w:val="32"/>
                <w:szCs w:val="32"/>
                <w:lang w:eastAsia="zh-CN"/>
              </w:rPr>
              <w:instrText xml:space="preserve"> PAGEREF _Toc12993 \h </w:instrText>
            </w:r>
            <w:r w:rsidR="00A976D9">
              <w:rPr>
                <w:rFonts w:ascii="Times New Roman" w:eastAsia="黑体" w:hAnsi="Times New Roman" w:cs="黑体" w:hint="eastAsia"/>
                <w:snapToGrid/>
                <w:color w:val="auto"/>
                <w:kern w:val="2"/>
                <w:sz w:val="32"/>
                <w:szCs w:val="32"/>
                <w:lang w:eastAsia="zh-CN"/>
              </w:rPr>
            </w:r>
            <w:r w:rsidR="00A976D9">
              <w:rPr>
                <w:rFonts w:ascii="Times New Roman" w:eastAsia="黑体" w:hAnsi="Times New Roman" w:cs="黑体" w:hint="eastAsia"/>
                <w:snapToGrid/>
                <w:color w:val="auto"/>
                <w:kern w:val="2"/>
                <w:sz w:val="32"/>
                <w:szCs w:val="32"/>
                <w:lang w:eastAsia="zh-CN"/>
              </w:rPr>
              <w:fldChar w:fldCharType="separate"/>
            </w:r>
            <w:r w:rsidR="00A976D9">
              <w:rPr>
                <w:rFonts w:ascii="Times New Roman" w:eastAsia="黑体" w:hAnsi="Times New Roman" w:cs="黑体" w:hint="eastAsia"/>
                <w:snapToGrid/>
                <w:color w:val="auto"/>
                <w:kern w:val="2"/>
                <w:sz w:val="32"/>
                <w:szCs w:val="32"/>
                <w:lang w:eastAsia="zh-CN"/>
              </w:rPr>
              <w:t>5</w:t>
            </w:r>
            <w:r w:rsidR="00A976D9">
              <w:rPr>
                <w:rFonts w:ascii="Times New Roman" w:eastAsia="黑体" w:hAnsi="Times New Roman" w:cs="黑体"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20874" w:history="1">
            <w:r w:rsidR="00A976D9">
              <w:rPr>
                <w:rFonts w:ascii="Times New Roman" w:eastAsia="仿宋_GB2312" w:hAnsi="Times New Roman" w:cs="仿宋_GB2312" w:hint="eastAsia"/>
                <w:snapToGrid/>
                <w:color w:val="auto"/>
                <w:kern w:val="2"/>
                <w:sz w:val="32"/>
                <w:szCs w:val="32"/>
                <w:lang w:eastAsia="zh-CN"/>
              </w:rPr>
              <w:t>一、收入支出决算总体情况说明</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_Toc20874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5</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7333" w:history="1">
            <w:r w:rsidR="00A976D9">
              <w:rPr>
                <w:rFonts w:ascii="Times New Roman" w:eastAsia="仿宋_GB2312" w:hAnsi="Times New Roman" w:cs="仿宋_GB2312" w:hint="eastAsia"/>
                <w:snapToGrid/>
                <w:color w:val="auto"/>
                <w:kern w:val="2"/>
                <w:sz w:val="32"/>
                <w:szCs w:val="32"/>
                <w:lang w:eastAsia="zh-CN"/>
              </w:rPr>
              <w:t>二、收入决算情况说明</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_Toc7333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6</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28829" w:history="1">
            <w:r w:rsidR="00A976D9">
              <w:rPr>
                <w:rFonts w:ascii="Times New Roman" w:eastAsia="仿宋_GB2312" w:hAnsi="Times New Roman" w:cs="仿宋_GB2312" w:hint="eastAsia"/>
                <w:snapToGrid/>
                <w:color w:val="auto"/>
                <w:kern w:val="2"/>
                <w:sz w:val="32"/>
                <w:szCs w:val="32"/>
                <w:lang w:eastAsia="zh-CN"/>
              </w:rPr>
              <w:t>三、支出决算情况说明</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_Toc28829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6</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4550" w:history="1">
            <w:r w:rsidR="00A976D9">
              <w:rPr>
                <w:rFonts w:ascii="Times New Roman" w:eastAsia="仿宋_GB2312" w:hAnsi="Times New Roman" w:cs="仿宋_GB2312" w:hint="eastAsia"/>
                <w:snapToGrid/>
                <w:color w:val="auto"/>
                <w:kern w:val="2"/>
                <w:sz w:val="32"/>
                <w:szCs w:val="32"/>
                <w:lang w:eastAsia="zh-CN"/>
              </w:rPr>
              <w:t>四、财政拨款收入支出决算总体情况说明</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_Toc4550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7</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16851" w:history="1">
            <w:r w:rsidR="00A976D9">
              <w:rPr>
                <w:rFonts w:ascii="Times New Roman" w:eastAsia="仿宋_GB2312" w:hAnsi="Times New Roman" w:cs="仿宋_GB2312" w:hint="eastAsia"/>
                <w:snapToGrid/>
                <w:color w:val="auto"/>
                <w:kern w:val="2"/>
                <w:sz w:val="32"/>
                <w:szCs w:val="32"/>
                <w:lang w:eastAsia="zh-CN"/>
              </w:rPr>
              <w:t>五、一般公共预算财政拨款支出决算情况说明</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_Toc16851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8</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10405" w:history="1">
            <w:r w:rsidR="00A976D9">
              <w:rPr>
                <w:rFonts w:ascii="Times New Roman" w:eastAsia="仿宋_GB2312" w:hAnsi="Times New Roman" w:cs="仿宋_GB2312" w:hint="eastAsia"/>
                <w:snapToGrid/>
                <w:color w:val="auto"/>
                <w:kern w:val="2"/>
                <w:sz w:val="32"/>
                <w:szCs w:val="32"/>
                <w:lang w:eastAsia="zh-CN"/>
              </w:rPr>
              <w:t>六、一般公共预算财政拨款基本支出决算情况说明</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_Toc10405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11</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15248" w:history="1">
            <w:r w:rsidR="00A976D9">
              <w:rPr>
                <w:rFonts w:ascii="Times New Roman" w:eastAsia="仿宋_GB2312" w:hAnsi="Times New Roman" w:cs="仿宋_GB2312" w:hint="eastAsia"/>
                <w:snapToGrid/>
                <w:color w:val="auto"/>
                <w:kern w:val="2"/>
                <w:sz w:val="32"/>
                <w:szCs w:val="32"/>
                <w:lang w:eastAsia="zh-CN"/>
              </w:rPr>
              <w:t>七、财政拨款“三公”经费支出决算情况说明</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_Toc15248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12</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10155" w:history="1">
            <w:r w:rsidR="00A976D9">
              <w:rPr>
                <w:rFonts w:ascii="Times New Roman" w:eastAsia="仿宋_GB2312" w:hAnsi="Times New Roman" w:cs="仿宋_GB2312" w:hint="eastAsia"/>
                <w:snapToGrid/>
                <w:color w:val="auto"/>
                <w:kern w:val="2"/>
                <w:sz w:val="32"/>
                <w:szCs w:val="32"/>
                <w:lang w:eastAsia="zh-CN"/>
              </w:rPr>
              <w:t>八、政府性基金预算支出决算情况说明</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_Toc10155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14</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1521" w:history="1">
            <w:r w:rsidR="00A976D9">
              <w:rPr>
                <w:rFonts w:ascii="Times New Roman" w:eastAsia="仿宋_GB2312" w:hAnsi="Times New Roman" w:cs="仿宋_GB2312" w:hint="eastAsia"/>
                <w:snapToGrid/>
                <w:color w:val="auto"/>
                <w:kern w:val="2"/>
                <w:sz w:val="32"/>
                <w:szCs w:val="32"/>
                <w:lang w:eastAsia="zh-CN"/>
              </w:rPr>
              <w:t>九、国有资本经营预算支出决算情况说明</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_Toc1521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14</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14728" w:history="1">
            <w:r w:rsidR="00A976D9">
              <w:rPr>
                <w:rFonts w:ascii="Times New Roman" w:eastAsia="仿宋_GB2312" w:hAnsi="Times New Roman" w:cs="仿宋_GB2312" w:hint="eastAsia"/>
                <w:snapToGrid/>
                <w:color w:val="auto"/>
                <w:kern w:val="2"/>
                <w:sz w:val="32"/>
                <w:szCs w:val="32"/>
                <w:lang w:eastAsia="zh-CN"/>
              </w:rPr>
              <w:t>十、其他重要事项的情况说明</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_Toc14728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14</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10"/>
            <w:widowControl w:val="0"/>
            <w:kinsoku/>
            <w:autoSpaceDE/>
            <w:autoSpaceDN/>
            <w:spacing w:before="0" w:line="560" w:lineRule="exact"/>
            <w:jc w:val="left"/>
            <w:textAlignment w:val="auto"/>
            <w:rPr>
              <w:rFonts w:ascii="Times New Roman" w:eastAsia="黑体" w:hAnsi="Times New Roman" w:cs="黑体"/>
              <w:snapToGrid/>
              <w:color w:val="auto"/>
              <w:kern w:val="2"/>
              <w:sz w:val="32"/>
              <w:szCs w:val="32"/>
              <w:lang w:eastAsia="zh-CN"/>
            </w:rPr>
          </w:pPr>
          <w:hyperlink w:anchor="_Toc20730" w:history="1">
            <w:r w:rsidR="00A976D9">
              <w:rPr>
                <w:rFonts w:ascii="Times New Roman" w:eastAsia="黑体" w:hAnsi="Times New Roman" w:cs="黑体" w:hint="eastAsia"/>
                <w:snapToGrid/>
                <w:color w:val="auto"/>
                <w:kern w:val="2"/>
                <w:sz w:val="32"/>
                <w:szCs w:val="32"/>
              </w:rPr>
              <w:t>第三部分</w:t>
            </w:r>
            <w:r w:rsidR="00A976D9">
              <w:rPr>
                <w:rFonts w:ascii="Times New Roman" w:eastAsia="黑体" w:hAnsi="Times New Roman" w:cs="黑体" w:hint="eastAsia"/>
                <w:snapToGrid/>
                <w:color w:val="auto"/>
                <w:kern w:val="2"/>
                <w:sz w:val="32"/>
                <w:szCs w:val="32"/>
                <w:lang w:eastAsia="zh-CN"/>
              </w:rPr>
              <w:t xml:space="preserve"> </w:t>
            </w:r>
            <w:r w:rsidR="00A976D9">
              <w:rPr>
                <w:rFonts w:ascii="Times New Roman" w:eastAsia="黑体" w:hAnsi="Times New Roman" w:cs="黑体" w:hint="eastAsia"/>
                <w:snapToGrid/>
                <w:color w:val="auto"/>
                <w:kern w:val="2"/>
                <w:sz w:val="32"/>
                <w:szCs w:val="32"/>
                <w:lang w:eastAsia="zh-CN"/>
              </w:rPr>
              <w:t>名词解释</w:t>
            </w:r>
            <w:r w:rsidR="00A976D9">
              <w:rPr>
                <w:rFonts w:ascii="Times New Roman" w:eastAsia="黑体" w:hAnsi="Times New Roman" w:cs="黑体" w:hint="eastAsia"/>
                <w:snapToGrid/>
                <w:color w:val="auto"/>
                <w:kern w:val="2"/>
                <w:sz w:val="32"/>
                <w:szCs w:val="32"/>
                <w:lang w:eastAsia="zh-CN"/>
              </w:rPr>
              <w:tab/>
            </w:r>
            <w:r w:rsidR="00A976D9">
              <w:rPr>
                <w:rFonts w:ascii="Times New Roman" w:eastAsia="黑体" w:hAnsi="Times New Roman" w:cs="黑体" w:hint="eastAsia"/>
                <w:snapToGrid/>
                <w:color w:val="auto"/>
                <w:kern w:val="2"/>
                <w:sz w:val="32"/>
                <w:szCs w:val="32"/>
                <w:lang w:eastAsia="zh-CN"/>
              </w:rPr>
              <w:fldChar w:fldCharType="begin"/>
            </w:r>
            <w:r w:rsidR="00A976D9">
              <w:rPr>
                <w:rFonts w:ascii="Times New Roman" w:eastAsia="黑体" w:hAnsi="Times New Roman" w:cs="黑体" w:hint="eastAsia"/>
                <w:snapToGrid/>
                <w:color w:val="auto"/>
                <w:kern w:val="2"/>
                <w:sz w:val="32"/>
                <w:szCs w:val="32"/>
                <w:lang w:eastAsia="zh-CN"/>
              </w:rPr>
              <w:instrText xml:space="preserve"> PAGEREF _Toc20730 \h </w:instrText>
            </w:r>
            <w:r w:rsidR="00A976D9">
              <w:rPr>
                <w:rFonts w:ascii="Times New Roman" w:eastAsia="黑体" w:hAnsi="Times New Roman" w:cs="黑体" w:hint="eastAsia"/>
                <w:snapToGrid/>
                <w:color w:val="auto"/>
                <w:kern w:val="2"/>
                <w:sz w:val="32"/>
                <w:szCs w:val="32"/>
                <w:lang w:eastAsia="zh-CN"/>
              </w:rPr>
            </w:r>
            <w:r w:rsidR="00A976D9">
              <w:rPr>
                <w:rFonts w:ascii="Times New Roman" w:eastAsia="黑体" w:hAnsi="Times New Roman" w:cs="黑体" w:hint="eastAsia"/>
                <w:snapToGrid/>
                <w:color w:val="auto"/>
                <w:kern w:val="2"/>
                <w:sz w:val="32"/>
                <w:szCs w:val="32"/>
                <w:lang w:eastAsia="zh-CN"/>
              </w:rPr>
              <w:fldChar w:fldCharType="separate"/>
            </w:r>
            <w:r w:rsidR="00A976D9">
              <w:rPr>
                <w:rFonts w:ascii="Times New Roman" w:eastAsia="黑体" w:hAnsi="Times New Roman" w:cs="黑体" w:hint="eastAsia"/>
                <w:snapToGrid/>
                <w:color w:val="auto"/>
                <w:kern w:val="2"/>
                <w:sz w:val="32"/>
                <w:szCs w:val="32"/>
                <w:lang w:eastAsia="zh-CN"/>
              </w:rPr>
              <w:t>17</w:t>
            </w:r>
            <w:r w:rsidR="00A976D9">
              <w:rPr>
                <w:rFonts w:ascii="Times New Roman" w:eastAsia="黑体" w:hAnsi="Times New Roman" w:cs="黑体" w:hint="eastAsia"/>
                <w:snapToGrid/>
                <w:color w:val="auto"/>
                <w:kern w:val="2"/>
                <w:sz w:val="32"/>
                <w:szCs w:val="32"/>
                <w:lang w:eastAsia="zh-CN"/>
              </w:rPr>
              <w:fldChar w:fldCharType="end"/>
            </w:r>
          </w:hyperlink>
        </w:p>
        <w:p w:rsidR="004B0FC1" w:rsidRDefault="00573BFE">
          <w:pPr>
            <w:pStyle w:val="10"/>
            <w:widowControl w:val="0"/>
            <w:kinsoku/>
            <w:autoSpaceDE/>
            <w:autoSpaceDN/>
            <w:spacing w:before="0" w:line="560" w:lineRule="exact"/>
            <w:jc w:val="left"/>
            <w:textAlignment w:val="auto"/>
            <w:rPr>
              <w:rFonts w:ascii="Times New Roman" w:eastAsia="黑体" w:hAnsi="Times New Roman" w:cs="黑体"/>
              <w:snapToGrid/>
              <w:color w:val="auto"/>
              <w:kern w:val="2"/>
              <w:sz w:val="32"/>
              <w:szCs w:val="32"/>
              <w:lang w:eastAsia="zh-CN"/>
            </w:rPr>
          </w:pPr>
          <w:hyperlink w:anchor="_Toc23475" w:history="1">
            <w:r w:rsidR="00A976D9">
              <w:rPr>
                <w:rFonts w:ascii="Times New Roman" w:eastAsia="黑体" w:hAnsi="Times New Roman" w:cs="黑体" w:hint="eastAsia"/>
                <w:snapToGrid/>
                <w:color w:val="auto"/>
                <w:kern w:val="2"/>
                <w:sz w:val="32"/>
                <w:szCs w:val="32"/>
                <w:lang w:eastAsia="zh-CN"/>
              </w:rPr>
              <w:t>第四部分</w:t>
            </w:r>
            <w:r w:rsidR="00A976D9">
              <w:rPr>
                <w:rFonts w:ascii="Times New Roman" w:eastAsia="黑体" w:hAnsi="Times New Roman" w:cs="黑体" w:hint="eastAsia"/>
                <w:snapToGrid/>
                <w:color w:val="auto"/>
                <w:kern w:val="2"/>
                <w:sz w:val="32"/>
                <w:szCs w:val="32"/>
                <w:lang w:eastAsia="zh-CN"/>
              </w:rPr>
              <w:t xml:space="preserve"> </w:t>
            </w:r>
            <w:r w:rsidR="00A976D9">
              <w:rPr>
                <w:rFonts w:ascii="Times New Roman" w:eastAsia="黑体" w:hAnsi="Times New Roman" w:cs="黑体" w:hint="eastAsia"/>
                <w:snapToGrid/>
                <w:color w:val="auto"/>
                <w:kern w:val="2"/>
                <w:sz w:val="32"/>
                <w:szCs w:val="32"/>
                <w:lang w:eastAsia="zh-CN"/>
              </w:rPr>
              <w:t>附件</w:t>
            </w:r>
            <w:r w:rsidR="00A976D9">
              <w:rPr>
                <w:rFonts w:ascii="Times New Roman" w:eastAsia="黑体" w:hAnsi="Times New Roman" w:cs="黑体" w:hint="eastAsia"/>
                <w:snapToGrid/>
                <w:color w:val="auto"/>
                <w:kern w:val="2"/>
                <w:sz w:val="32"/>
                <w:szCs w:val="32"/>
                <w:lang w:eastAsia="zh-CN"/>
              </w:rPr>
              <w:tab/>
            </w:r>
            <w:r w:rsidR="00A976D9">
              <w:rPr>
                <w:rFonts w:ascii="Times New Roman" w:eastAsia="黑体" w:hAnsi="Times New Roman" w:cs="黑体" w:hint="eastAsia"/>
                <w:snapToGrid/>
                <w:color w:val="auto"/>
                <w:kern w:val="2"/>
                <w:sz w:val="32"/>
                <w:szCs w:val="32"/>
                <w:lang w:eastAsia="zh-CN"/>
              </w:rPr>
              <w:fldChar w:fldCharType="begin"/>
            </w:r>
            <w:r w:rsidR="00A976D9">
              <w:rPr>
                <w:rFonts w:ascii="Times New Roman" w:eastAsia="黑体" w:hAnsi="Times New Roman" w:cs="黑体" w:hint="eastAsia"/>
                <w:snapToGrid/>
                <w:color w:val="auto"/>
                <w:kern w:val="2"/>
                <w:sz w:val="32"/>
                <w:szCs w:val="32"/>
                <w:lang w:eastAsia="zh-CN"/>
              </w:rPr>
              <w:instrText xml:space="preserve"> PAGEREF _Toc23475 \h </w:instrText>
            </w:r>
            <w:r w:rsidR="00A976D9">
              <w:rPr>
                <w:rFonts w:ascii="Times New Roman" w:eastAsia="黑体" w:hAnsi="Times New Roman" w:cs="黑体" w:hint="eastAsia"/>
                <w:snapToGrid/>
                <w:color w:val="auto"/>
                <w:kern w:val="2"/>
                <w:sz w:val="32"/>
                <w:szCs w:val="32"/>
                <w:lang w:eastAsia="zh-CN"/>
              </w:rPr>
            </w:r>
            <w:r w:rsidR="00A976D9">
              <w:rPr>
                <w:rFonts w:ascii="Times New Roman" w:eastAsia="黑体" w:hAnsi="Times New Roman" w:cs="黑体" w:hint="eastAsia"/>
                <w:snapToGrid/>
                <w:color w:val="auto"/>
                <w:kern w:val="2"/>
                <w:sz w:val="32"/>
                <w:szCs w:val="32"/>
                <w:lang w:eastAsia="zh-CN"/>
              </w:rPr>
              <w:fldChar w:fldCharType="separate"/>
            </w:r>
            <w:r w:rsidR="00A976D9">
              <w:rPr>
                <w:rFonts w:ascii="Times New Roman" w:eastAsia="黑体" w:hAnsi="Times New Roman" w:cs="黑体" w:hint="eastAsia"/>
                <w:snapToGrid/>
                <w:color w:val="auto"/>
                <w:kern w:val="2"/>
                <w:sz w:val="32"/>
                <w:szCs w:val="32"/>
                <w:lang w:eastAsia="zh-CN"/>
              </w:rPr>
              <w:t>22</w:t>
            </w:r>
            <w:r w:rsidR="00A976D9">
              <w:rPr>
                <w:rFonts w:ascii="Times New Roman" w:eastAsia="黑体" w:hAnsi="Times New Roman" w:cs="黑体" w:hint="eastAsia"/>
                <w:snapToGrid/>
                <w:color w:val="auto"/>
                <w:kern w:val="2"/>
                <w:sz w:val="32"/>
                <w:szCs w:val="32"/>
                <w:lang w:eastAsia="zh-CN"/>
              </w:rPr>
              <w:fldChar w:fldCharType="end"/>
            </w:r>
          </w:hyperlink>
        </w:p>
        <w:p w:rsidR="004B0FC1" w:rsidRDefault="00573BFE">
          <w:pPr>
            <w:pStyle w:val="10"/>
            <w:widowControl w:val="0"/>
            <w:kinsoku/>
            <w:autoSpaceDE/>
            <w:autoSpaceDN/>
            <w:spacing w:before="0" w:line="560" w:lineRule="exact"/>
            <w:jc w:val="left"/>
            <w:textAlignment w:val="auto"/>
            <w:rPr>
              <w:rFonts w:ascii="Times New Roman" w:eastAsia="黑体" w:hAnsi="Times New Roman" w:cs="黑体"/>
              <w:snapToGrid/>
              <w:color w:val="auto"/>
              <w:kern w:val="2"/>
              <w:sz w:val="32"/>
              <w:szCs w:val="32"/>
              <w:lang w:eastAsia="zh-CN"/>
            </w:rPr>
          </w:pPr>
          <w:hyperlink w:anchor="_Toc2874" w:history="1">
            <w:r w:rsidR="00A976D9">
              <w:rPr>
                <w:rFonts w:ascii="Times New Roman" w:eastAsia="黑体" w:hAnsi="Times New Roman" w:cs="黑体" w:hint="eastAsia"/>
                <w:snapToGrid/>
                <w:color w:val="auto"/>
                <w:kern w:val="2"/>
                <w:sz w:val="32"/>
                <w:szCs w:val="32"/>
                <w:lang w:eastAsia="zh-CN"/>
              </w:rPr>
              <w:t>第五部分</w:t>
            </w:r>
            <w:r w:rsidR="00A976D9">
              <w:rPr>
                <w:rFonts w:ascii="Times New Roman" w:eastAsia="黑体" w:hAnsi="Times New Roman" w:cs="黑体" w:hint="eastAsia"/>
                <w:snapToGrid/>
                <w:color w:val="auto"/>
                <w:kern w:val="2"/>
                <w:sz w:val="32"/>
                <w:szCs w:val="32"/>
                <w:lang w:eastAsia="zh-CN"/>
              </w:rPr>
              <w:t xml:space="preserve"> </w:t>
            </w:r>
            <w:r w:rsidR="00A976D9">
              <w:rPr>
                <w:rFonts w:ascii="Times New Roman" w:eastAsia="黑体" w:hAnsi="Times New Roman" w:cs="黑体" w:hint="eastAsia"/>
                <w:snapToGrid/>
                <w:color w:val="auto"/>
                <w:kern w:val="2"/>
                <w:sz w:val="32"/>
                <w:szCs w:val="32"/>
                <w:lang w:eastAsia="zh-CN"/>
              </w:rPr>
              <w:t>附表</w:t>
            </w:r>
            <w:r w:rsidR="00A976D9">
              <w:rPr>
                <w:rFonts w:ascii="Times New Roman" w:eastAsia="黑体" w:hAnsi="Times New Roman" w:cs="黑体" w:hint="eastAsia"/>
                <w:snapToGrid/>
                <w:color w:val="auto"/>
                <w:kern w:val="2"/>
                <w:sz w:val="32"/>
                <w:szCs w:val="32"/>
                <w:lang w:eastAsia="zh-CN"/>
              </w:rPr>
              <w:tab/>
            </w:r>
            <w:r w:rsidR="00A976D9">
              <w:rPr>
                <w:rFonts w:ascii="Times New Roman" w:eastAsia="黑体" w:hAnsi="Times New Roman" w:cs="黑体" w:hint="eastAsia"/>
                <w:snapToGrid/>
                <w:color w:val="auto"/>
                <w:kern w:val="2"/>
                <w:sz w:val="32"/>
                <w:szCs w:val="32"/>
                <w:lang w:eastAsia="zh-CN"/>
              </w:rPr>
              <w:fldChar w:fldCharType="begin"/>
            </w:r>
            <w:r w:rsidR="00A976D9">
              <w:rPr>
                <w:rFonts w:ascii="Times New Roman" w:eastAsia="黑体" w:hAnsi="Times New Roman" w:cs="黑体" w:hint="eastAsia"/>
                <w:snapToGrid/>
                <w:color w:val="auto"/>
                <w:kern w:val="2"/>
                <w:sz w:val="32"/>
                <w:szCs w:val="32"/>
                <w:lang w:eastAsia="zh-CN"/>
              </w:rPr>
              <w:instrText xml:space="preserve"> PAGEREF _Toc2874 \h </w:instrText>
            </w:r>
            <w:r w:rsidR="00A976D9">
              <w:rPr>
                <w:rFonts w:ascii="Times New Roman" w:eastAsia="黑体" w:hAnsi="Times New Roman" w:cs="黑体" w:hint="eastAsia"/>
                <w:snapToGrid/>
                <w:color w:val="auto"/>
                <w:kern w:val="2"/>
                <w:sz w:val="32"/>
                <w:szCs w:val="32"/>
                <w:lang w:eastAsia="zh-CN"/>
              </w:rPr>
            </w:r>
            <w:r w:rsidR="00A976D9">
              <w:rPr>
                <w:rFonts w:ascii="Times New Roman" w:eastAsia="黑体" w:hAnsi="Times New Roman" w:cs="黑体" w:hint="eastAsia"/>
                <w:snapToGrid/>
                <w:color w:val="auto"/>
                <w:kern w:val="2"/>
                <w:sz w:val="32"/>
                <w:szCs w:val="32"/>
                <w:lang w:eastAsia="zh-CN"/>
              </w:rPr>
              <w:fldChar w:fldCharType="separate"/>
            </w:r>
            <w:r w:rsidR="00A976D9">
              <w:rPr>
                <w:rFonts w:ascii="Times New Roman" w:eastAsia="黑体" w:hAnsi="Times New Roman" w:cs="黑体" w:hint="eastAsia"/>
                <w:snapToGrid/>
                <w:color w:val="auto"/>
                <w:kern w:val="2"/>
                <w:sz w:val="32"/>
                <w:szCs w:val="32"/>
                <w:lang w:eastAsia="zh-CN"/>
              </w:rPr>
              <w:t>112</w:t>
            </w:r>
            <w:r w:rsidR="00A976D9">
              <w:rPr>
                <w:rFonts w:ascii="Times New Roman" w:eastAsia="黑体" w:hAnsi="Times New Roman" w:cs="黑体"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2020" w:history="1">
            <w:r w:rsidR="00A976D9">
              <w:rPr>
                <w:rFonts w:ascii="Times New Roman" w:eastAsia="仿宋_GB2312" w:hAnsi="Times New Roman" w:cs="仿宋_GB2312" w:hint="eastAsia"/>
                <w:snapToGrid/>
                <w:color w:val="auto"/>
                <w:kern w:val="2"/>
                <w:sz w:val="32"/>
                <w:szCs w:val="32"/>
                <w:lang w:eastAsia="zh-CN"/>
              </w:rPr>
              <w:t>一、收入支出决算总表</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_Toc2020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112</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3013" w:history="1">
            <w:r w:rsidR="00A976D9">
              <w:rPr>
                <w:rFonts w:ascii="Times New Roman" w:eastAsia="仿宋_GB2312" w:hAnsi="Times New Roman" w:cs="仿宋_GB2312" w:hint="eastAsia"/>
                <w:snapToGrid/>
                <w:color w:val="auto"/>
                <w:kern w:val="2"/>
                <w:sz w:val="32"/>
                <w:szCs w:val="32"/>
                <w:lang w:eastAsia="zh-CN"/>
              </w:rPr>
              <w:t>二、收入决算表</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_Toc3013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112</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30777" w:history="1">
            <w:r w:rsidR="00A976D9">
              <w:rPr>
                <w:rFonts w:ascii="Times New Roman" w:eastAsia="仿宋_GB2312" w:hAnsi="Times New Roman" w:cs="仿宋_GB2312" w:hint="eastAsia"/>
                <w:snapToGrid/>
                <w:color w:val="auto"/>
                <w:kern w:val="2"/>
                <w:sz w:val="32"/>
                <w:szCs w:val="32"/>
                <w:lang w:eastAsia="zh-CN"/>
              </w:rPr>
              <w:t>三、支出决算表</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_Toc30777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112</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22918" w:history="1">
            <w:r w:rsidR="00A976D9">
              <w:rPr>
                <w:rFonts w:ascii="Times New Roman" w:eastAsia="仿宋_GB2312" w:hAnsi="Times New Roman" w:cs="仿宋_GB2312" w:hint="eastAsia"/>
                <w:snapToGrid/>
                <w:color w:val="auto"/>
                <w:kern w:val="2"/>
                <w:sz w:val="32"/>
                <w:szCs w:val="32"/>
                <w:lang w:eastAsia="zh-CN"/>
              </w:rPr>
              <w:t>四、财政拨款收入支出决算总表</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_Toc22918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112</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21710" w:history="1">
            <w:r w:rsidR="00A976D9">
              <w:rPr>
                <w:rFonts w:ascii="Times New Roman" w:eastAsia="仿宋_GB2312" w:hAnsi="Times New Roman" w:cs="仿宋_GB2312" w:hint="eastAsia"/>
                <w:snapToGrid/>
                <w:color w:val="auto"/>
                <w:kern w:val="2"/>
                <w:sz w:val="32"/>
                <w:szCs w:val="32"/>
                <w:lang w:eastAsia="zh-CN"/>
              </w:rPr>
              <w:t>五、财政拨款支出决算明细表</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_Toc21710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112</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3033" w:history="1">
            <w:r w:rsidR="00A976D9">
              <w:rPr>
                <w:rFonts w:ascii="Times New Roman" w:eastAsia="仿宋_GB2312" w:hAnsi="Times New Roman" w:cs="仿宋_GB2312" w:hint="eastAsia"/>
                <w:snapToGrid/>
                <w:color w:val="auto"/>
                <w:kern w:val="2"/>
                <w:sz w:val="32"/>
                <w:szCs w:val="32"/>
                <w:lang w:eastAsia="zh-CN"/>
              </w:rPr>
              <w:t>六、一般公共预算财政拨款支出决算表</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_Toc3033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112</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6334" w:history="1">
            <w:r w:rsidR="00A976D9">
              <w:rPr>
                <w:rFonts w:ascii="Times New Roman" w:eastAsia="仿宋_GB2312" w:hAnsi="Times New Roman" w:cs="仿宋_GB2312" w:hint="eastAsia"/>
                <w:snapToGrid/>
                <w:color w:val="auto"/>
                <w:kern w:val="2"/>
                <w:sz w:val="32"/>
                <w:szCs w:val="32"/>
                <w:lang w:eastAsia="zh-CN"/>
              </w:rPr>
              <w:t>七、一般公共预算财政拨款支出决算明细表</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_Toc6334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112</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5614" w:history="1">
            <w:r w:rsidR="00A976D9">
              <w:rPr>
                <w:rFonts w:ascii="Times New Roman" w:eastAsia="仿宋_GB2312" w:hAnsi="Times New Roman" w:cs="仿宋_GB2312" w:hint="eastAsia"/>
                <w:snapToGrid/>
                <w:color w:val="auto"/>
                <w:kern w:val="2"/>
                <w:sz w:val="32"/>
                <w:szCs w:val="32"/>
                <w:lang w:eastAsia="zh-CN"/>
              </w:rPr>
              <w:t>八、一般公共预算财政拨款基本支出决算表</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_Toc5614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112</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17650" w:history="1">
            <w:r w:rsidR="00A976D9">
              <w:rPr>
                <w:rFonts w:ascii="Times New Roman" w:eastAsia="仿宋_GB2312" w:hAnsi="Times New Roman" w:cs="仿宋_GB2312" w:hint="eastAsia"/>
                <w:snapToGrid/>
                <w:color w:val="auto"/>
                <w:kern w:val="2"/>
                <w:sz w:val="32"/>
                <w:szCs w:val="32"/>
                <w:lang w:eastAsia="zh-CN"/>
              </w:rPr>
              <w:t>九、一般公共预算财政拨款项目支出决算表</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_Toc17650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112</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19868" w:history="1">
            <w:r w:rsidR="00A976D9">
              <w:rPr>
                <w:rFonts w:ascii="Times New Roman" w:eastAsia="仿宋_GB2312" w:hAnsi="Times New Roman" w:cs="仿宋_GB2312" w:hint="eastAsia"/>
                <w:snapToGrid/>
                <w:color w:val="auto"/>
                <w:kern w:val="2"/>
                <w:sz w:val="32"/>
                <w:szCs w:val="32"/>
                <w:lang w:eastAsia="zh-CN"/>
              </w:rPr>
              <w:t>十、政府性基金预算财政拨款收入支出决算表</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_Toc19868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112</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5678" w:history="1">
            <w:r w:rsidR="00A976D9">
              <w:rPr>
                <w:rFonts w:ascii="Times New Roman" w:eastAsia="仿宋_GB2312" w:hAnsi="Times New Roman" w:cs="仿宋_GB2312" w:hint="eastAsia"/>
                <w:snapToGrid/>
                <w:color w:val="auto"/>
                <w:kern w:val="2"/>
                <w:sz w:val="32"/>
                <w:szCs w:val="32"/>
                <w:lang w:eastAsia="zh-CN"/>
              </w:rPr>
              <w:t>十一、国有资本经营预算财政拨款收入支出决算表</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_Toc5678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112</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27062" w:history="1">
            <w:r w:rsidR="00A976D9">
              <w:rPr>
                <w:rFonts w:ascii="Times New Roman" w:eastAsia="仿宋_GB2312" w:hAnsi="Times New Roman" w:cs="仿宋_GB2312" w:hint="eastAsia"/>
                <w:snapToGrid/>
                <w:color w:val="auto"/>
                <w:kern w:val="2"/>
                <w:sz w:val="32"/>
                <w:szCs w:val="32"/>
                <w:lang w:eastAsia="zh-CN"/>
              </w:rPr>
              <w:t>十二、国有资本经营预算财政拨款支出决算表</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_Toc27062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112</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573BFE">
          <w:pPr>
            <w:pStyle w:val="21"/>
            <w:widowControl w:val="0"/>
            <w:kinsoku/>
            <w:autoSpaceDE/>
            <w:autoSpaceDN/>
            <w:spacing w:line="560" w:lineRule="exact"/>
            <w:ind w:leftChars="0" w:left="0" w:firstLineChars="200" w:firstLine="420"/>
            <w:textAlignment w:val="auto"/>
            <w:rPr>
              <w:rFonts w:ascii="Times New Roman" w:eastAsia="仿宋_GB2312" w:hAnsi="Times New Roman" w:cs="仿宋_GB2312"/>
              <w:snapToGrid/>
              <w:color w:val="auto"/>
              <w:kern w:val="2"/>
              <w:sz w:val="32"/>
              <w:szCs w:val="32"/>
              <w:lang w:eastAsia="zh-CN"/>
            </w:rPr>
          </w:pPr>
          <w:hyperlink w:anchor="_Toc10387" w:history="1">
            <w:r w:rsidR="00A976D9">
              <w:rPr>
                <w:rFonts w:ascii="Times New Roman" w:eastAsia="仿宋_GB2312" w:hAnsi="Times New Roman" w:cs="仿宋_GB2312" w:hint="eastAsia"/>
                <w:snapToGrid/>
                <w:color w:val="auto"/>
                <w:kern w:val="2"/>
                <w:sz w:val="32"/>
                <w:szCs w:val="32"/>
                <w:lang w:eastAsia="zh-CN"/>
              </w:rPr>
              <w:t>十三、财政拨款“三公”经费支出决算表</w:t>
            </w:r>
            <w:r w:rsidR="00A976D9">
              <w:rPr>
                <w:rFonts w:ascii="Times New Roman" w:eastAsia="仿宋_GB2312" w:hAnsi="Times New Roman" w:cs="仿宋_GB2312" w:hint="eastAsia"/>
                <w:snapToGrid/>
                <w:color w:val="auto"/>
                <w:kern w:val="2"/>
                <w:sz w:val="32"/>
                <w:szCs w:val="32"/>
                <w:lang w:eastAsia="zh-CN"/>
              </w:rPr>
              <w:tab/>
            </w:r>
            <w:r w:rsidR="00A976D9">
              <w:rPr>
                <w:rFonts w:ascii="Times New Roman" w:eastAsia="仿宋_GB2312" w:hAnsi="Times New Roman" w:cs="仿宋_GB2312" w:hint="eastAsia"/>
                <w:snapToGrid/>
                <w:color w:val="auto"/>
                <w:kern w:val="2"/>
                <w:sz w:val="32"/>
                <w:szCs w:val="32"/>
                <w:lang w:eastAsia="zh-CN"/>
              </w:rPr>
              <w:fldChar w:fldCharType="begin"/>
            </w:r>
            <w:r w:rsidR="00A976D9">
              <w:rPr>
                <w:rFonts w:ascii="Times New Roman" w:eastAsia="仿宋_GB2312" w:hAnsi="Times New Roman" w:cs="仿宋_GB2312" w:hint="eastAsia"/>
                <w:snapToGrid/>
                <w:color w:val="auto"/>
                <w:kern w:val="2"/>
                <w:sz w:val="32"/>
                <w:szCs w:val="32"/>
                <w:lang w:eastAsia="zh-CN"/>
              </w:rPr>
              <w:instrText xml:space="preserve"> PAGEREF _Toc10387 \h </w:instrText>
            </w:r>
            <w:r w:rsidR="00A976D9">
              <w:rPr>
                <w:rFonts w:ascii="Times New Roman" w:eastAsia="仿宋_GB2312" w:hAnsi="Times New Roman" w:cs="仿宋_GB2312" w:hint="eastAsia"/>
                <w:snapToGrid/>
                <w:color w:val="auto"/>
                <w:kern w:val="2"/>
                <w:sz w:val="32"/>
                <w:szCs w:val="32"/>
                <w:lang w:eastAsia="zh-CN"/>
              </w:rPr>
            </w:r>
            <w:r w:rsidR="00A976D9">
              <w:rPr>
                <w:rFonts w:ascii="Times New Roman" w:eastAsia="仿宋_GB2312" w:hAnsi="Times New Roman" w:cs="仿宋_GB2312" w:hint="eastAsia"/>
                <w:snapToGrid/>
                <w:color w:val="auto"/>
                <w:kern w:val="2"/>
                <w:sz w:val="32"/>
                <w:szCs w:val="32"/>
                <w:lang w:eastAsia="zh-CN"/>
              </w:rPr>
              <w:fldChar w:fldCharType="separate"/>
            </w:r>
            <w:r w:rsidR="00A976D9">
              <w:rPr>
                <w:rFonts w:ascii="Times New Roman" w:eastAsia="仿宋_GB2312" w:hAnsi="Times New Roman" w:cs="仿宋_GB2312" w:hint="eastAsia"/>
                <w:snapToGrid/>
                <w:color w:val="auto"/>
                <w:kern w:val="2"/>
                <w:sz w:val="32"/>
                <w:szCs w:val="32"/>
                <w:lang w:eastAsia="zh-CN"/>
              </w:rPr>
              <w:t>112</w:t>
            </w:r>
            <w:r w:rsidR="00A976D9">
              <w:rPr>
                <w:rFonts w:ascii="Times New Roman" w:eastAsia="仿宋_GB2312" w:hAnsi="Times New Roman" w:cs="仿宋_GB2312" w:hint="eastAsia"/>
                <w:snapToGrid/>
                <w:color w:val="auto"/>
                <w:kern w:val="2"/>
                <w:sz w:val="32"/>
                <w:szCs w:val="32"/>
                <w:lang w:eastAsia="zh-CN"/>
              </w:rPr>
              <w:fldChar w:fldCharType="end"/>
            </w:r>
          </w:hyperlink>
        </w:p>
        <w:p w:rsidR="004B0FC1" w:rsidRDefault="00A976D9">
          <w:pPr>
            <w:pStyle w:val="a5"/>
            <w:tabs>
              <w:tab w:val="right" w:leader="dot" w:pos="8285"/>
            </w:tabs>
            <w:spacing w:before="58" w:line="360" w:lineRule="auto"/>
          </w:pPr>
          <w:r>
            <w:fldChar w:fldCharType="end"/>
          </w:r>
        </w:p>
      </w:sdtContent>
    </w:sdt>
    <w:sdt>
      <w:sdtPr>
        <w:rPr>
          <w:rFonts w:ascii="仿宋" w:eastAsia="仿宋" w:hAnsi="仿宋" w:cs="仿宋"/>
          <w:sz w:val="31"/>
          <w:szCs w:val="31"/>
        </w:rPr>
        <w:id w:val="147453711"/>
        <w:docPartObj>
          <w:docPartGallery w:val="Table of Contents"/>
          <w:docPartUnique/>
        </w:docPartObj>
      </w:sdtPr>
      <w:sdtEndPr>
        <w:rPr>
          <w:spacing w:val="4"/>
        </w:rPr>
      </w:sdtEndPr>
      <w:sdtContent>
        <w:p w:rsidR="004B0FC1" w:rsidRDefault="00A976D9">
          <w:pPr>
            <w:pStyle w:val="a0"/>
            <w:ind w:firstLineChars="100" w:firstLine="310"/>
            <w:sectPr w:rsidR="004B0FC1">
              <w:footerReference w:type="default" r:id="rId8"/>
              <w:pgSz w:w="11906" w:h="16838"/>
              <w:pgMar w:top="1431" w:right="1785" w:bottom="1435" w:left="1785" w:header="0" w:footer="1159" w:gutter="0"/>
              <w:cols w:space="720"/>
            </w:sectPr>
          </w:pPr>
          <w:r>
            <w:tab/>
          </w:r>
        </w:p>
      </w:sdtContent>
    </w:sdt>
    <w:p w:rsidR="004B0FC1" w:rsidRDefault="00A976D9">
      <w:pPr>
        <w:pStyle w:val="1"/>
        <w:widowControl w:val="0"/>
        <w:kinsoku/>
        <w:autoSpaceDE/>
        <w:autoSpaceDN/>
        <w:adjustRightInd/>
        <w:snapToGrid/>
        <w:jc w:val="center"/>
        <w:textAlignment w:val="auto"/>
        <w:rPr>
          <w:rFonts w:ascii="Times New Roman" w:eastAsia="方正小标宋简体" w:hAnsi="Times New Roman" w:cs="方正小标宋简体"/>
          <w:b w:val="0"/>
          <w:snapToGrid/>
          <w:color w:val="auto"/>
          <w:lang w:eastAsia="zh-CN"/>
        </w:rPr>
      </w:pPr>
      <w:bookmarkStart w:id="6" w:name="bookmark32"/>
      <w:bookmarkStart w:id="7" w:name="bookmark2"/>
      <w:bookmarkStart w:id="8" w:name="_Toc2104"/>
      <w:bookmarkEnd w:id="6"/>
      <w:bookmarkEnd w:id="7"/>
      <w:r>
        <w:rPr>
          <w:rFonts w:ascii="Times New Roman" w:eastAsia="方正小标宋简体" w:hAnsi="Times New Roman" w:cs="方正小标宋简体" w:hint="eastAsia"/>
          <w:b w:val="0"/>
          <w:snapToGrid/>
          <w:color w:val="auto"/>
          <w:lang w:eastAsia="zh-CN"/>
        </w:rPr>
        <w:lastRenderedPageBreak/>
        <w:t>第一部分</w:t>
      </w:r>
      <w:r>
        <w:rPr>
          <w:rFonts w:ascii="Times New Roman" w:eastAsia="方正小标宋简体" w:hAnsi="Times New Roman" w:cs="方正小标宋简体" w:hint="eastAsia"/>
          <w:b w:val="0"/>
          <w:snapToGrid/>
          <w:color w:val="auto"/>
          <w:lang w:eastAsia="zh-CN"/>
        </w:rPr>
        <w:t xml:space="preserve">  </w:t>
      </w:r>
      <w:r>
        <w:rPr>
          <w:rFonts w:ascii="Times New Roman" w:eastAsia="方正小标宋简体" w:hAnsi="Times New Roman" w:cs="方正小标宋简体" w:hint="eastAsia"/>
          <w:b w:val="0"/>
          <w:snapToGrid/>
          <w:color w:val="auto"/>
          <w:lang w:eastAsia="zh-CN"/>
        </w:rPr>
        <w:t>部门概况</w:t>
      </w:r>
      <w:bookmarkEnd w:id="8"/>
    </w:p>
    <w:p w:rsidR="004B0FC1" w:rsidRDefault="00A976D9">
      <w:pPr>
        <w:pStyle w:val="2"/>
        <w:keepNext/>
        <w:keepLines/>
        <w:kinsoku/>
        <w:autoSpaceDE/>
        <w:autoSpaceDN/>
        <w:adjustRightInd/>
        <w:snapToGrid/>
        <w:textAlignment w:val="auto"/>
        <w:rPr>
          <w:rFonts w:ascii="Times New Roman" w:eastAsia="黑体" w:hAnsi="Times New Roman" w:cstheme="majorBidi"/>
          <w:b w:val="0"/>
          <w:snapToGrid/>
          <w:color w:val="auto"/>
        </w:rPr>
      </w:pPr>
      <w:bookmarkStart w:id="9" w:name="_Toc10871"/>
      <w:r>
        <w:rPr>
          <w:rFonts w:ascii="Times New Roman" w:eastAsia="黑体" w:hAnsi="Times New Roman" w:cstheme="majorBidi" w:hint="eastAsia"/>
          <w:b w:val="0"/>
          <w:snapToGrid/>
          <w:color w:val="auto"/>
        </w:rPr>
        <w:t>一、部门职责</w:t>
      </w:r>
      <w:bookmarkEnd w:id="9"/>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仿宋_GB2312"/>
          <w:snapToGrid/>
          <w:color w:val="auto"/>
          <w:kern w:val="2"/>
          <w:sz w:val="32"/>
          <w:szCs w:val="32"/>
          <w:lang w:eastAsia="zh-CN"/>
        </w:rPr>
      </w:pPr>
      <w:bookmarkStart w:id="10" w:name="_Toc22618"/>
      <w:r>
        <w:rPr>
          <w:rFonts w:ascii="Times New Roman" w:eastAsia="仿宋_GB2312" w:hAnsi="Times New Roman" w:cs="仿宋_GB2312" w:hint="eastAsia"/>
          <w:snapToGrid/>
          <w:color w:val="auto"/>
          <w:kern w:val="2"/>
          <w:sz w:val="32"/>
          <w:szCs w:val="32"/>
          <w:lang w:eastAsia="zh-CN"/>
        </w:rPr>
        <w:t>（一）负责全市市场综合监督管理。起草市场监督管理有关规章草案、规范性文件。组织实施质量强市、食品安全、标准化和知识产权战略，拟订并组织实施有关规划，规范和维护市场秩序，营造诚实守信、公平竞争的市场环境。</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二）负责全市市场主体统一登记注册。负责指导全市各类企业、农民专业合作社和从事经营活动的单位、个体工商户以及外国（地区）企业、常驻代表机构等市场主体的登记注册和监督管理工作。建立市场主体信息公示和共享机制，依法公示和共享有关信息，加强信用监管，推动市场主体信用体系建设。配合协助党委组织部门开展小微企业、个体工商户、专业市场的党建工作。</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（三）负责市场监管领域综合行政执法工作。</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四）负责监督管理全市市场秩序。依法监督管理市场交易、网络商品交易及有关服务的行为。协助开展有关反垄断调查工作。组织指导查处价格收费违法违规、不正当竞争、违法直销、传销、侵犯商标专利知识产权和制售假冒伪劣行为。依法实施合同、拍卖行为的监督管理。指导县（区）开展动产抵押物登记。指导广</w:t>
      </w:r>
      <w:r>
        <w:rPr>
          <w:rFonts w:ascii="Times New Roman" w:eastAsia="仿宋_GB2312" w:hAnsi="Times New Roman" w:cs="仿宋_GB2312" w:hint="eastAsia"/>
          <w:snapToGrid/>
          <w:color w:val="auto"/>
          <w:kern w:val="2"/>
          <w:sz w:val="32"/>
          <w:szCs w:val="32"/>
          <w:lang w:eastAsia="zh-CN"/>
        </w:rPr>
        <w:lastRenderedPageBreak/>
        <w:t>告业的发展，监督管理广告活动。依法查处无照生产经营和相关无证生产经营行为。组织指导消费环境建设。</w:t>
      </w:r>
      <w:proofErr w:type="gramStart"/>
      <w:r>
        <w:rPr>
          <w:rFonts w:ascii="Times New Roman" w:eastAsia="仿宋_GB2312" w:hAnsi="Times New Roman" w:cs="仿宋_GB2312" w:hint="eastAsia"/>
          <w:snapToGrid/>
          <w:color w:val="auto"/>
          <w:kern w:val="2"/>
          <w:sz w:val="32"/>
          <w:szCs w:val="32"/>
          <w:lang w:eastAsia="zh-CN"/>
        </w:rPr>
        <w:t>指导市</w:t>
      </w:r>
      <w:proofErr w:type="gramEnd"/>
      <w:r>
        <w:rPr>
          <w:rFonts w:ascii="Times New Roman" w:eastAsia="仿宋_GB2312" w:hAnsi="Times New Roman" w:cs="仿宋_GB2312" w:hint="eastAsia"/>
          <w:snapToGrid/>
          <w:color w:val="auto"/>
          <w:kern w:val="2"/>
          <w:sz w:val="32"/>
          <w:szCs w:val="32"/>
          <w:lang w:eastAsia="zh-CN"/>
        </w:rPr>
        <w:t>保护消费者权益委员会开展消费维权工作。</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五）负责全市宏观质量管理。拟订并组织实施质量发展的制度措施。统筹全市质量基础设施建设与应用。会同有关部门组织实施重大工程设备质量监理制度，组织重大产品质量事故调查，贯彻实施缺陷产品召回制度，监督管理产品防伪工作。</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（六）负责全市产品质量安全监督管理。负责产品质量监督抽查和风险监控工作，组织实施质量分级制度、质量安全追溯制度。负责工业产品生产许可证管理。负责纤维质量监督工作。</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（七）负责全市特种设备安全监督管理。综合管理特种设备安全监察、监督工作，监督检查高耗能特种设备节能标准和锅炉产品环境保护标准的执行情况。</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八）负责全市食品安全监督管理综合协调。统筹指导全市食品安全工作。负责食品安全应急体系建设，组织指导重大食品安全事件应急处置和调查处理工作。落实食品安全重要信息直报制度。承担市食品安全委员会日常工作。</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九）负责全市食品安全监督管理。建立覆盖食品生产、流通、消费全过程的监督检查制度和隐患排查治理机制并组织实施，防范区域性、系统性食品安全风险。推动建立食品生产经营者落实主体责任的机制，健全食品安全追溯体系。指导督促食品生产经营企业的相关安全生产工作。组织开展食品安全监督抽检、风险监测、核查处置和风险预警、风险交流工作。组织实施特殊食</w:t>
      </w:r>
      <w:r>
        <w:rPr>
          <w:rFonts w:ascii="Times New Roman" w:eastAsia="仿宋_GB2312" w:hAnsi="Times New Roman" w:cs="仿宋_GB2312" w:hint="eastAsia"/>
          <w:snapToGrid/>
          <w:color w:val="auto"/>
          <w:kern w:val="2"/>
          <w:sz w:val="32"/>
          <w:szCs w:val="32"/>
          <w:lang w:eastAsia="zh-CN"/>
        </w:rPr>
        <w:lastRenderedPageBreak/>
        <w:t>品监督管理。</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十）负责药品、化妆品和医疗器械的质量管理、风险管理、安全监督和安全应急管理。承担全市药品零售、医疗器械经营的许可、检查和处罚，以及化妆品经营和药品、医疗器械使用环节质量的安全监测、检查和处罚。参与省市场监管局和省药监局组织的监督检查。监督实施问题产品召回和处置工作。承担执业药师注册及相关工作。</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（十一）负责统一管理全市计量工作。推行法定计量单位，执行国家计量制度，管理计量器具及量值传递和比对工作。规范、监督商品量和计量行为。</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（十二）负责统一管理全市标准化工作。依法承担地方标准立项、编号和发布等工作。协调指导团体标准制定工作。推行企业标准自我声明公开。依法对标准制定和实施情况开展监督。</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（十三）负责统一管理全市检验检测工作。规范检验检测市场，完善检验检测体系，指导协调检验检测行业发展。</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（十四）负责统一管理认证认可工作。监督管理认证认可和合格评定工作。</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（十五）负责全市知识产权战略、规划的制定，负责知识产权保护、管理，指导知识产权创造、运用和服务促进工作，负责组织指导商标、专利执法工作。</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（十六）负责市场监督管理科技和信息化建设。</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（十七）负责职责范围内的安全生产和职业健康、生态环境保护、审批服务便民化等工作。</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lastRenderedPageBreak/>
        <w:t>（十八）完成市委、市政府交办的其他任务。</w:t>
      </w:r>
    </w:p>
    <w:p w:rsidR="004B0FC1" w:rsidRDefault="00A976D9">
      <w:pPr>
        <w:pStyle w:val="2"/>
        <w:keepNext/>
        <w:keepLines/>
        <w:kinsoku/>
        <w:autoSpaceDE/>
        <w:autoSpaceDN/>
        <w:adjustRightInd/>
        <w:snapToGrid/>
        <w:textAlignment w:val="auto"/>
        <w:rPr>
          <w:rFonts w:ascii="Times New Roman" w:eastAsia="黑体" w:hAnsi="Times New Roman" w:cstheme="majorBidi"/>
          <w:b w:val="0"/>
          <w:snapToGrid/>
          <w:color w:val="auto"/>
        </w:rPr>
      </w:pPr>
      <w:r>
        <w:rPr>
          <w:rFonts w:ascii="Times New Roman" w:eastAsia="黑体" w:hAnsi="Times New Roman" w:cstheme="majorBidi" w:hint="eastAsia"/>
          <w:b w:val="0"/>
          <w:snapToGrid/>
          <w:color w:val="auto"/>
        </w:rPr>
        <w:t>二、机构设置</w:t>
      </w:r>
      <w:bookmarkEnd w:id="10"/>
    </w:p>
    <w:p w:rsidR="004B0FC1" w:rsidRDefault="00A976D9" w:rsidP="0061664C">
      <w:pPr>
        <w:pStyle w:val="a5"/>
        <w:widowControl w:val="0"/>
        <w:kinsoku/>
        <w:autoSpaceDE/>
        <w:autoSpaceDN/>
        <w:spacing w:beforeLines="30" w:before="72" w:line="600" w:lineRule="exact"/>
        <w:ind w:firstLineChars="210" w:firstLine="672"/>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攀枝花市市场监督管理局下属二级预算单位</w:t>
      </w:r>
      <w:r>
        <w:rPr>
          <w:rFonts w:ascii="Times New Roman" w:eastAsia="仿宋_GB2312" w:hAnsi="Times New Roman" w:cs="仿宋_GB2312" w:hint="eastAsia"/>
          <w:snapToGrid/>
          <w:color w:val="auto"/>
          <w:kern w:val="2"/>
          <w:sz w:val="32"/>
          <w:szCs w:val="32"/>
          <w:lang w:eastAsia="zh-CN"/>
        </w:rPr>
        <w:t>2</w:t>
      </w:r>
      <w:r>
        <w:rPr>
          <w:rFonts w:ascii="Times New Roman" w:eastAsia="仿宋_GB2312" w:hAnsi="Times New Roman" w:cs="仿宋_GB2312" w:hint="eastAsia"/>
          <w:snapToGrid/>
          <w:color w:val="auto"/>
          <w:kern w:val="2"/>
          <w:sz w:val="32"/>
          <w:szCs w:val="32"/>
          <w:lang w:eastAsia="zh-CN"/>
        </w:rPr>
        <w:t>个，其中行政单位</w:t>
      </w:r>
      <w:r>
        <w:rPr>
          <w:rFonts w:ascii="Times New Roman" w:eastAsia="仿宋_GB2312" w:hAnsi="Times New Roman" w:cs="仿宋_GB2312" w:hint="eastAsia"/>
          <w:snapToGrid/>
          <w:color w:val="auto"/>
          <w:kern w:val="2"/>
          <w:sz w:val="32"/>
          <w:szCs w:val="32"/>
          <w:lang w:eastAsia="zh-CN"/>
        </w:rPr>
        <w:t>1</w:t>
      </w:r>
      <w:r>
        <w:rPr>
          <w:rFonts w:ascii="Times New Roman" w:eastAsia="仿宋_GB2312" w:hAnsi="Times New Roman" w:cs="仿宋_GB2312" w:hint="eastAsia"/>
          <w:snapToGrid/>
          <w:color w:val="auto"/>
          <w:kern w:val="2"/>
          <w:sz w:val="32"/>
          <w:szCs w:val="32"/>
          <w:lang w:eastAsia="zh-CN"/>
        </w:rPr>
        <w:t>个，参照公务员法管理的事业单位</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个，其他事业单位</w:t>
      </w:r>
      <w:r>
        <w:rPr>
          <w:rFonts w:ascii="Times New Roman" w:eastAsia="仿宋_GB2312" w:hAnsi="Times New Roman" w:cs="仿宋_GB2312" w:hint="eastAsia"/>
          <w:snapToGrid/>
          <w:color w:val="auto"/>
          <w:kern w:val="2"/>
          <w:sz w:val="32"/>
          <w:szCs w:val="32"/>
          <w:lang w:eastAsia="zh-CN"/>
        </w:rPr>
        <w:t>1</w:t>
      </w:r>
      <w:r>
        <w:rPr>
          <w:rFonts w:ascii="Times New Roman" w:eastAsia="仿宋_GB2312" w:hAnsi="Times New Roman" w:cs="仿宋_GB2312" w:hint="eastAsia"/>
          <w:snapToGrid/>
          <w:color w:val="auto"/>
          <w:kern w:val="2"/>
          <w:sz w:val="32"/>
          <w:szCs w:val="32"/>
          <w:lang w:eastAsia="zh-CN"/>
        </w:rPr>
        <w:t>个。</w:t>
      </w:r>
    </w:p>
    <w:p w:rsidR="004B0FC1" w:rsidRDefault="00A976D9" w:rsidP="0061664C">
      <w:pPr>
        <w:pStyle w:val="a5"/>
        <w:widowControl w:val="0"/>
        <w:kinsoku/>
        <w:autoSpaceDE/>
        <w:autoSpaceDN/>
        <w:spacing w:beforeLines="30" w:before="72" w:line="600" w:lineRule="exact"/>
        <w:ind w:firstLineChars="210" w:firstLine="672"/>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纳入攀枝花市市场监督管理局</w:t>
      </w:r>
      <w:r>
        <w:rPr>
          <w:rFonts w:ascii="Times New Roman" w:eastAsia="仿宋_GB2312" w:hAnsi="Times New Roman" w:cs="仿宋_GB2312" w:hint="eastAsia"/>
          <w:snapToGrid/>
          <w:color w:val="auto"/>
          <w:kern w:val="2"/>
          <w:sz w:val="32"/>
          <w:szCs w:val="32"/>
          <w:lang w:eastAsia="zh-CN"/>
        </w:rPr>
        <w:t>2025</w:t>
      </w:r>
      <w:r>
        <w:rPr>
          <w:rFonts w:ascii="Times New Roman" w:eastAsia="仿宋_GB2312" w:hAnsi="Times New Roman" w:cs="仿宋_GB2312" w:hint="eastAsia"/>
          <w:snapToGrid/>
          <w:color w:val="auto"/>
          <w:kern w:val="2"/>
          <w:sz w:val="32"/>
          <w:szCs w:val="32"/>
          <w:lang w:eastAsia="zh-CN"/>
        </w:rPr>
        <w:t>年度部门决算编制范围的二级预算单位包括：</w:t>
      </w:r>
    </w:p>
    <w:p w:rsidR="004B0FC1" w:rsidRDefault="00A976D9" w:rsidP="0061664C">
      <w:pPr>
        <w:pStyle w:val="a5"/>
        <w:widowControl w:val="0"/>
        <w:kinsoku/>
        <w:autoSpaceDE/>
        <w:autoSpaceDN/>
        <w:spacing w:beforeLines="30" w:before="72" w:line="600" w:lineRule="exact"/>
        <w:ind w:firstLineChars="210" w:firstLine="672"/>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1.</w:t>
      </w:r>
      <w:r>
        <w:rPr>
          <w:rFonts w:ascii="Times New Roman" w:eastAsia="仿宋_GB2312" w:hAnsi="Times New Roman" w:cs="仿宋_GB2312" w:hint="eastAsia"/>
          <w:snapToGrid/>
          <w:color w:val="auto"/>
          <w:kern w:val="2"/>
          <w:sz w:val="32"/>
          <w:szCs w:val="32"/>
          <w:lang w:eastAsia="zh-CN"/>
        </w:rPr>
        <w:t>攀枝花市市场监督管理局</w:t>
      </w:r>
    </w:p>
    <w:p w:rsidR="004B0FC1" w:rsidRDefault="00A976D9" w:rsidP="0061664C">
      <w:pPr>
        <w:pStyle w:val="a5"/>
        <w:widowControl w:val="0"/>
        <w:kinsoku/>
        <w:autoSpaceDE/>
        <w:autoSpaceDN/>
        <w:spacing w:beforeLines="30" w:before="72" w:line="600" w:lineRule="exact"/>
        <w:ind w:firstLineChars="210" w:firstLine="672"/>
        <w:jc w:val="both"/>
        <w:textAlignment w:val="auto"/>
        <w:rPr>
          <w:rFonts w:ascii="Times New Roman" w:eastAsia="仿宋_GB2312" w:hAnsi="Times New Roman" w:cs="仿宋_GB2312"/>
          <w:snapToGrid/>
          <w:color w:val="auto"/>
          <w:kern w:val="2"/>
          <w:sz w:val="32"/>
          <w:szCs w:val="32"/>
          <w:lang w:eastAsia="zh-CN"/>
        </w:rPr>
        <w:sectPr w:rsidR="004B0FC1">
          <w:footerReference w:type="default" r:id="rId9"/>
          <w:pgSz w:w="11906" w:h="16838"/>
          <w:pgMar w:top="1431" w:right="1222" w:bottom="1435" w:left="1598" w:header="0" w:footer="1158" w:gutter="0"/>
          <w:pgNumType w:start="1"/>
          <w:cols w:space="720"/>
        </w:sectPr>
      </w:pPr>
      <w:r>
        <w:rPr>
          <w:rFonts w:ascii="Times New Roman" w:eastAsia="仿宋_GB2312" w:hAnsi="Times New Roman" w:cs="仿宋_GB2312" w:hint="eastAsia"/>
          <w:snapToGrid/>
          <w:color w:val="auto"/>
          <w:kern w:val="2"/>
          <w:sz w:val="32"/>
          <w:szCs w:val="32"/>
          <w:lang w:eastAsia="zh-CN"/>
        </w:rPr>
        <w:t>2.</w:t>
      </w:r>
      <w:r>
        <w:rPr>
          <w:rFonts w:ascii="Times New Roman" w:eastAsia="仿宋_GB2312" w:hAnsi="Times New Roman" w:cs="仿宋_GB2312" w:hint="eastAsia"/>
          <w:snapToGrid/>
          <w:color w:val="auto"/>
          <w:kern w:val="2"/>
          <w:sz w:val="32"/>
          <w:szCs w:val="32"/>
          <w:lang w:eastAsia="zh-CN"/>
        </w:rPr>
        <w:t>攀西钒钛检验检测院</w:t>
      </w:r>
    </w:p>
    <w:p w:rsidR="004B0FC1" w:rsidRDefault="00A976D9">
      <w:pPr>
        <w:pStyle w:val="1"/>
        <w:widowControl w:val="0"/>
        <w:kinsoku/>
        <w:autoSpaceDE/>
        <w:autoSpaceDN/>
        <w:adjustRightInd/>
        <w:snapToGrid/>
        <w:jc w:val="center"/>
        <w:textAlignment w:val="auto"/>
        <w:rPr>
          <w:rFonts w:ascii="Times New Roman" w:eastAsia="方正小标宋简体" w:hAnsi="Times New Roman" w:cs="方正小标宋简体"/>
          <w:b w:val="0"/>
          <w:snapToGrid/>
          <w:color w:val="auto"/>
          <w:lang w:eastAsia="zh-CN"/>
        </w:rPr>
      </w:pPr>
      <w:bookmarkStart w:id="11" w:name="bookmark33"/>
      <w:bookmarkStart w:id="12" w:name="_Toc15396602"/>
      <w:bookmarkStart w:id="13" w:name="_Toc12993"/>
      <w:bookmarkStart w:id="14" w:name="_Toc15377204"/>
      <w:bookmarkEnd w:id="11"/>
      <w:r>
        <w:rPr>
          <w:rFonts w:ascii="Times New Roman" w:eastAsia="方正小标宋简体" w:hAnsi="Times New Roman" w:cs="方正小标宋简体" w:hint="eastAsia"/>
          <w:b w:val="0"/>
          <w:snapToGrid/>
          <w:color w:val="auto"/>
          <w:lang w:eastAsia="zh-CN"/>
        </w:rPr>
        <w:lastRenderedPageBreak/>
        <w:t>第二部分</w:t>
      </w:r>
      <w:r>
        <w:rPr>
          <w:rFonts w:ascii="Times New Roman" w:eastAsia="方正小标宋简体" w:hAnsi="Times New Roman" w:cs="方正小标宋简体" w:hint="eastAsia"/>
          <w:b w:val="0"/>
          <w:snapToGrid/>
          <w:color w:val="auto"/>
          <w:lang w:eastAsia="zh-CN"/>
        </w:rPr>
        <w:t xml:space="preserve">  2025</w:t>
      </w:r>
      <w:r>
        <w:rPr>
          <w:rFonts w:ascii="Times New Roman" w:eastAsia="方正小标宋简体" w:hAnsi="Times New Roman" w:cs="方正小标宋简体" w:hint="eastAsia"/>
          <w:b w:val="0"/>
          <w:snapToGrid/>
          <w:color w:val="auto"/>
          <w:lang w:eastAsia="zh-CN"/>
        </w:rPr>
        <w:t>年度部门决算情况说明</w:t>
      </w:r>
      <w:bookmarkEnd w:id="12"/>
      <w:bookmarkEnd w:id="13"/>
      <w:bookmarkEnd w:id="14"/>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黑体" w:hAnsi="Times New Roman" w:cs="Times New Roman"/>
          <w:snapToGrid/>
          <w:color w:val="auto"/>
          <w:kern w:val="2"/>
          <w:sz w:val="32"/>
          <w:szCs w:val="32"/>
          <w:lang w:eastAsia="zh-CN"/>
        </w:rPr>
      </w:pPr>
      <w:bookmarkStart w:id="15" w:name="_Toc15396603"/>
      <w:bookmarkStart w:id="16" w:name="_Toc15377205"/>
      <w:bookmarkStart w:id="17" w:name="_Toc20874"/>
      <w:r>
        <w:rPr>
          <w:rFonts w:ascii="Times New Roman" w:eastAsia="黑体" w:hAnsi="Times New Roman" w:cs="Times New Roman" w:hint="eastAsia"/>
          <w:snapToGrid/>
          <w:color w:val="auto"/>
          <w:kern w:val="2"/>
          <w:sz w:val="32"/>
          <w:szCs w:val="32"/>
          <w:lang w:eastAsia="zh-CN"/>
        </w:rPr>
        <w:t>一、收入支出决算总体情况说明</w:t>
      </w:r>
      <w:bookmarkEnd w:id="15"/>
      <w:bookmarkEnd w:id="16"/>
      <w:bookmarkEnd w:id="17"/>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bookmarkStart w:id="18" w:name="_Toc16700"/>
      <w:r>
        <w:rPr>
          <w:rFonts w:ascii="Times New Roman" w:eastAsia="仿宋_GB2312" w:hAnsi="Times New Roman" w:cs="仿宋_GB2312" w:hint="eastAsia"/>
          <w:snapToGrid/>
          <w:color w:val="auto"/>
          <w:kern w:val="2"/>
          <w:sz w:val="32"/>
          <w:szCs w:val="32"/>
          <w:lang w:eastAsia="zh-CN"/>
        </w:rPr>
        <w:t>2025</w:t>
      </w:r>
      <w:r>
        <w:rPr>
          <w:rFonts w:ascii="Times New Roman" w:eastAsia="仿宋_GB2312" w:hAnsi="Times New Roman" w:cs="仿宋_GB2312" w:hint="eastAsia"/>
          <w:snapToGrid/>
          <w:color w:val="auto"/>
          <w:kern w:val="2"/>
          <w:sz w:val="32"/>
          <w:szCs w:val="32"/>
          <w:lang w:eastAsia="zh-CN"/>
        </w:rPr>
        <w:t>年度收、支总计</w:t>
      </w:r>
      <w:r>
        <w:rPr>
          <w:rFonts w:ascii="Times New Roman" w:eastAsia="仿宋_GB2312" w:hAnsi="Times New Roman" w:cs="仿宋_GB2312" w:hint="eastAsia"/>
          <w:snapToGrid/>
          <w:color w:val="auto"/>
          <w:kern w:val="2"/>
          <w:sz w:val="32"/>
          <w:szCs w:val="32"/>
          <w:lang w:eastAsia="zh-CN"/>
        </w:rPr>
        <w:t>9811.80</w:t>
      </w:r>
      <w:r>
        <w:rPr>
          <w:rFonts w:ascii="Times New Roman" w:eastAsia="仿宋_GB2312" w:hAnsi="Times New Roman" w:cs="仿宋_GB2312" w:hint="eastAsia"/>
          <w:snapToGrid/>
          <w:color w:val="auto"/>
          <w:kern w:val="2"/>
          <w:sz w:val="32"/>
          <w:szCs w:val="32"/>
          <w:lang w:eastAsia="zh-CN"/>
        </w:rPr>
        <w:t>万元。与</w:t>
      </w:r>
      <w:r>
        <w:rPr>
          <w:rFonts w:ascii="Times New Roman" w:eastAsia="仿宋_GB2312" w:hAnsi="Times New Roman" w:cs="仿宋_GB2312" w:hint="eastAsia"/>
          <w:snapToGrid/>
          <w:color w:val="auto"/>
          <w:kern w:val="2"/>
          <w:sz w:val="32"/>
          <w:szCs w:val="32"/>
          <w:lang w:eastAsia="zh-CN"/>
        </w:rPr>
        <w:t>2025</w:t>
      </w:r>
      <w:r>
        <w:rPr>
          <w:rFonts w:ascii="Times New Roman" w:eastAsia="仿宋_GB2312" w:hAnsi="Times New Roman" w:cs="仿宋_GB2312" w:hint="eastAsia"/>
          <w:snapToGrid/>
          <w:color w:val="auto"/>
          <w:kern w:val="2"/>
          <w:sz w:val="32"/>
          <w:szCs w:val="32"/>
          <w:lang w:eastAsia="zh-CN"/>
        </w:rPr>
        <w:t>年度相比，收、支总计各减少</w:t>
      </w:r>
      <w:r>
        <w:rPr>
          <w:rFonts w:ascii="Times New Roman" w:eastAsia="仿宋_GB2312" w:hAnsi="Times New Roman" w:cs="仿宋_GB2312" w:hint="eastAsia"/>
          <w:snapToGrid/>
          <w:color w:val="auto"/>
          <w:kern w:val="2"/>
          <w:sz w:val="32"/>
          <w:szCs w:val="32"/>
          <w:lang w:eastAsia="zh-CN"/>
        </w:rPr>
        <w:t>4608.74</w:t>
      </w:r>
      <w:r>
        <w:rPr>
          <w:rFonts w:ascii="Times New Roman" w:eastAsia="仿宋_GB2312" w:hAnsi="Times New Roman" w:cs="仿宋_GB2312" w:hint="eastAsia"/>
          <w:snapToGrid/>
          <w:color w:val="auto"/>
          <w:kern w:val="2"/>
          <w:sz w:val="32"/>
          <w:szCs w:val="32"/>
          <w:lang w:eastAsia="zh-CN"/>
        </w:rPr>
        <w:t>万元，下降</w:t>
      </w:r>
      <w:r>
        <w:rPr>
          <w:rFonts w:ascii="Times New Roman" w:eastAsia="仿宋_GB2312" w:hAnsi="Times New Roman" w:cs="仿宋_GB2312" w:hint="eastAsia"/>
          <w:snapToGrid/>
          <w:color w:val="auto"/>
          <w:kern w:val="2"/>
          <w:sz w:val="32"/>
          <w:szCs w:val="32"/>
          <w:lang w:eastAsia="zh-CN"/>
        </w:rPr>
        <w:t>31.9%</w:t>
      </w:r>
      <w:r>
        <w:rPr>
          <w:rFonts w:ascii="Times New Roman" w:eastAsia="仿宋_GB2312" w:hAnsi="Times New Roman" w:cs="仿宋_GB2312" w:hint="eastAsia"/>
          <w:snapToGrid/>
          <w:color w:val="auto"/>
          <w:kern w:val="2"/>
          <w:sz w:val="32"/>
          <w:szCs w:val="32"/>
          <w:lang w:eastAsia="zh-CN"/>
        </w:rPr>
        <w:t>。主要变动原因是攀西院专项</w:t>
      </w:r>
      <w:proofErr w:type="gramStart"/>
      <w:r>
        <w:rPr>
          <w:rFonts w:ascii="Times New Roman" w:eastAsia="仿宋_GB2312" w:hAnsi="Times New Roman" w:cs="仿宋_GB2312" w:hint="eastAsia"/>
          <w:snapToGrid/>
          <w:color w:val="auto"/>
          <w:kern w:val="2"/>
          <w:sz w:val="32"/>
          <w:szCs w:val="32"/>
          <w:lang w:eastAsia="zh-CN"/>
        </w:rPr>
        <w:t>债收入</w:t>
      </w:r>
      <w:proofErr w:type="gramEnd"/>
      <w:r>
        <w:rPr>
          <w:rFonts w:ascii="Times New Roman" w:eastAsia="仿宋_GB2312" w:hAnsi="Times New Roman" w:cs="仿宋_GB2312" w:hint="eastAsia"/>
          <w:snapToGrid/>
          <w:color w:val="auto"/>
          <w:kern w:val="2"/>
          <w:sz w:val="32"/>
          <w:szCs w:val="32"/>
          <w:lang w:eastAsia="zh-CN"/>
        </w:rPr>
        <w:t>减少。</w:t>
      </w:r>
      <w:bookmarkEnd w:id="18"/>
    </w:p>
    <w:p w:rsidR="004B0FC1" w:rsidRDefault="00A976D9">
      <w:pPr>
        <w:pStyle w:val="12"/>
        <w:kinsoku/>
        <w:autoSpaceDE/>
        <w:autoSpaceDN/>
        <w:adjustRightInd/>
        <w:snapToGrid/>
        <w:spacing w:line="600" w:lineRule="exact"/>
        <w:ind w:firstLine="640"/>
        <w:textAlignment w:val="auto"/>
        <w:rPr>
          <w:rFonts w:eastAsia="仿宋_GB2312" w:cs="仿宋_GB2312"/>
          <w:snapToGrid/>
          <w:sz w:val="32"/>
          <w:szCs w:val="32"/>
        </w:rPr>
      </w:pPr>
      <w:bookmarkStart w:id="19" w:name="_Toc15373"/>
      <w:r>
        <w:rPr>
          <w:rFonts w:eastAsia="仿宋_GB2312" w:cs="仿宋_GB2312"/>
          <w:snapToGrid/>
          <w:sz w:val="32"/>
          <w:szCs w:val="32"/>
        </w:rPr>
        <w:t>（图</w:t>
      </w:r>
      <w:r>
        <w:rPr>
          <w:rFonts w:eastAsia="仿宋_GB2312" w:cs="仿宋_GB2312"/>
          <w:snapToGrid/>
          <w:sz w:val="32"/>
          <w:szCs w:val="32"/>
        </w:rPr>
        <w:t>1</w:t>
      </w:r>
      <w:r>
        <w:rPr>
          <w:rFonts w:eastAsia="仿宋_GB2312" w:cs="仿宋_GB2312"/>
          <w:snapToGrid/>
          <w:sz w:val="32"/>
          <w:szCs w:val="32"/>
        </w:rPr>
        <w:t>：收、支决算总计变动情况图）</w:t>
      </w:r>
      <w:bookmarkEnd w:id="19"/>
    </w:p>
    <w:p w:rsidR="004B0FC1" w:rsidRDefault="00A976D9">
      <w:pPr>
        <w:spacing w:line="360" w:lineRule="auto"/>
        <w:ind w:firstLineChars="200" w:firstLine="420"/>
        <w:jc w:val="center"/>
        <w:rPr>
          <w:rFonts w:eastAsia="宋体"/>
          <w:lang w:eastAsia="zh-CN"/>
        </w:rPr>
      </w:pPr>
      <w:r>
        <w:rPr>
          <w:rFonts w:eastAsia="宋体" w:hint="eastAsia"/>
          <w:noProof/>
          <w:lang w:eastAsia="zh-CN"/>
        </w:rPr>
        <w:drawing>
          <wp:inline distT="0" distB="0" distL="114300" distR="114300">
            <wp:extent cx="5256530" cy="2988310"/>
            <wp:effectExtent l="5080" t="4445" r="15240" b="17145"/>
            <wp:docPr id="1" name="图表 1"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B0FC1" w:rsidRDefault="004B0FC1">
      <w:pPr>
        <w:spacing w:line="360" w:lineRule="auto"/>
        <w:ind w:firstLineChars="200" w:firstLine="420"/>
        <w:jc w:val="both"/>
        <w:sectPr w:rsidR="004B0FC1">
          <w:footerReference w:type="default" r:id="rId11"/>
          <w:pgSz w:w="11906" w:h="16838"/>
          <w:pgMar w:top="1431" w:right="1467" w:bottom="1432" w:left="1598" w:header="0" w:footer="1157" w:gutter="0"/>
          <w:cols w:space="720" w:equalWidth="0">
            <w:col w:w="8840"/>
          </w:cols>
        </w:sectPr>
      </w:pP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黑体" w:hAnsi="Times New Roman" w:cs="Times New Roman"/>
          <w:snapToGrid/>
          <w:color w:val="auto"/>
          <w:kern w:val="2"/>
          <w:sz w:val="32"/>
          <w:szCs w:val="32"/>
          <w:lang w:eastAsia="zh-CN"/>
        </w:rPr>
      </w:pPr>
      <w:bookmarkStart w:id="20" w:name="_Toc7333"/>
      <w:r>
        <w:rPr>
          <w:rFonts w:ascii="Times New Roman" w:eastAsia="黑体" w:hAnsi="Times New Roman" w:cs="Times New Roman" w:hint="eastAsia"/>
          <w:snapToGrid/>
          <w:color w:val="auto"/>
          <w:kern w:val="2"/>
          <w:sz w:val="32"/>
          <w:szCs w:val="32"/>
          <w:lang w:eastAsia="zh-CN"/>
        </w:rPr>
        <w:lastRenderedPageBreak/>
        <w:t>二、收入决算情况说明</w:t>
      </w:r>
      <w:bookmarkEnd w:id="20"/>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bookmarkStart w:id="21" w:name="_Toc9797"/>
      <w:r>
        <w:rPr>
          <w:rFonts w:ascii="Times New Roman" w:eastAsia="仿宋_GB2312" w:hAnsi="Times New Roman" w:cs="仿宋_GB2312" w:hint="eastAsia"/>
          <w:snapToGrid/>
          <w:color w:val="auto"/>
          <w:kern w:val="2"/>
          <w:sz w:val="32"/>
          <w:szCs w:val="32"/>
          <w:lang w:eastAsia="zh-CN"/>
        </w:rPr>
        <w:t>2025</w:t>
      </w:r>
      <w:r>
        <w:rPr>
          <w:rFonts w:ascii="Times New Roman" w:eastAsia="仿宋_GB2312" w:hAnsi="Times New Roman" w:cs="仿宋_GB2312" w:hint="eastAsia"/>
          <w:snapToGrid/>
          <w:color w:val="auto"/>
          <w:kern w:val="2"/>
          <w:sz w:val="32"/>
          <w:szCs w:val="32"/>
          <w:lang w:eastAsia="zh-CN"/>
        </w:rPr>
        <w:t>年度本年收入合计</w:t>
      </w:r>
      <w:r>
        <w:rPr>
          <w:rFonts w:ascii="Times New Roman" w:eastAsia="仿宋_GB2312" w:hAnsi="Times New Roman" w:cs="仿宋_GB2312" w:hint="eastAsia"/>
          <w:snapToGrid/>
          <w:color w:val="auto"/>
          <w:kern w:val="2"/>
          <w:sz w:val="32"/>
          <w:szCs w:val="32"/>
          <w:lang w:eastAsia="zh-CN"/>
        </w:rPr>
        <w:t>10201.10</w:t>
      </w:r>
      <w:r>
        <w:rPr>
          <w:rFonts w:ascii="Times New Roman" w:eastAsia="仿宋_GB2312" w:hAnsi="Times New Roman" w:cs="仿宋_GB2312" w:hint="eastAsia"/>
          <w:snapToGrid/>
          <w:color w:val="auto"/>
          <w:kern w:val="2"/>
          <w:sz w:val="32"/>
          <w:szCs w:val="32"/>
          <w:lang w:eastAsia="zh-CN"/>
        </w:rPr>
        <w:t>万元，其中：一般公共预算财政拨款收入</w:t>
      </w:r>
      <w:r>
        <w:rPr>
          <w:rFonts w:ascii="Times New Roman" w:eastAsia="仿宋_GB2312" w:hAnsi="Times New Roman" w:cs="仿宋_GB2312" w:hint="eastAsia"/>
          <w:snapToGrid/>
          <w:color w:val="auto"/>
          <w:kern w:val="2"/>
          <w:sz w:val="32"/>
          <w:szCs w:val="32"/>
          <w:lang w:eastAsia="zh-CN"/>
        </w:rPr>
        <w:t>7382.57</w:t>
      </w:r>
      <w:r>
        <w:rPr>
          <w:rFonts w:ascii="Times New Roman" w:eastAsia="仿宋_GB2312" w:hAnsi="Times New Roman" w:cs="仿宋_GB2312" w:hint="eastAsia"/>
          <w:snapToGrid/>
          <w:color w:val="auto"/>
          <w:kern w:val="2"/>
          <w:sz w:val="32"/>
          <w:szCs w:val="32"/>
          <w:lang w:eastAsia="zh-CN"/>
        </w:rPr>
        <w:t>万元，占</w:t>
      </w:r>
      <w:r>
        <w:rPr>
          <w:rFonts w:ascii="Times New Roman" w:eastAsia="仿宋_GB2312" w:hAnsi="Times New Roman" w:cs="仿宋_GB2312" w:hint="eastAsia"/>
          <w:snapToGrid/>
          <w:color w:val="auto"/>
          <w:kern w:val="2"/>
          <w:sz w:val="32"/>
          <w:szCs w:val="32"/>
          <w:lang w:eastAsia="zh-CN"/>
        </w:rPr>
        <w:t>72.4%</w:t>
      </w:r>
      <w:r>
        <w:rPr>
          <w:rFonts w:ascii="Times New Roman" w:eastAsia="仿宋_GB2312" w:hAnsi="Times New Roman" w:cs="仿宋_GB2312" w:hint="eastAsia"/>
          <w:snapToGrid/>
          <w:color w:val="auto"/>
          <w:kern w:val="2"/>
          <w:sz w:val="32"/>
          <w:szCs w:val="32"/>
          <w:lang w:eastAsia="zh-CN"/>
        </w:rPr>
        <w:t>；政府性基金预算财政拨款收入</w:t>
      </w:r>
      <w:r>
        <w:rPr>
          <w:rFonts w:ascii="Times New Roman" w:eastAsia="仿宋_GB2312" w:hAnsi="Times New Roman" w:cs="仿宋_GB2312" w:hint="eastAsia"/>
          <w:snapToGrid/>
          <w:color w:val="auto"/>
          <w:kern w:val="2"/>
          <w:sz w:val="32"/>
          <w:szCs w:val="32"/>
          <w:lang w:eastAsia="zh-CN"/>
        </w:rPr>
        <w:t>596.22</w:t>
      </w:r>
      <w:r>
        <w:rPr>
          <w:rFonts w:ascii="Times New Roman" w:eastAsia="仿宋_GB2312" w:hAnsi="Times New Roman" w:cs="仿宋_GB2312" w:hint="eastAsia"/>
          <w:snapToGrid/>
          <w:color w:val="auto"/>
          <w:kern w:val="2"/>
          <w:sz w:val="32"/>
          <w:szCs w:val="32"/>
          <w:lang w:eastAsia="zh-CN"/>
        </w:rPr>
        <w:t>万元，占</w:t>
      </w:r>
      <w:r>
        <w:rPr>
          <w:rFonts w:ascii="Times New Roman" w:eastAsia="仿宋_GB2312" w:hAnsi="Times New Roman" w:cs="仿宋_GB2312" w:hint="eastAsia"/>
          <w:snapToGrid/>
          <w:color w:val="auto"/>
          <w:kern w:val="2"/>
          <w:sz w:val="32"/>
          <w:szCs w:val="32"/>
          <w:lang w:eastAsia="zh-CN"/>
        </w:rPr>
        <w:t>5.8%</w:t>
      </w:r>
      <w:r>
        <w:rPr>
          <w:rFonts w:ascii="Times New Roman" w:eastAsia="仿宋_GB2312" w:hAnsi="Times New Roman" w:cs="仿宋_GB2312" w:hint="eastAsia"/>
          <w:snapToGrid/>
          <w:color w:val="auto"/>
          <w:kern w:val="2"/>
          <w:sz w:val="32"/>
          <w:szCs w:val="32"/>
          <w:lang w:eastAsia="zh-CN"/>
        </w:rPr>
        <w:t>；国有资本经营预算财政拨款收入</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万元，占</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；上级补助收入</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万元，占</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；事业收入</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万元，占</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；经营收入</w:t>
      </w:r>
      <w:r>
        <w:rPr>
          <w:rFonts w:ascii="Times New Roman" w:eastAsia="仿宋_GB2312" w:hAnsi="Times New Roman" w:cs="仿宋_GB2312" w:hint="eastAsia"/>
          <w:snapToGrid/>
          <w:color w:val="auto"/>
          <w:kern w:val="2"/>
          <w:sz w:val="32"/>
          <w:szCs w:val="32"/>
          <w:lang w:eastAsia="zh-CN"/>
        </w:rPr>
        <w:t>2222.31</w:t>
      </w:r>
      <w:r>
        <w:rPr>
          <w:rFonts w:ascii="Times New Roman" w:eastAsia="仿宋_GB2312" w:hAnsi="Times New Roman" w:cs="仿宋_GB2312" w:hint="eastAsia"/>
          <w:snapToGrid/>
          <w:color w:val="auto"/>
          <w:kern w:val="2"/>
          <w:sz w:val="32"/>
          <w:szCs w:val="32"/>
          <w:lang w:eastAsia="zh-CN"/>
        </w:rPr>
        <w:t>万元，占</w:t>
      </w:r>
      <w:r>
        <w:rPr>
          <w:rFonts w:ascii="Times New Roman" w:eastAsia="仿宋_GB2312" w:hAnsi="Times New Roman" w:cs="仿宋_GB2312" w:hint="eastAsia"/>
          <w:snapToGrid/>
          <w:color w:val="auto"/>
          <w:kern w:val="2"/>
          <w:sz w:val="32"/>
          <w:szCs w:val="32"/>
          <w:lang w:eastAsia="zh-CN"/>
        </w:rPr>
        <w:t>21.8%</w:t>
      </w:r>
      <w:r>
        <w:rPr>
          <w:rFonts w:ascii="Times New Roman" w:eastAsia="仿宋_GB2312" w:hAnsi="Times New Roman" w:cs="仿宋_GB2312" w:hint="eastAsia"/>
          <w:snapToGrid/>
          <w:color w:val="auto"/>
          <w:kern w:val="2"/>
          <w:sz w:val="32"/>
          <w:szCs w:val="32"/>
          <w:lang w:eastAsia="zh-CN"/>
        </w:rPr>
        <w:t>；</w:t>
      </w:r>
      <w:proofErr w:type="gramStart"/>
      <w:r>
        <w:rPr>
          <w:rFonts w:ascii="Times New Roman" w:eastAsia="仿宋_GB2312" w:hAnsi="Times New Roman" w:cs="仿宋_GB2312" w:hint="eastAsia"/>
          <w:snapToGrid/>
          <w:color w:val="auto"/>
          <w:kern w:val="2"/>
          <w:sz w:val="32"/>
          <w:szCs w:val="32"/>
          <w:lang w:eastAsia="zh-CN"/>
        </w:rPr>
        <w:t>附属位</w:t>
      </w:r>
      <w:proofErr w:type="gramEnd"/>
      <w:r>
        <w:rPr>
          <w:rFonts w:ascii="Times New Roman" w:eastAsia="仿宋_GB2312" w:hAnsi="Times New Roman" w:cs="仿宋_GB2312" w:hint="eastAsia"/>
          <w:snapToGrid/>
          <w:color w:val="auto"/>
          <w:kern w:val="2"/>
          <w:sz w:val="32"/>
          <w:szCs w:val="32"/>
          <w:lang w:eastAsia="zh-CN"/>
        </w:rPr>
        <w:t>上缴收入</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万元，占</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；其他收入</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万元，占</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w:t>
      </w:r>
      <w:bookmarkEnd w:id="21"/>
    </w:p>
    <w:p w:rsidR="004B0FC1" w:rsidRDefault="00A976D9">
      <w:pPr>
        <w:pStyle w:val="12"/>
        <w:kinsoku/>
        <w:autoSpaceDE/>
        <w:autoSpaceDN/>
        <w:adjustRightInd/>
        <w:snapToGrid/>
        <w:spacing w:line="600" w:lineRule="exact"/>
        <w:ind w:firstLine="640"/>
        <w:textAlignment w:val="auto"/>
        <w:rPr>
          <w:rFonts w:eastAsia="仿宋_GB2312" w:cs="仿宋_GB2312"/>
          <w:snapToGrid/>
          <w:sz w:val="32"/>
          <w:szCs w:val="32"/>
        </w:rPr>
      </w:pPr>
      <w:bookmarkStart w:id="22" w:name="_Toc23661"/>
      <w:r>
        <w:rPr>
          <w:rFonts w:eastAsia="仿宋_GB2312" w:cs="仿宋_GB2312" w:hint="eastAsia"/>
          <w:noProof/>
          <w:snapToGrid/>
          <w:sz w:val="32"/>
          <w:szCs w:val="32"/>
        </w:rPr>
        <w:drawing>
          <wp:anchor distT="0" distB="0" distL="114935" distR="114935" simplePos="0" relativeHeight="251662336" behindDoc="0" locked="0" layoutInCell="1" allowOverlap="1">
            <wp:simplePos x="0" y="0"/>
            <wp:positionH relativeFrom="column">
              <wp:posOffset>388620</wp:posOffset>
            </wp:positionH>
            <wp:positionV relativeFrom="paragraph">
              <wp:posOffset>539750</wp:posOffset>
            </wp:positionV>
            <wp:extent cx="4621530" cy="2695575"/>
            <wp:effectExtent l="4445" t="4445" r="22225" b="5080"/>
            <wp:wrapSquare wrapText="bothSides"/>
            <wp:docPr id="2" name="图表 2"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eastAsia="仿宋_GB2312" w:cs="仿宋_GB2312"/>
          <w:snapToGrid/>
          <w:sz w:val="32"/>
          <w:szCs w:val="32"/>
        </w:rPr>
        <w:t>（图</w:t>
      </w:r>
      <w:r>
        <w:rPr>
          <w:rFonts w:eastAsia="仿宋_GB2312" w:cs="仿宋_GB2312"/>
          <w:snapToGrid/>
          <w:sz w:val="32"/>
          <w:szCs w:val="32"/>
        </w:rPr>
        <w:t>2</w:t>
      </w:r>
      <w:r>
        <w:rPr>
          <w:rFonts w:eastAsia="仿宋_GB2312" w:cs="仿宋_GB2312"/>
          <w:snapToGrid/>
          <w:sz w:val="32"/>
          <w:szCs w:val="32"/>
        </w:rPr>
        <w:t>：收入决算结构图）</w:t>
      </w:r>
      <w:bookmarkEnd w:id="22"/>
    </w:p>
    <w:p w:rsidR="004B0FC1" w:rsidRDefault="004B0FC1">
      <w:pPr>
        <w:pStyle w:val="a0"/>
        <w:rPr>
          <w:rFonts w:ascii="Times New Roman" w:eastAsia="仿宋_GB2312" w:hAnsi="Times New Roman" w:cs="Times New Roman"/>
          <w:spacing w:val="1"/>
          <w:sz w:val="31"/>
          <w:szCs w:val="31"/>
          <w:lang w:eastAsia="zh-CN"/>
        </w:rPr>
      </w:pPr>
    </w:p>
    <w:p w:rsidR="004B0FC1" w:rsidRDefault="004B0FC1">
      <w:pPr>
        <w:pStyle w:val="20"/>
        <w:ind w:left="420" w:firstLine="622"/>
        <w:rPr>
          <w:rFonts w:ascii="Times New Roman" w:eastAsia="仿宋_GB2312" w:hAnsi="Times New Roman" w:cs="Times New Roman"/>
          <w:spacing w:val="1"/>
          <w:sz w:val="31"/>
          <w:szCs w:val="31"/>
          <w:lang w:eastAsia="zh-CN"/>
        </w:rPr>
      </w:pPr>
    </w:p>
    <w:p w:rsidR="004B0FC1" w:rsidRDefault="004B0FC1">
      <w:pPr>
        <w:rPr>
          <w:rFonts w:ascii="Times New Roman" w:eastAsia="仿宋_GB2312" w:hAnsi="Times New Roman" w:cs="Times New Roman"/>
          <w:spacing w:val="1"/>
          <w:sz w:val="31"/>
          <w:szCs w:val="31"/>
          <w:lang w:eastAsia="zh-CN"/>
        </w:rPr>
      </w:pPr>
    </w:p>
    <w:p w:rsidR="004B0FC1" w:rsidRDefault="004B0FC1">
      <w:pPr>
        <w:pStyle w:val="a0"/>
        <w:rPr>
          <w:rFonts w:ascii="Times New Roman" w:eastAsia="仿宋_GB2312" w:hAnsi="Times New Roman" w:cs="Times New Roman"/>
          <w:spacing w:val="1"/>
          <w:sz w:val="31"/>
          <w:szCs w:val="31"/>
          <w:lang w:eastAsia="zh-CN"/>
        </w:rPr>
      </w:pPr>
    </w:p>
    <w:p w:rsidR="004B0FC1" w:rsidRDefault="004B0FC1">
      <w:pPr>
        <w:pStyle w:val="20"/>
        <w:ind w:left="420" w:firstLine="622"/>
        <w:rPr>
          <w:rFonts w:ascii="Times New Roman" w:eastAsia="仿宋_GB2312" w:hAnsi="Times New Roman" w:cs="Times New Roman"/>
          <w:spacing w:val="1"/>
          <w:sz w:val="31"/>
          <w:szCs w:val="31"/>
          <w:lang w:eastAsia="zh-CN"/>
        </w:rPr>
      </w:pPr>
    </w:p>
    <w:p w:rsidR="004B0FC1" w:rsidRDefault="004B0FC1">
      <w:pPr>
        <w:rPr>
          <w:rFonts w:ascii="Times New Roman" w:eastAsia="仿宋_GB2312" w:hAnsi="Times New Roman" w:cs="Times New Roman"/>
          <w:spacing w:val="1"/>
          <w:sz w:val="31"/>
          <w:szCs w:val="31"/>
          <w:lang w:eastAsia="zh-CN"/>
        </w:rPr>
      </w:pPr>
    </w:p>
    <w:p w:rsidR="004B0FC1" w:rsidRDefault="004B0FC1">
      <w:pPr>
        <w:pStyle w:val="a0"/>
        <w:rPr>
          <w:rFonts w:ascii="Times New Roman" w:eastAsia="仿宋_GB2312" w:hAnsi="Times New Roman" w:cs="Times New Roman"/>
          <w:spacing w:val="1"/>
          <w:sz w:val="31"/>
          <w:szCs w:val="31"/>
          <w:lang w:eastAsia="zh-CN"/>
        </w:rPr>
      </w:pPr>
    </w:p>
    <w:p w:rsidR="004B0FC1" w:rsidRDefault="004B0FC1">
      <w:pPr>
        <w:pStyle w:val="20"/>
        <w:ind w:left="420" w:firstLine="622"/>
        <w:rPr>
          <w:rFonts w:ascii="Times New Roman" w:eastAsia="仿宋_GB2312" w:hAnsi="Times New Roman" w:cs="Times New Roman"/>
          <w:spacing w:val="1"/>
          <w:sz w:val="31"/>
          <w:szCs w:val="31"/>
          <w:lang w:eastAsia="zh-CN"/>
        </w:rPr>
      </w:pPr>
    </w:p>
    <w:p w:rsidR="004B0FC1" w:rsidRDefault="004B0FC1">
      <w:pPr>
        <w:rPr>
          <w:rFonts w:ascii="Times New Roman" w:eastAsia="仿宋_GB2312" w:hAnsi="Times New Roman" w:cs="Times New Roman"/>
          <w:spacing w:val="1"/>
          <w:sz w:val="31"/>
          <w:szCs w:val="31"/>
          <w:lang w:eastAsia="zh-CN"/>
        </w:rPr>
      </w:pPr>
    </w:p>
    <w:p w:rsidR="004B0FC1" w:rsidRDefault="004B0FC1">
      <w:pPr>
        <w:pStyle w:val="a0"/>
        <w:rPr>
          <w:rFonts w:ascii="Times New Roman" w:eastAsia="仿宋_GB2312" w:hAnsi="Times New Roman" w:cs="Times New Roman"/>
          <w:spacing w:val="1"/>
          <w:sz w:val="31"/>
          <w:szCs w:val="31"/>
          <w:lang w:eastAsia="zh-CN"/>
        </w:rPr>
      </w:pPr>
    </w:p>
    <w:p w:rsidR="004B0FC1" w:rsidRDefault="004B0FC1">
      <w:pPr>
        <w:pStyle w:val="20"/>
        <w:ind w:left="420" w:firstLine="622"/>
        <w:rPr>
          <w:rFonts w:ascii="Times New Roman" w:eastAsia="仿宋_GB2312" w:hAnsi="Times New Roman" w:cs="Times New Roman"/>
          <w:spacing w:val="1"/>
          <w:sz w:val="31"/>
          <w:szCs w:val="31"/>
          <w:lang w:eastAsia="zh-CN"/>
        </w:rPr>
      </w:pPr>
    </w:p>
    <w:p w:rsidR="004B0FC1" w:rsidRDefault="004B0FC1">
      <w:pPr>
        <w:pStyle w:val="a0"/>
        <w:rPr>
          <w:rFonts w:ascii="Times New Roman" w:eastAsia="仿宋_GB2312" w:hAnsi="Times New Roman" w:cs="Times New Roman"/>
          <w:spacing w:val="1"/>
          <w:sz w:val="31"/>
          <w:szCs w:val="31"/>
          <w:lang w:eastAsia="zh-CN"/>
        </w:rPr>
      </w:pP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黑体" w:hAnsi="Times New Roman" w:cs="Times New Roman"/>
          <w:snapToGrid/>
          <w:color w:val="auto"/>
          <w:kern w:val="2"/>
          <w:sz w:val="32"/>
          <w:szCs w:val="32"/>
          <w:lang w:eastAsia="zh-CN"/>
        </w:rPr>
      </w:pPr>
      <w:bookmarkStart w:id="23" w:name="_Toc28829"/>
      <w:r>
        <w:rPr>
          <w:rFonts w:ascii="Times New Roman" w:eastAsia="黑体" w:hAnsi="Times New Roman" w:cs="Times New Roman" w:hint="eastAsia"/>
          <w:snapToGrid/>
          <w:color w:val="auto"/>
          <w:kern w:val="2"/>
          <w:sz w:val="32"/>
          <w:szCs w:val="32"/>
          <w:lang w:eastAsia="zh-CN"/>
        </w:rPr>
        <w:t>三、支出决算情况说明</w:t>
      </w:r>
      <w:bookmarkEnd w:id="23"/>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bookmarkStart w:id="24" w:name="_Toc21357"/>
      <w:r>
        <w:rPr>
          <w:rFonts w:ascii="Times New Roman" w:eastAsia="仿宋_GB2312" w:hAnsi="Times New Roman" w:cs="仿宋_GB2312" w:hint="eastAsia"/>
          <w:snapToGrid/>
          <w:color w:val="auto"/>
          <w:kern w:val="2"/>
          <w:sz w:val="32"/>
          <w:szCs w:val="32"/>
          <w:lang w:eastAsia="zh-CN"/>
        </w:rPr>
        <w:t>2025</w:t>
      </w:r>
      <w:r>
        <w:rPr>
          <w:rFonts w:ascii="Times New Roman" w:eastAsia="仿宋_GB2312" w:hAnsi="Times New Roman" w:cs="仿宋_GB2312" w:hint="eastAsia"/>
          <w:snapToGrid/>
          <w:color w:val="auto"/>
          <w:kern w:val="2"/>
          <w:sz w:val="32"/>
          <w:szCs w:val="32"/>
          <w:lang w:eastAsia="zh-CN"/>
        </w:rPr>
        <w:t>年度本年支出合计</w:t>
      </w:r>
      <w:r>
        <w:rPr>
          <w:rFonts w:ascii="Times New Roman" w:eastAsia="仿宋_GB2312" w:hAnsi="Times New Roman" w:cs="仿宋_GB2312" w:hint="eastAsia"/>
          <w:snapToGrid/>
          <w:color w:val="auto"/>
          <w:kern w:val="2"/>
          <w:sz w:val="32"/>
          <w:szCs w:val="32"/>
          <w:lang w:eastAsia="zh-CN"/>
        </w:rPr>
        <w:t>10215.93</w:t>
      </w:r>
      <w:r>
        <w:rPr>
          <w:rFonts w:ascii="Times New Roman" w:eastAsia="仿宋_GB2312" w:hAnsi="Times New Roman" w:cs="仿宋_GB2312" w:hint="eastAsia"/>
          <w:snapToGrid/>
          <w:color w:val="auto"/>
          <w:kern w:val="2"/>
          <w:sz w:val="32"/>
          <w:szCs w:val="32"/>
          <w:lang w:eastAsia="zh-CN"/>
        </w:rPr>
        <w:t>万元，其中：基本支出</w:t>
      </w:r>
      <w:r>
        <w:rPr>
          <w:rFonts w:ascii="Times New Roman" w:eastAsia="仿宋_GB2312" w:hAnsi="Times New Roman" w:cs="仿宋_GB2312" w:hint="eastAsia"/>
          <w:snapToGrid/>
          <w:color w:val="auto"/>
          <w:kern w:val="2"/>
          <w:sz w:val="32"/>
          <w:szCs w:val="32"/>
          <w:lang w:eastAsia="zh-CN"/>
        </w:rPr>
        <w:t>6581.34</w:t>
      </w:r>
      <w:r>
        <w:rPr>
          <w:rFonts w:ascii="Times New Roman" w:eastAsia="仿宋_GB2312" w:hAnsi="Times New Roman" w:cs="仿宋_GB2312" w:hint="eastAsia"/>
          <w:snapToGrid/>
          <w:color w:val="auto"/>
          <w:kern w:val="2"/>
          <w:sz w:val="32"/>
          <w:szCs w:val="32"/>
          <w:lang w:eastAsia="zh-CN"/>
        </w:rPr>
        <w:t>万元，占</w:t>
      </w:r>
      <w:r>
        <w:rPr>
          <w:rFonts w:ascii="Times New Roman" w:eastAsia="仿宋_GB2312" w:hAnsi="Times New Roman" w:cs="仿宋_GB2312" w:hint="eastAsia"/>
          <w:snapToGrid/>
          <w:color w:val="auto"/>
          <w:kern w:val="2"/>
          <w:sz w:val="32"/>
          <w:szCs w:val="32"/>
          <w:lang w:eastAsia="zh-CN"/>
        </w:rPr>
        <w:t>64.4%</w:t>
      </w:r>
      <w:r>
        <w:rPr>
          <w:rFonts w:ascii="Times New Roman" w:eastAsia="仿宋_GB2312" w:hAnsi="Times New Roman" w:cs="仿宋_GB2312" w:hint="eastAsia"/>
          <w:snapToGrid/>
          <w:color w:val="auto"/>
          <w:kern w:val="2"/>
          <w:sz w:val="32"/>
          <w:szCs w:val="32"/>
          <w:lang w:eastAsia="zh-CN"/>
        </w:rPr>
        <w:t>；项目支出</w:t>
      </w:r>
      <w:r>
        <w:rPr>
          <w:rFonts w:ascii="Times New Roman" w:eastAsia="仿宋_GB2312" w:hAnsi="Times New Roman" w:cs="仿宋_GB2312" w:hint="eastAsia"/>
          <w:snapToGrid/>
          <w:color w:val="auto"/>
          <w:kern w:val="2"/>
          <w:sz w:val="32"/>
          <w:szCs w:val="32"/>
          <w:lang w:eastAsia="zh-CN"/>
        </w:rPr>
        <w:t>1398.99</w:t>
      </w:r>
      <w:r>
        <w:rPr>
          <w:rFonts w:ascii="Times New Roman" w:eastAsia="仿宋_GB2312" w:hAnsi="Times New Roman" w:cs="仿宋_GB2312" w:hint="eastAsia"/>
          <w:snapToGrid/>
          <w:color w:val="auto"/>
          <w:kern w:val="2"/>
          <w:sz w:val="32"/>
          <w:szCs w:val="32"/>
          <w:lang w:eastAsia="zh-CN"/>
        </w:rPr>
        <w:t>万元，占</w:t>
      </w:r>
      <w:r>
        <w:rPr>
          <w:rFonts w:ascii="Times New Roman" w:eastAsia="仿宋_GB2312" w:hAnsi="Times New Roman" w:cs="仿宋_GB2312" w:hint="eastAsia"/>
          <w:snapToGrid/>
          <w:color w:val="auto"/>
          <w:kern w:val="2"/>
          <w:sz w:val="32"/>
          <w:szCs w:val="32"/>
          <w:lang w:eastAsia="zh-CN"/>
        </w:rPr>
        <w:t>13.7%</w:t>
      </w:r>
      <w:r>
        <w:rPr>
          <w:rFonts w:ascii="Times New Roman" w:eastAsia="仿宋_GB2312" w:hAnsi="Times New Roman" w:cs="仿宋_GB2312" w:hint="eastAsia"/>
          <w:snapToGrid/>
          <w:color w:val="auto"/>
          <w:kern w:val="2"/>
          <w:sz w:val="32"/>
          <w:szCs w:val="32"/>
          <w:lang w:eastAsia="zh-CN"/>
        </w:rPr>
        <w:t>；上缴上级支出</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万元，占</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；经营支出</w:t>
      </w:r>
      <w:r>
        <w:rPr>
          <w:rFonts w:ascii="Times New Roman" w:eastAsia="仿宋_GB2312" w:hAnsi="Times New Roman" w:cs="仿宋_GB2312" w:hint="eastAsia"/>
          <w:snapToGrid/>
          <w:color w:val="auto"/>
          <w:kern w:val="2"/>
          <w:sz w:val="32"/>
          <w:szCs w:val="32"/>
          <w:lang w:eastAsia="zh-CN"/>
        </w:rPr>
        <w:t>2235.60</w:t>
      </w:r>
      <w:r>
        <w:rPr>
          <w:rFonts w:ascii="Times New Roman" w:eastAsia="仿宋_GB2312" w:hAnsi="Times New Roman" w:cs="仿宋_GB2312" w:hint="eastAsia"/>
          <w:snapToGrid/>
          <w:color w:val="auto"/>
          <w:kern w:val="2"/>
          <w:sz w:val="32"/>
          <w:szCs w:val="32"/>
          <w:lang w:eastAsia="zh-CN"/>
        </w:rPr>
        <w:t>万元，占</w:t>
      </w:r>
      <w:r>
        <w:rPr>
          <w:rFonts w:ascii="Times New Roman" w:eastAsia="仿宋_GB2312" w:hAnsi="Times New Roman" w:cs="仿宋_GB2312" w:hint="eastAsia"/>
          <w:snapToGrid/>
          <w:color w:val="auto"/>
          <w:kern w:val="2"/>
          <w:sz w:val="32"/>
          <w:szCs w:val="32"/>
          <w:lang w:eastAsia="zh-CN"/>
        </w:rPr>
        <w:t>21.9%</w:t>
      </w:r>
      <w:r>
        <w:rPr>
          <w:rFonts w:ascii="Times New Roman" w:eastAsia="仿宋_GB2312" w:hAnsi="Times New Roman" w:cs="仿宋_GB2312" w:hint="eastAsia"/>
          <w:snapToGrid/>
          <w:color w:val="auto"/>
          <w:kern w:val="2"/>
          <w:sz w:val="32"/>
          <w:szCs w:val="32"/>
          <w:lang w:eastAsia="zh-CN"/>
        </w:rPr>
        <w:t>；对附属单位补助支出</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万元，占</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w:t>
      </w:r>
      <w:bookmarkEnd w:id="24"/>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bookmarkStart w:id="25" w:name="_Toc6524"/>
      <w:r>
        <w:rPr>
          <w:rFonts w:ascii="Times New Roman" w:eastAsia="仿宋_GB2312" w:hAnsi="Times New Roman" w:cs="仿宋_GB2312" w:hint="eastAsia"/>
          <w:noProof/>
          <w:snapToGrid/>
          <w:color w:val="auto"/>
          <w:kern w:val="2"/>
          <w:sz w:val="32"/>
          <w:szCs w:val="32"/>
          <w:lang w:eastAsia="zh-CN"/>
        </w:rPr>
        <w:lastRenderedPageBreak/>
        <w:drawing>
          <wp:anchor distT="0" distB="0" distL="114300" distR="114300" simplePos="0" relativeHeight="251663360" behindDoc="0" locked="0" layoutInCell="1" allowOverlap="1">
            <wp:simplePos x="0" y="0"/>
            <wp:positionH relativeFrom="column">
              <wp:posOffset>357505</wp:posOffset>
            </wp:positionH>
            <wp:positionV relativeFrom="paragraph">
              <wp:posOffset>405765</wp:posOffset>
            </wp:positionV>
            <wp:extent cx="4549140" cy="2494280"/>
            <wp:effectExtent l="4445" t="4445" r="18415" b="15875"/>
            <wp:wrapSquare wrapText="bothSides"/>
            <wp:docPr id="3" name="图表 3"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ascii="Times New Roman" w:eastAsia="仿宋_GB2312" w:hAnsi="Times New Roman" w:cs="仿宋_GB2312" w:hint="eastAsia"/>
          <w:snapToGrid/>
          <w:color w:val="auto"/>
          <w:kern w:val="2"/>
          <w:sz w:val="32"/>
          <w:szCs w:val="32"/>
          <w:lang w:eastAsia="zh-CN"/>
        </w:rPr>
        <w:t>（图</w:t>
      </w:r>
      <w:r>
        <w:rPr>
          <w:rFonts w:ascii="Times New Roman" w:eastAsia="仿宋_GB2312" w:hAnsi="Times New Roman" w:cs="仿宋_GB2312" w:hint="eastAsia"/>
          <w:snapToGrid/>
          <w:color w:val="auto"/>
          <w:kern w:val="2"/>
          <w:sz w:val="32"/>
          <w:szCs w:val="32"/>
          <w:lang w:eastAsia="zh-CN"/>
        </w:rPr>
        <w:t>3</w:t>
      </w:r>
      <w:r>
        <w:rPr>
          <w:rFonts w:ascii="Times New Roman" w:eastAsia="仿宋_GB2312" w:hAnsi="Times New Roman" w:cs="仿宋_GB2312" w:hint="eastAsia"/>
          <w:snapToGrid/>
          <w:color w:val="auto"/>
          <w:kern w:val="2"/>
          <w:sz w:val="32"/>
          <w:szCs w:val="32"/>
          <w:lang w:eastAsia="zh-CN"/>
        </w:rPr>
        <w:t>：支出决算结构图）</w:t>
      </w:r>
      <w:bookmarkEnd w:id="25"/>
    </w:p>
    <w:p w:rsidR="004B0FC1" w:rsidRDefault="004B0FC1">
      <w:pPr>
        <w:spacing w:line="360" w:lineRule="auto"/>
        <w:ind w:firstLineChars="200" w:firstLine="420"/>
        <w:jc w:val="center"/>
        <w:rPr>
          <w:rFonts w:eastAsia="宋体"/>
          <w:lang w:eastAsia="zh-CN"/>
        </w:rPr>
      </w:pPr>
      <w:bookmarkStart w:id="26" w:name="bookmark34"/>
      <w:bookmarkEnd w:id="26"/>
    </w:p>
    <w:p w:rsidR="004B0FC1" w:rsidRDefault="004B0FC1">
      <w:pPr>
        <w:pStyle w:val="a0"/>
        <w:rPr>
          <w:rFonts w:eastAsia="宋体"/>
          <w:sz w:val="21"/>
          <w:lang w:eastAsia="zh-CN"/>
        </w:rPr>
      </w:pPr>
    </w:p>
    <w:p w:rsidR="004B0FC1" w:rsidRDefault="004B0FC1">
      <w:pPr>
        <w:pStyle w:val="20"/>
        <w:ind w:left="420"/>
        <w:rPr>
          <w:rFonts w:ascii="Arial" w:eastAsia="宋体"/>
          <w:lang w:eastAsia="zh-CN"/>
        </w:rPr>
      </w:pPr>
    </w:p>
    <w:p w:rsidR="004B0FC1" w:rsidRDefault="004B0FC1">
      <w:pPr>
        <w:rPr>
          <w:rFonts w:eastAsia="宋体"/>
          <w:lang w:eastAsia="zh-CN"/>
        </w:rPr>
      </w:pPr>
    </w:p>
    <w:p w:rsidR="004B0FC1" w:rsidRDefault="004B0FC1">
      <w:pPr>
        <w:pStyle w:val="a0"/>
        <w:rPr>
          <w:rFonts w:eastAsia="宋体"/>
          <w:sz w:val="21"/>
          <w:lang w:eastAsia="zh-CN"/>
        </w:rPr>
      </w:pPr>
    </w:p>
    <w:p w:rsidR="004B0FC1" w:rsidRDefault="004B0FC1">
      <w:pPr>
        <w:pStyle w:val="20"/>
        <w:ind w:left="420"/>
        <w:rPr>
          <w:rFonts w:ascii="Arial" w:eastAsia="宋体"/>
          <w:lang w:eastAsia="zh-CN"/>
        </w:rPr>
      </w:pPr>
    </w:p>
    <w:p w:rsidR="004B0FC1" w:rsidRDefault="004B0FC1">
      <w:pPr>
        <w:rPr>
          <w:rFonts w:eastAsia="宋体"/>
          <w:lang w:eastAsia="zh-CN"/>
        </w:rPr>
      </w:pPr>
    </w:p>
    <w:p w:rsidR="004B0FC1" w:rsidRDefault="004B0FC1">
      <w:pPr>
        <w:pStyle w:val="a0"/>
        <w:rPr>
          <w:rFonts w:eastAsia="宋体"/>
          <w:sz w:val="21"/>
          <w:lang w:eastAsia="zh-CN"/>
        </w:rPr>
      </w:pPr>
    </w:p>
    <w:p w:rsidR="004B0FC1" w:rsidRDefault="004B0FC1">
      <w:pPr>
        <w:pStyle w:val="20"/>
        <w:ind w:left="420"/>
        <w:rPr>
          <w:rFonts w:ascii="Arial" w:eastAsia="宋体"/>
          <w:lang w:eastAsia="zh-CN"/>
        </w:rPr>
      </w:pPr>
    </w:p>
    <w:p w:rsidR="004B0FC1" w:rsidRDefault="004B0FC1">
      <w:pPr>
        <w:rPr>
          <w:rFonts w:eastAsia="宋体"/>
          <w:lang w:eastAsia="zh-CN"/>
        </w:rPr>
      </w:pPr>
    </w:p>
    <w:p w:rsidR="004B0FC1" w:rsidRDefault="004B0FC1">
      <w:pPr>
        <w:pStyle w:val="a0"/>
        <w:rPr>
          <w:rFonts w:eastAsia="宋体"/>
          <w:sz w:val="21"/>
          <w:lang w:eastAsia="zh-CN"/>
        </w:rPr>
      </w:pPr>
    </w:p>
    <w:p w:rsidR="004B0FC1" w:rsidRDefault="004B0FC1">
      <w:pPr>
        <w:pStyle w:val="20"/>
        <w:ind w:left="420"/>
        <w:rPr>
          <w:lang w:eastAsia="zh-CN"/>
        </w:rPr>
      </w:pPr>
    </w:p>
    <w:p w:rsidR="004B0FC1" w:rsidRDefault="004B0FC1">
      <w:pPr>
        <w:spacing w:line="360" w:lineRule="auto"/>
        <w:jc w:val="both"/>
        <w:outlineLvl w:val="1"/>
        <w:rPr>
          <w:rFonts w:ascii="黑体" w:eastAsia="黑体" w:hAnsi="黑体" w:cs="黑体"/>
          <w:spacing w:val="8"/>
          <w:sz w:val="31"/>
          <w:szCs w:val="31"/>
          <w:lang w:eastAsia="zh-CN"/>
        </w:rPr>
      </w:pPr>
      <w:bookmarkStart w:id="27" w:name="bookmark35"/>
      <w:bookmarkEnd w:id="27"/>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黑体" w:hAnsi="Times New Roman" w:cs="Times New Roman"/>
          <w:snapToGrid/>
          <w:color w:val="auto"/>
          <w:kern w:val="2"/>
          <w:sz w:val="32"/>
          <w:szCs w:val="32"/>
          <w:lang w:eastAsia="zh-CN"/>
        </w:rPr>
      </w:pPr>
      <w:bookmarkStart w:id="28" w:name="_Toc4550"/>
      <w:r>
        <w:rPr>
          <w:rFonts w:ascii="Times New Roman" w:eastAsia="黑体" w:hAnsi="Times New Roman" w:cs="Times New Roman" w:hint="eastAsia"/>
          <w:snapToGrid/>
          <w:color w:val="auto"/>
          <w:kern w:val="2"/>
          <w:sz w:val="32"/>
          <w:szCs w:val="32"/>
          <w:lang w:eastAsia="zh-CN"/>
        </w:rPr>
        <w:t>四、财政拨款收入支出决算总体情况说明</w:t>
      </w:r>
      <w:bookmarkEnd w:id="28"/>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bookmarkStart w:id="29" w:name="_Toc25738"/>
      <w:bookmarkStart w:id="30" w:name="_Toc24651"/>
      <w:r>
        <w:rPr>
          <w:rFonts w:ascii="Times New Roman" w:eastAsia="仿宋_GB2312" w:hAnsi="Times New Roman" w:cs="仿宋_GB2312" w:hint="eastAsia"/>
          <w:snapToGrid/>
          <w:color w:val="auto"/>
          <w:kern w:val="2"/>
          <w:sz w:val="32"/>
          <w:szCs w:val="32"/>
          <w:lang w:eastAsia="zh-CN"/>
        </w:rPr>
        <w:t>2025</w:t>
      </w:r>
      <w:r>
        <w:rPr>
          <w:rFonts w:ascii="Times New Roman" w:eastAsia="仿宋_GB2312" w:hAnsi="Times New Roman" w:cs="仿宋_GB2312" w:hint="eastAsia"/>
          <w:snapToGrid/>
          <w:color w:val="auto"/>
          <w:kern w:val="2"/>
          <w:sz w:val="32"/>
          <w:szCs w:val="32"/>
          <w:lang w:eastAsia="zh-CN"/>
        </w:rPr>
        <w:t>年度财政拨款收、支总计</w:t>
      </w:r>
      <w:r>
        <w:rPr>
          <w:rFonts w:ascii="Times New Roman" w:eastAsia="仿宋_GB2312" w:hAnsi="Times New Roman" w:cs="仿宋_GB2312" w:hint="eastAsia"/>
          <w:snapToGrid/>
          <w:color w:val="auto"/>
          <w:kern w:val="2"/>
          <w:sz w:val="32"/>
          <w:szCs w:val="32"/>
          <w:lang w:eastAsia="zh-CN"/>
        </w:rPr>
        <w:t>7978.79</w:t>
      </w:r>
      <w:r>
        <w:rPr>
          <w:rFonts w:ascii="Times New Roman" w:eastAsia="仿宋_GB2312" w:hAnsi="Times New Roman" w:cs="仿宋_GB2312" w:hint="eastAsia"/>
          <w:snapToGrid/>
          <w:color w:val="auto"/>
          <w:kern w:val="2"/>
          <w:sz w:val="32"/>
          <w:szCs w:val="32"/>
          <w:lang w:eastAsia="zh-CN"/>
        </w:rPr>
        <w:t>万元。与</w:t>
      </w:r>
      <w:r>
        <w:rPr>
          <w:rFonts w:ascii="Times New Roman" w:eastAsia="仿宋_GB2312" w:hAnsi="Times New Roman" w:cs="仿宋_GB2312" w:hint="eastAsia"/>
          <w:snapToGrid/>
          <w:color w:val="auto"/>
          <w:kern w:val="2"/>
          <w:sz w:val="32"/>
          <w:szCs w:val="32"/>
          <w:lang w:eastAsia="zh-CN"/>
        </w:rPr>
        <w:t>2024</w:t>
      </w:r>
      <w:r>
        <w:rPr>
          <w:rFonts w:ascii="Times New Roman" w:eastAsia="仿宋_GB2312" w:hAnsi="Times New Roman" w:cs="仿宋_GB2312" w:hint="eastAsia"/>
          <w:snapToGrid/>
          <w:color w:val="auto"/>
          <w:kern w:val="2"/>
          <w:sz w:val="32"/>
          <w:szCs w:val="32"/>
          <w:lang w:eastAsia="zh-CN"/>
        </w:rPr>
        <w:t>年度相比财政拨款收、支总计各减少</w:t>
      </w:r>
      <w:r>
        <w:rPr>
          <w:rFonts w:ascii="Times New Roman" w:eastAsia="仿宋_GB2312" w:hAnsi="Times New Roman" w:cs="仿宋_GB2312" w:hint="eastAsia"/>
          <w:snapToGrid/>
          <w:color w:val="auto"/>
          <w:kern w:val="2"/>
          <w:sz w:val="32"/>
          <w:szCs w:val="32"/>
          <w:lang w:eastAsia="zh-CN"/>
        </w:rPr>
        <w:t>4404.01</w:t>
      </w:r>
      <w:r>
        <w:rPr>
          <w:rFonts w:ascii="Times New Roman" w:eastAsia="仿宋_GB2312" w:hAnsi="Times New Roman" w:cs="仿宋_GB2312" w:hint="eastAsia"/>
          <w:snapToGrid/>
          <w:color w:val="auto"/>
          <w:kern w:val="2"/>
          <w:sz w:val="32"/>
          <w:szCs w:val="32"/>
          <w:lang w:eastAsia="zh-CN"/>
        </w:rPr>
        <w:t>万元，下降</w:t>
      </w:r>
      <w:r>
        <w:rPr>
          <w:rFonts w:ascii="Times New Roman" w:eastAsia="仿宋_GB2312" w:hAnsi="Times New Roman" w:cs="仿宋_GB2312" w:hint="eastAsia"/>
          <w:snapToGrid/>
          <w:color w:val="auto"/>
          <w:kern w:val="2"/>
          <w:sz w:val="32"/>
          <w:szCs w:val="32"/>
          <w:lang w:eastAsia="zh-CN"/>
        </w:rPr>
        <w:t>35.6%</w:t>
      </w:r>
      <w:r>
        <w:rPr>
          <w:rFonts w:ascii="Times New Roman" w:eastAsia="仿宋_GB2312" w:hAnsi="Times New Roman" w:cs="仿宋_GB2312" w:hint="eastAsia"/>
          <w:snapToGrid/>
          <w:color w:val="auto"/>
          <w:kern w:val="2"/>
          <w:sz w:val="32"/>
          <w:szCs w:val="32"/>
          <w:lang w:eastAsia="zh-CN"/>
        </w:rPr>
        <w:t>。主要变动原因是攀西院专项</w:t>
      </w:r>
      <w:proofErr w:type="gramStart"/>
      <w:r>
        <w:rPr>
          <w:rFonts w:ascii="Times New Roman" w:eastAsia="仿宋_GB2312" w:hAnsi="Times New Roman" w:cs="仿宋_GB2312" w:hint="eastAsia"/>
          <w:snapToGrid/>
          <w:color w:val="auto"/>
          <w:kern w:val="2"/>
          <w:sz w:val="32"/>
          <w:szCs w:val="32"/>
          <w:lang w:eastAsia="zh-CN"/>
        </w:rPr>
        <w:t>债收入</w:t>
      </w:r>
      <w:proofErr w:type="gramEnd"/>
      <w:r>
        <w:rPr>
          <w:rFonts w:ascii="Times New Roman" w:eastAsia="仿宋_GB2312" w:hAnsi="Times New Roman" w:cs="仿宋_GB2312" w:hint="eastAsia"/>
          <w:snapToGrid/>
          <w:color w:val="auto"/>
          <w:kern w:val="2"/>
          <w:sz w:val="32"/>
          <w:szCs w:val="32"/>
          <w:lang w:eastAsia="zh-CN"/>
        </w:rPr>
        <w:t>减少。</w:t>
      </w:r>
      <w:bookmarkEnd w:id="29"/>
      <w:bookmarkEnd w:id="30"/>
    </w:p>
    <w:p w:rsidR="004B0FC1" w:rsidRDefault="00A976D9">
      <w:pPr>
        <w:pStyle w:val="12"/>
        <w:kinsoku/>
        <w:autoSpaceDE/>
        <w:autoSpaceDN/>
        <w:adjustRightInd/>
        <w:snapToGrid/>
        <w:spacing w:line="600" w:lineRule="exact"/>
        <w:ind w:firstLine="640"/>
        <w:textAlignment w:val="auto"/>
        <w:outlineLvl w:val="1"/>
        <w:rPr>
          <w:rFonts w:eastAsia="仿宋_GB2312" w:cs="仿宋_GB2312"/>
          <w:snapToGrid/>
          <w:color w:val="auto"/>
          <w:sz w:val="32"/>
          <w:szCs w:val="32"/>
        </w:rPr>
      </w:pPr>
      <w:bookmarkStart w:id="31" w:name="_Toc24030"/>
      <w:bookmarkStart w:id="32" w:name="_Toc816"/>
      <w:r>
        <w:rPr>
          <w:rFonts w:eastAsia="仿宋_GB2312" w:cs="仿宋_GB2312"/>
          <w:snapToGrid/>
          <w:color w:val="auto"/>
          <w:sz w:val="32"/>
          <w:szCs w:val="32"/>
        </w:rPr>
        <w:t>（图</w:t>
      </w:r>
      <w:r>
        <w:rPr>
          <w:rFonts w:eastAsia="仿宋_GB2312" w:cs="仿宋_GB2312"/>
          <w:snapToGrid/>
          <w:color w:val="auto"/>
          <w:sz w:val="32"/>
          <w:szCs w:val="32"/>
        </w:rPr>
        <w:t>4</w:t>
      </w:r>
      <w:r>
        <w:rPr>
          <w:rFonts w:eastAsia="仿宋_GB2312" w:cs="仿宋_GB2312"/>
          <w:snapToGrid/>
          <w:color w:val="auto"/>
          <w:sz w:val="32"/>
          <w:szCs w:val="32"/>
        </w:rPr>
        <w:t>：财政拨款收、支决算总计变动情况）</w:t>
      </w:r>
      <w:bookmarkEnd w:id="31"/>
      <w:bookmarkEnd w:id="32"/>
    </w:p>
    <w:p w:rsidR="004B0FC1" w:rsidRDefault="00A976D9">
      <w:pPr>
        <w:spacing w:line="360" w:lineRule="auto"/>
        <w:ind w:firstLineChars="200" w:firstLine="420"/>
        <w:jc w:val="center"/>
        <w:rPr>
          <w:rFonts w:eastAsia="宋体"/>
          <w:lang w:eastAsia="zh-CN"/>
        </w:rPr>
      </w:pPr>
      <w:r>
        <w:rPr>
          <w:rFonts w:eastAsia="宋体" w:hint="eastAsia"/>
          <w:noProof/>
          <w:lang w:eastAsia="zh-CN"/>
        </w:rPr>
        <w:drawing>
          <wp:inline distT="0" distB="0" distL="114300" distR="114300">
            <wp:extent cx="5018405" cy="2718435"/>
            <wp:effectExtent l="4445" t="4445" r="6350" b="20320"/>
            <wp:docPr id="5" name="图表 5" descr="7b0a202020202263686172745265734964223a20223530303731323938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B0FC1" w:rsidRDefault="004B0FC1">
      <w:pPr>
        <w:spacing w:line="360" w:lineRule="auto"/>
        <w:ind w:firstLineChars="200" w:firstLine="420"/>
        <w:jc w:val="both"/>
        <w:sectPr w:rsidR="004B0FC1">
          <w:footerReference w:type="default" r:id="rId15"/>
          <w:pgSz w:w="11906" w:h="16838"/>
          <w:pgMar w:top="1431" w:right="1380" w:bottom="1432" w:left="1599" w:header="0" w:footer="1156" w:gutter="0"/>
          <w:cols w:space="720" w:equalWidth="0">
            <w:col w:w="8925"/>
          </w:cols>
        </w:sectPr>
      </w:pP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黑体" w:hAnsi="Times New Roman" w:cs="Times New Roman"/>
          <w:snapToGrid/>
          <w:color w:val="auto"/>
          <w:kern w:val="2"/>
          <w:sz w:val="32"/>
          <w:szCs w:val="32"/>
          <w:lang w:eastAsia="zh-CN"/>
        </w:rPr>
      </w:pPr>
      <w:bookmarkStart w:id="33" w:name="_Toc16851"/>
      <w:r>
        <w:rPr>
          <w:rFonts w:ascii="Times New Roman" w:eastAsia="黑体" w:hAnsi="Times New Roman" w:cs="Times New Roman" w:hint="eastAsia"/>
          <w:snapToGrid/>
          <w:color w:val="auto"/>
          <w:kern w:val="2"/>
          <w:sz w:val="32"/>
          <w:szCs w:val="32"/>
          <w:lang w:eastAsia="zh-CN"/>
        </w:rPr>
        <w:lastRenderedPageBreak/>
        <w:t>五、一般公共预算财政拨款支出决算情况说明</w:t>
      </w:r>
      <w:bookmarkEnd w:id="33"/>
    </w:p>
    <w:p w:rsidR="004B0FC1" w:rsidRDefault="00A976D9" w:rsidP="0061664C">
      <w:pPr>
        <w:widowControl w:val="0"/>
        <w:kinsoku/>
        <w:autoSpaceDE/>
        <w:autoSpaceDN/>
        <w:adjustRightInd/>
        <w:snapToGrid/>
        <w:spacing w:line="600" w:lineRule="exact"/>
        <w:ind w:firstLineChars="200" w:firstLine="641"/>
        <w:jc w:val="both"/>
        <w:textAlignment w:val="auto"/>
        <w:outlineLvl w:val="2"/>
        <w:rPr>
          <w:rFonts w:ascii="Times New Roman" w:eastAsia="楷体_GB2312" w:hAnsi="Times New Roman" w:cs="楷体_GB2312"/>
          <w:b/>
          <w:snapToGrid/>
          <w:kern w:val="2"/>
          <w:sz w:val="32"/>
          <w:szCs w:val="32"/>
          <w:lang w:eastAsia="zh-CN"/>
        </w:rPr>
      </w:pPr>
      <w:r>
        <w:rPr>
          <w:rFonts w:ascii="Times New Roman" w:eastAsia="楷体_GB2312" w:hAnsi="Times New Roman" w:cs="楷体_GB2312" w:hint="eastAsia"/>
          <w:b/>
          <w:snapToGrid/>
          <w:kern w:val="2"/>
          <w:sz w:val="32"/>
          <w:szCs w:val="32"/>
          <w:lang w:eastAsia="zh-CN"/>
        </w:rPr>
        <w:t>（一）一般公共预算财政拨款支出决算总体情况</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2025</w:t>
      </w:r>
      <w:r>
        <w:rPr>
          <w:rFonts w:ascii="Times New Roman" w:eastAsia="仿宋_GB2312" w:hAnsi="Times New Roman" w:cs="仿宋_GB2312" w:hint="eastAsia"/>
          <w:snapToGrid/>
          <w:color w:val="auto"/>
          <w:kern w:val="2"/>
          <w:sz w:val="32"/>
          <w:szCs w:val="32"/>
          <w:lang w:eastAsia="zh-CN"/>
        </w:rPr>
        <w:t>年度一般公共预算财政拨款支出</w:t>
      </w:r>
      <w:r>
        <w:rPr>
          <w:rFonts w:ascii="Times New Roman" w:eastAsia="仿宋_GB2312" w:hAnsi="Times New Roman" w:cs="仿宋_GB2312" w:hint="eastAsia"/>
          <w:snapToGrid/>
          <w:color w:val="auto"/>
          <w:kern w:val="2"/>
          <w:sz w:val="32"/>
          <w:szCs w:val="32"/>
          <w:lang w:eastAsia="zh-CN"/>
        </w:rPr>
        <w:t>7382.57</w:t>
      </w:r>
      <w:r>
        <w:rPr>
          <w:rFonts w:ascii="Times New Roman" w:eastAsia="仿宋_GB2312" w:hAnsi="Times New Roman" w:cs="仿宋_GB2312" w:hint="eastAsia"/>
          <w:snapToGrid/>
          <w:color w:val="auto"/>
          <w:kern w:val="2"/>
          <w:sz w:val="32"/>
          <w:szCs w:val="32"/>
          <w:lang w:eastAsia="zh-CN"/>
        </w:rPr>
        <w:t>万元，占财政拨款支出的</w:t>
      </w:r>
      <w:r>
        <w:rPr>
          <w:rFonts w:ascii="Times New Roman" w:eastAsia="仿宋_GB2312" w:hAnsi="Times New Roman" w:cs="仿宋_GB2312" w:hint="eastAsia"/>
          <w:snapToGrid/>
          <w:color w:val="auto"/>
          <w:kern w:val="2"/>
          <w:sz w:val="32"/>
          <w:szCs w:val="32"/>
          <w:lang w:eastAsia="zh-CN"/>
        </w:rPr>
        <w:t>92.5%</w:t>
      </w:r>
      <w:r>
        <w:rPr>
          <w:rFonts w:ascii="Times New Roman" w:eastAsia="仿宋_GB2312" w:hAnsi="Times New Roman" w:cs="仿宋_GB2312" w:hint="eastAsia"/>
          <w:snapToGrid/>
          <w:color w:val="auto"/>
          <w:kern w:val="2"/>
          <w:sz w:val="32"/>
          <w:szCs w:val="32"/>
          <w:lang w:eastAsia="zh-CN"/>
        </w:rPr>
        <w:t>。与</w:t>
      </w:r>
      <w:r>
        <w:rPr>
          <w:rFonts w:ascii="Times New Roman" w:eastAsia="仿宋_GB2312" w:hAnsi="Times New Roman" w:cs="仿宋_GB2312" w:hint="eastAsia"/>
          <w:snapToGrid/>
          <w:color w:val="auto"/>
          <w:kern w:val="2"/>
          <w:sz w:val="32"/>
          <w:szCs w:val="32"/>
          <w:lang w:eastAsia="zh-CN"/>
        </w:rPr>
        <w:t>2024</w:t>
      </w:r>
      <w:r>
        <w:rPr>
          <w:rFonts w:ascii="Times New Roman" w:eastAsia="仿宋_GB2312" w:hAnsi="Times New Roman" w:cs="仿宋_GB2312" w:hint="eastAsia"/>
          <w:snapToGrid/>
          <w:color w:val="auto"/>
          <w:kern w:val="2"/>
          <w:sz w:val="32"/>
          <w:szCs w:val="32"/>
          <w:lang w:eastAsia="zh-CN"/>
        </w:rPr>
        <w:t>年度相比，一般公共预算财政拨款支出增加</w:t>
      </w:r>
      <w:r>
        <w:rPr>
          <w:rFonts w:ascii="Times New Roman" w:eastAsia="仿宋_GB2312" w:hAnsi="Times New Roman" w:cs="仿宋_GB2312" w:hint="eastAsia"/>
          <w:snapToGrid/>
          <w:color w:val="auto"/>
          <w:kern w:val="2"/>
          <w:sz w:val="32"/>
          <w:szCs w:val="32"/>
          <w:lang w:eastAsia="zh-CN"/>
        </w:rPr>
        <w:t>5.56</w:t>
      </w:r>
      <w:r>
        <w:rPr>
          <w:rFonts w:ascii="Times New Roman" w:eastAsia="仿宋_GB2312" w:hAnsi="Times New Roman" w:cs="仿宋_GB2312" w:hint="eastAsia"/>
          <w:snapToGrid/>
          <w:color w:val="auto"/>
          <w:kern w:val="2"/>
          <w:sz w:val="32"/>
          <w:szCs w:val="32"/>
          <w:lang w:eastAsia="zh-CN"/>
        </w:rPr>
        <w:t>万元，增加</w:t>
      </w:r>
      <w:r>
        <w:rPr>
          <w:rFonts w:ascii="Times New Roman" w:eastAsia="仿宋_GB2312" w:hAnsi="Times New Roman" w:cs="仿宋_GB2312" w:hint="eastAsia"/>
          <w:snapToGrid/>
          <w:color w:val="auto"/>
          <w:kern w:val="2"/>
          <w:sz w:val="32"/>
          <w:szCs w:val="32"/>
          <w:lang w:eastAsia="zh-CN"/>
        </w:rPr>
        <w:t>0.1%</w:t>
      </w:r>
      <w:r>
        <w:rPr>
          <w:rFonts w:ascii="Times New Roman" w:eastAsia="仿宋_GB2312" w:hAnsi="Times New Roman" w:cs="仿宋_GB2312" w:hint="eastAsia"/>
          <w:snapToGrid/>
          <w:color w:val="auto"/>
          <w:kern w:val="2"/>
          <w:sz w:val="32"/>
          <w:szCs w:val="32"/>
          <w:lang w:eastAsia="zh-CN"/>
        </w:rPr>
        <w:t>。主要变动原因是补发</w:t>
      </w:r>
      <w:r>
        <w:rPr>
          <w:rFonts w:ascii="Times New Roman" w:eastAsia="仿宋_GB2312" w:hAnsi="Times New Roman" w:cs="仿宋_GB2312" w:hint="eastAsia"/>
          <w:snapToGrid/>
          <w:color w:val="auto"/>
          <w:kern w:val="2"/>
          <w:sz w:val="32"/>
          <w:szCs w:val="32"/>
          <w:lang w:eastAsia="zh-CN"/>
        </w:rPr>
        <w:t>2024</w:t>
      </w:r>
      <w:r>
        <w:rPr>
          <w:rFonts w:ascii="Times New Roman" w:eastAsia="仿宋_GB2312" w:hAnsi="Times New Roman" w:cs="仿宋_GB2312" w:hint="eastAsia"/>
          <w:snapToGrid/>
          <w:color w:val="auto"/>
          <w:kern w:val="2"/>
          <w:sz w:val="32"/>
          <w:szCs w:val="32"/>
          <w:lang w:eastAsia="zh-CN"/>
        </w:rPr>
        <w:t>年职工增资。</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bookmarkStart w:id="34" w:name="_Toc22503"/>
      <w:bookmarkStart w:id="35" w:name="_Toc15026"/>
      <w:r>
        <w:rPr>
          <w:rFonts w:ascii="Times New Roman" w:eastAsia="仿宋_GB2312" w:hAnsi="Times New Roman" w:cs="仿宋_GB2312" w:hint="eastAsia"/>
          <w:noProof/>
          <w:snapToGrid/>
          <w:color w:val="auto"/>
          <w:kern w:val="2"/>
          <w:sz w:val="32"/>
          <w:szCs w:val="32"/>
          <w:lang w:eastAsia="zh-CN"/>
        </w:rPr>
        <w:drawing>
          <wp:anchor distT="0" distB="0" distL="114300" distR="114300" simplePos="0" relativeHeight="251660288" behindDoc="0" locked="0" layoutInCell="1" allowOverlap="1">
            <wp:simplePos x="0" y="0"/>
            <wp:positionH relativeFrom="column">
              <wp:posOffset>150495</wp:posOffset>
            </wp:positionH>
            <wp:positionV relativeFrom="paragraph">
              <wp:posOffset>492125</wp:posOffset>
            </wp:positionV>
            <wp:extent cx="5256530" cy="2988310"/>
            <wp:effectExtent l="0" t="0" r="20320" b="21590"/>
            <wp:wrapSquare wrapText="bothSides"/>
            <wp:docPr id="6" name="图表 6" descr="7b0a202020202263686172745265734964223a20223530303731323938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ascii="Times New Roman" w:eastAsia="仿宋_GB2312" w:hAnsi="Times New Roman" w:cs="仿宋_GB2312" w:hint="eastAsia"/>
          <w:snapToGrid/>
          <w:color w:val="auto"/>
          <w:kern w:val="2"/>
          <w:sz w:val="32"/>
          <w:szCs w:val="32"/>
          <w:lang w:eastAsia="zh-CN"/>
        </w:rPr>
        <w:t>（图</w:t>
      </w:r>
      <w:r>
        <w:rPr>
          <w:rFonts w:ascii="Times New Roman" w:eastAsia="仿宋_GB2312" w:hAnsi="Times New Roman" w:cs="仿宋_GB2312" w:hint="eastAsia"/>
          <w:snapToGrid/>
          <w:color w:val="auto"/>
          <w:kern w:val="2"/>
          <w:sz w:val="32"/>
          <w:szCs w:val="32"/>
          <w:lang w:eastAsia="zh-CN"/>
        </w:rPr>
        <w:t>5</w:t>
      </w:r>
      <w:r>
        <w:rPr>
          <w:rFonts w:ascii="Times New Roman" w:eastAsia="仿宋_GB2312" w:hAnsi="Times New Roman" w:cs="仿宋_GB2312" w:hint="eastAsia"/>
          <w:snapToGrid/>
          <w:color w:val="auto"/>
          <w:kern w:val="2"/>
          <w:sz w:val="32"/>
          <w:szCs w:val="32"/>
          <w:lang w:eastAsia="zh-CN"/>
        </w:rPr>
        <w:t>：一般公共预算财政拨款支出决算变动情况）</w:t>
      </w:r>
    </w:p>
    <w:p w:rsidR="004B0FC1" w:rsidRDefault="00A976D9" w:rsidP="0061664C">
      <w:pPr>
        <w:widowControl w:val="0"/>
        <w:kinsoku/>
        <w:autoSpaceDE/>
        <w:autoSpaceDN/>
        <w:adjustRightInd/>
        <w:snapToGrid/>
        <w:spacing w:line="600" w:lineRule="exact"/>
        <w:ind w:firstLineChars="200" w:firstLine="641"/>
        <w:jc w:val="both"/>
        <w:textAlignment w:val="auto"/>
        <w:outlineLvl w:val="2"/>
        <w:rPr>
          <w:rFonts w:ascii="Times New Roman" w:eastAsia="楷体_GB2312" w:hAnsi="Times New Roman" w:cs="楷体_GB2312"/>
          <w:b/>
          <w:snapToGrid/>
          <w:kern w:val="2"/>
          <w:sz w:val="32"/>
          <w:szCs w:val="32"/>
          <w:lang w:eastAsia="zh-CN"/>
        </w:rPr>
      </w:pPr>
      <w:r>
        <w:rPr>
          <w:rFonts w:ascii="Times New Roman" w:eastAsia="楷体_GB2312" w:hAnsi="Times New Roman" w:cs="楷体_GB2312" w:hint="eastAsia"/>
          <w:b/>
          <w:snapToGrid/>
          <w:kern w:val="2"/>
          <w:sz w:val="32"/>
          <w:szCs w:val="32"/>
          <w:lang w:eastAsia="zh-CN"/>
        </w:rPr>
        <w:t>（二）一般公共预算财政拨款支出决算结构情况</w:t>
      </w:r>
      <w:bookmarkEnd w:id="34"/>
      <w:bookmarkEnd w:id="35"/>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2025</w:t>
      </w:r>
      <w:r>
        <w:rPr>
          <w:rFonts w:ascii="Times New Roman" w:eastAsia="仿宋_GB2312" w:hAnsi="Times New Roman" w:cs="仿宋_GB2312" w:hint="eastAsia"/>
          <w:snapToGrid/>
          <w:color w:val="auto"/>
          <w:kern w:val="2"/>
          <w:sz w:val="32"/>
          <w:szCs w:val="32"/>
          <w:lang w:eastAsia="zh-CN"/>
        </w:rPr>
        <w:t>年度一般公共预算财政拨款支出</w:t>
      </w:r>
      <w:r>
        <w:rPr>
          <w:rFonts w:ascii="Times New Roman" w:eastAsia="仿宋_GB2312" w:hAnsi="Times New Roman" w:cs="仿宋_GB2312" w:hint="eastAsia"/>
          <w:snapToGrid/>
          <w:color w:val="auto"/>
          <w:kern w:val="2"/>
          <w:sz w:val="32"/>
          <w:szCs w:val="32"/>
          <w:lang w:eastAsia="zh-CN"/>
        </w:rPr>
        <w:t>7382.57</w:t>
      </w:r>
      <w:r>
        <w:rPr>
          <w:rFonts w:ascii="Times New Roman" w:eastAsia="仿宋_GB2312" w:hAnsi="Times New Roman" w:cs="仿宋_GB2312" w:hint="eastAsia"/>
          <w:snapToGrid/>
          <w:color w:val="auto"/>
          <w:kern w:val="2"/>
          <w:sz w:val="32"/>
          <w:szCs w:val="32"/>
          <w:lang w:eastAsia="zh-CN"/>
        </w:rPr>
        <w:t>万元，主要用于以下方面</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一般公共服务（类）支出</w:t>
      </w:r>
      <w:r>
        <w:rPr>
          <w:rFonts w:ascii="Times New Roman" w:eastAsia="仿宋_GB2312" w:hAnsi="Times New Roman" w:cs="仿宋_GB2312" w:hint="eastAsia"/>
          <w:snapToGrid/>
          <w:color w:val="auto"/>
          <w:kern w:val="2"/>
          <w:sz w:val="32"/>
          <w:szCs w:val="32"/>
          <w:lang w:eastAsia="zh-CN"/>
        </w:rPr>
        <w:t>5629.93</w:t>
      </w:r>
      <w:r>
        <w:rPr>
          <w:rFonts w:ascii="Times New Roman" w:eastAsia="仿宋_GB2312" w:hAnsi="Times New Roman" w:cs="仿宋_GB2312" w:hint="eastAsia"/>
          <w:snapToGrid/>
          <w:color w:val="auto"/>
          <w:kern w:val="2"/>
          <w:sz w:val="32"/>
          <w:szCs w:val="32"/>
          <w:lang w:eastAsia="zh-CN"/>
        </w:rPr>
        <w:t>万元，占</w:t>
      </w:r>
      <w:r>
        <w:rPr>
          <w:rFonts w:ascii="Times New Roman" w:eastAsia="仿宋_GB2312" w:hAnsi="Times New Roman" w:cs="仿宋_GB2312" w:hint="eastAsia"/>
          <w:snapToGrid/>
          <w:color w:val="auto"/>
          <w:kern w:val="2"/>
          <w:sz w:val="32"/>
          <w:szCs w:val="32"/>
          <w:lang w:eastAsia="zh-CN"/>
        </w:rPr>
        <w:t>76.3%</w:t>
      </w:r>
      <w:r>
        <w:rPr>
          <w:rFonts w:ascii="Times New Roman" w:eastAsia="仿宋_GB2312" w:hAnsi="Times New Roman" w:cs="仿宋_GB2312" w:hint="eastAsia"/>
          <w:snapToGrid/>
          <w:color w:val="auto"/>
          <w:kern w:val="2"/>
          <w:sz w:val="32"/>
          <w:szCs w:val="32"/>
          <w:lang w:eastAsia="zh-CN"/>
        </w:rPr>
        <w:t>；社会保障和就业（类）支出</w:t>
      </w:r>
      <w:r>
        <w:rPr>
          <w:rFonts w:ascii="Times New Roman" w:eastAsia="仿宋_GB2312" w:hAnsi="Times New Roman" w:cs="仿宋_GB2312" w:hint="eastAsia"/>
          <w:snapToGrid/>
          <w:color w:val="auto"/>
          <w:kern w:val="2"/>
          <w:sz w:val="32"/>
          <w:szCs w:val="32"/>
          <w:lang w:eastAsia="zh-CN"/>
        </w:rPr>
        <w:t>1207.18</w:t>
      </w:r>
      <w:r>
        <w:rPr>
          <w:rFonts w:ascii="Times New Roman" w:eastAsia="仿宋_GB2312" w:hAnsi="Times New Roman" w:cs="仿宋_GB2312" w:hint="eastAsia"/>
          <w:snapToGrid/>
          <w:color w:val="auto"/>
          <w:kern w:val="2"/>
          <w:sz w:val="32"/>
          <w:szCs w:val="32"/>
          <w:lang w:eastAsia="zh-CN"/>
        </w:rPr>
        <w:t>万元，占</w:t>
      </w:r>
      <w:r>
        <w:rPr>
          <w:rFonts w:ascii="Times New Roman" w:eastAsia="仿宋_GB2312" w:hAnsi="Times New Roman" w:cs="仿宋_GB2312" w:hint="eastAsia"/>
          <w:snapToGrid/>
          <w:color w:val="auto"/>
          <w:kern w:val="2"/>
          <w:sz w:val="32"/>
          <w:szCs w:val="32"/>
          <w:lang w:eastAsia="zh-CN"/>
        </w:rPr>
        <w:t>16.3%</w:t>
      </w:r>
      <w:r>
        <w:rPr>
          <w:rFonts w:ascii="Times New Roman" w:eastAsia="仿宋_GB2312" w:hAnsi="Times New Roman" w:cs="仿宋_GB2312" w:hint="eastAsia"/>
          <w:snapToGrid/>
          <w:color w:val="auto"/>
          <w:kern w:val="2"/>
          <w:sz w:val="32"/>
          <w:szCs w:val="32"/>
          <w:lang w:eastAsia="zh-CN"/>
        </w:rPr>
        <w:t>；卫生健康支出</w:t>
      </w:r>
      <w:r>
        <w:rPr>
          <w:rFonts w:ascii="Times New Roman" w:eastAsia="仿宋_GB2312" w:hAnsi="Times New Roman" w:cs="仿宋_GB2312" w:hint="eastAsia"/>
          <w:snapToGrid/>
          <w:color w:val="auto"/>
          <w:kern w:val="2"/>
          <w:sz w:val="32"/>
          <w:szCs w:val="32"/>
          <w:lang w:eastAsia="zh-CN"/>
        </w:rPr>
        <w:t>231.24</w:t>
      </w:r>
      <w:r>
        <w:rPr>
          <w:rFonts w:ascii="Times New Roman" w:eastAsia="仿宋_GB2312" w:hAnsi="Times New Roman" w:cs="仿宋_GB2312" w:hint="eastAsia"/>
          <w:snapToGrid/>
          <w:color w:val="auto"/>
          <w:kern w:val="2"/>
          <w:sz w:val="32"/>
          <w:szCs w:val="32"/>
          <w:lang w:eastAsia="zh-CN"/>
        </w:rPr>
        <w:t>万元，占</w:t>
      </w:r>
      <w:r>
        <w:rPr>
          <w:rFonts w:ascii="Times New Roman" w:eastAsia="仿宋_GB2312" w:hAnsi="Times New Roman" w:cs="仿宋_GB2312" w:hint="eastAsia"/>
          <w:snapToGrid/>
          <w:color w:val="auto"/>
          <w:kern w:val="2"/>
          <w:sz w:val="32"/>
          <w:szCs w:val="32"/>
          <w:lang w:eastAsia="zh-CN"/>
        </w:rPr>
        <w:t>3.1%</w:t>
      </w:r>
      <w:r>
        <w:rPr>
          <w:rFonts w:ascii="Times New Roman" w:eastAsia="仿宋_GB2312" w:hAnsi="Times New Roman" w:cs="仿宋_GB2312" w:hint="eastAsia"/>
          <w:snapToGrid/>
          <w:color w:val="auto"/>
          <w:kern w:val="2"/>
          <w:sz w:val="32"/>
          <w:szCs w:val="32"/>
          <w:lang w:eastAsia="zh-CN"/>
        </w:rPr>
        <w:t>；城乡社区支出</w:t>
      </w:r>
      <w:r>
        <w:rPr>
          <w:rFonts w:ascii="Times New Roman" w:eastAsia="仿宋_GB2312" w:hAnsi="Times New Roman" w:cs="仿宋_GB2312" w:hint="eastAsia"/>
          <w:snapToGrid/>
          <w:color w:val="auto"/>
          <w:kern w:val="2"/>
          <w:sz w:val="32"/>
          <w:szCs w:val="32"/>
          <w:lang w:eastAsia="zh-CN"/>
        </w:rPr>
        <w:t>26</w:t>
      </w:r>
      <w:r>
        <w:rPr>
          <w:rFonts w:ascii="Times New Roman" w:eastAsia="仿宋_GB2312" w:hAnsi="Times New Roman" w:cs="仿宋_GB2312" w:hint="eastAsia"/>
          <w:snapToGrid/>
          <w:color w:val="auto"/>
          <w:kern w:val="2"/>
          <w:sz w:val="32"/>
          <w:szCs w:val="32"/>
          <w:lang w:eastAsia="zh-CN"/>
        </w:rPr>
        <w:t>万元，占</w:t>
      </w:r>
      <w:r>
        <w:rPr>
          <w:rFonts w:ascii="Times New Roman" w:eastAsia="仿宋_GB2312" w:hAnsi="Times New Roman" w:cs="仿宋_GB2312" w:hint="eastAsia"/>
          <w:snapToGrid/>
          <w:color w:val="auto"/>
          <w:kern w:val="2"/>
          <w:sz w:val="32"/>
          <w:szCs w:val="32"/>
          <w:lang w:eastAsia="zh-CN"/>
        </w:rPr>
        <w:t>0.4%</w:t>
      </w:r>
      <w:r>
        <w:rPr>
          <w:rFonts w:ascii="Times New Roman" w:eastAsia="仿宋_GB2312" w:hAnsi="Times New Roman" w:cs="仿宋_GB2312" w:hint="eastAsia"/>
          <w:snapToGrid/>
          <w:color w:val="auto"/>
          <w:kern w:val="2"/>
          <w:sz w:val="32"/>
          <w:szCs w:val="32"/>
          <w:lang w:eastAsia="zh-CN"/>
        </w:rPr>
        <w:t>；住房保障支出</w:t>
      </w:r>
      <w:r>
        <w:rPr>
          <w:rFonts w:ascii="Times New Roman" w:eastAsia="仿宋_GB2312" w:hAnsi="Times New Roman" w:cs="仿宋_GB2312" w:hint="eastAsia"/>
          <w:snapToGrid/>
          <w:color w:val="auto"/>
          <w:kern w:val="2"/>
          <w:sz w:val="32"/>
          <w:szCs w:val="32"/>
          <w:lang w:eastAsia="zh-CN"/>
        </w:rPr>
        <w:t>288.23</w:t>
      </w:r>
      <w:r>
        <w:rPr>
          <w:rFonts w:ascii="Times New Roman" w:eastAsia="仿宋_GB2312" w:hAnsi="Times New Roman" w:cs="仿宋_GB2312" w:hint="eastAsia"/>
          <w:snapToGrid/>
          <w:color w:val="auto"/>
          <w:kern w:val="2"/>
          <w:sz w:val="32"/>
          <w:szCs w:val="32"/>
          <w:lang w:eastAsia="zh-CN"/>
        </w:rPr>
        <w:t>万元，占</w:t>
      </w:r>
      <w:r>
        <w:rPr>
          <w:rFonts w:ascii="Times New Roman" w:eastAsia="仿宋_GB2312" w:hAnsi="Times New Roman" w:cs="仿宋_GB2312" w:hint="eastAsia"/>
          <w:snapToGrid/>
          <w:color w:val="auto"/>
          <w:kern w:val="2"/>
          <w:sz w:val="32"/>
          <w:szCs w:val="32"/>
          <w:lang w:eastAsia="zh-CN"/>
        </w:rPr>
        <w:t>3.9%</w:t>
      </w:r>
      <w:r>
        <w:rPr>
          <w:rFonts w:ascii="Times New Roman" w:eastAsia="仿宋_GB2312" w:hAnsi="Times New Roman" w:cs="仿宋_GB2312" w:hint="eastAsia"/>
          <w:snapToGrid/>
          <w:color w:val="auto"/>
          <w:kern w:val="2"/>
          <w:sz w:val="32"/>
          <w:szCs w:val="32"/>
          <w:lang w:eastAsia="zh-CN"/>
        </w:rPr>
        <w:t>。</w:t>
      </w:r>
    </w:p>
    <w:p w:rsidR="004B0FC1" w:rsidRDefault="004B0FC1">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p>
    <w:p w:rsidR="004B0FC1" w:rsidRDefault="004B0FC1">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p>
    <w:p w:rsidR="004B0FC1" w:rsidRDefault="00A976D9">
      <w:pPr>
        <w:pStyle w:val="12"/>
        <w:kinsoku/>
        <w:autoSpaceDE/>
        <w:autoSpaceDN/>
        <w:adjustRightInd/>
        <w:snapToGrid/>
        <w:spacing w:line="600" w:lineRule="exact"/>
        <w:ind w:firstLine="640"/>
        <w:textAlignment w:val="auto"/>
        <w:outlineLvl w:val="1"/>
        <w:rPr>
          <w:rFonts w:eastAsia="仿宋_GB2312" w:cs="仿宋_GB2312"/>
          <w:snapToGrid/>
          <w:color w:val="auto"/>
          <w:sz w:val="32"/>
          <w:szCs w:val="32"/>
        </w:rPr>
      </w:pPr>
      <w:bookmarkStart w:id="36" w:name="_Toc2022"/>
      <w:bookmarkStart w:id="37" w:name="_Toc12239"/>
      <w:r>
        <w:rPr>
          <w:rFonts w:eastAsia="仿宋_GB2312" w:cs="仿宋_GB2312"/>
          <w:snapToGrid/>
          <w:color w:val="auto"/>
          <w:sz w:val="32"/>
          <w:szCs w:val="32"/>
        </w:rPr>
        <w:lastRenderedPageBreak/>
        <w:t>（图</w:t>
      </w:r>
      <w:r>
        <w:rPr>
          <w:rFonts w:eastAsia="仿宋_GB2312" w:cs="仿宋_GB2312"/>
          <w:snapToGrid/>
          <w:color w:val="auto"/>
          <w:sz w:val="32"/>
          <w:szCs w:val="32"/>
        </w:rPr>
        <w:t>6</w:t>
      </w:r>
      <w:r>
        <w:rPr>
          <w:rFonts w:eastAsia="仿宋_GB2312" w:cs="仿宋_GB2312"/>
          <w:snapToGrid/>
          <w:color w:val="auto"/>
          <w:sz w:val="32"/>
          <w:szCs w:val="32"/>
        </w:rPr>
        <w:t>：一般公共预算财政拨款支出决算结构）</w:t>
      </w:r>
      <w:bookmarkEnd w:id="36"/>
      <w:bookmarkEnd w:id="37"/>
    </w:p>
    <w:p w:rsidR="004B0FC1" w:rsidRDefault="00A976D9" w:rsidP="0061664C">
      <w:pPr>
        <w:spacing w:line="360" w:lineRule="auto"/>
        <w:ind w:firstLineChars="200" w:firstLine="360"/>
        <w:jc w:val="center"/>
        <w:rPr>
          <w:rFonts w:ascii="宋体" w:eastAsia="宋体" w:hAnsi="宋体" w:cs="宋体"/>
          <w:spacing w:val="-2"/>
          <w:position w:val="-2"/>
          <w:sz w:val="18"/>
          <w:szCs w:val="18"/>
          <w:lang w:eastAsia="zh-CN"/>
        </w:rPr>
      </w:pPr>
      <w:r>
        <w:rPr>
          <w:rFonts w:ascii="宋体" w:eastAsia="宋体" w:hAnsi="宋体" w:cs="宋体" w:hint="eastAsia"/>
          <w:noProof/>
          <w:spacing w:val="-2"/>
          <w:position w:val="-2"/>
          <w:sz w:val="18"/>
          <w:szCs w:val="18"/>
          <w:lang w:eastAsia="zh-CN"/>
        </w:rPr>
        <w:drawing>
          <wp:anchor distT="0" distB="0" distL="114300" distR="114300" simplePos="0" relativeHeight="251661312" behindDoc="0" locked="0" layoutInCell="1" allowOverlap="1">
            <wp:simplePos x="0" y="0"/>
            <wp:positionH relativeFrom="column">
              <wp:posOffset>474980</wp:posOffset>
            </wp:positionH>
            <wp:positionV relativeFrom="paragraph">
              <wp:posOffset>6985</wp:posOffset>
            </wp:positionV>
            <wp:extent cx="4958080" cy="2481580"/>
            <wp:effectExtent l="4445" t="4445" r="9525" b="9525"/>
            <wp:wrapSquare wrapText="bothSides"/>
            <wp:docPr id="7" name="图表 7"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rsidR="004B0FC1" w:rsidRDefault="00A976D9" w:rsidP="0061664C">
      <w:pPr>
        <w:spacing w:line="360" w:lineRule="auto"/>
        <w:ind w:firstLineChars="200" w:firstLine="656"/>
        <w:jc w:val="center"/>
        <w:rPr>
          <w:rFonts w:ascii="楷体" w:eastAsia="楷体" w:hAnsi="楷体" w:cs="楷体"/>
          <w:spacing w:val="8"/>
          <w:sz w:val="32"/>
          <w:szCs w:val="32"/>
          <w:lang w:eastAsia="zh-CN"/>
        </w:rPr>
      </w:pPr>
      <w:r>
        <w:rPr>
          <w:rFonts w:ascii="楷体" w:eastAsia="楷体" w:hAnsi="楷体" w:cs="楷体" w:hint="eastAsia"/>
          <w:spacing w:val="8"/>
          <w:sz w:val="32"/>
          <w:szCs w:val="32"/>
          <w:lang w:eastAsia="zh-CN"/>
        </w:rPr>
        <w:t>、</w:t>
      </w:r>
    </w:p>
    <w:p w:rsidR="004B0FC1" w:rsidRDefault="00A976D9" w:rsidP="0061664C">
      <w:pPr>
        <w:spacing w:line="360" w:lineRule="auto"/>
        <w:ind w:firstLineChars="200" w:firstLine="656"/>
        <w:jc w:val="center"/>
        <w:rPr>
          <w:rFonts w:ascii="楷体" w:eastAsia="楷体" w:hAnsi="楷体" w:cs="楷体"/>
          <w:spacing w:val="8"/>
          <w:sz w:val="32"/>
          <w:szCs w:val="32"/>
          <w:lang w:eastAsia="zh-CN"/>
        </w:rPr>
      </w:pPr>
      <w:r>
        <w:rPr>
          <w:rFonts w:ascii="楷体" w:eastAsia="楷体" w:hAnsi="楷体" w:cs="楷体"/>
          <w:spacing w:val="8"/>
          <w:sz w:val="32"/>
          <w:szCs w:val="32"/>
          <w:lang w:eastAsia="zh-CN"/>
        </w:rPr>
        <w:t>（</w:t>
      </w:r>
    </w:p>
    <w:p w:rsidR="004B0FC1" w:rsidRDefault="004B0FC1" w:rsidP="0061664C">
      <w:pPr>
        <w:spacing w:line="360" w:lineRule="auto"/>
        <w:ind w:firstLineChars="200" w:firstLine="656"/>
        <w:jc w:val="center"/>
        <w:rPr>
          <w:rFonts w:ascii="楷体" w:eastAsia="楷体" w:hAnsi="楷体" w:cs="楷体"/>
          <w:spacing w:val="8"/>
          <w:sz w:val="32"/>
          <w:szCs w:val="32"/>
          <w:lang w:eastAsia="zh-CN"/>
        </w:rPr>
      </w:pPr>
    </w:p>
    <w:p w:rsidR="004B0FC1" w:rsidRDefault="004B0FC1" w:rsidP="0061664C">
      <w:pPr>
        <w:spacing w:line="360" w:lineRule="auto"/>
        <w:ind w:firstLineChars="200" w:firstLine="656"/>
        <w:jc w:val="center"/>
        <w:rPr>
          <w:rFonts w:ascii="楷体" w:eastAsia="楷体" w:hAnsi="楷体" w:cs="楷体"/>
          <w:spacing w:val="8"/>
          <w:sz w:val="32"/>
          <w:szCs w:val="32"/>
          <w:lang w:eastAsia="zh-CN"/>
        </w:rPr>
      </w:pPr>
    </w:p>
    <w:p w:rsidR="004B0FC1" w:rsidRDefault="004B0FC1">
      <w:pPr>
        <w:spacing w:line="360" w:lineRule="auto"/>
        <w:jc w:val="both"/>
        <w:rPr>
          <w:rFonts w:ascii="楷体" w:eastAsia="楷体" w:hAnsi="楷体" w:cs="楷体"/>
          <w:spacing w:val="8"/>
          <w:sz w:val="32"/>
          <w:szCs w:val="32"/>
          <w:lang w:eastAsia="zh-CN"/>
        </w:rPr>
      </w:pPr>
    </w:p>
    <w:p w:rsidR="004B0FC1" w:rsidRDefault="004B0FC1" w:rsidP="0061664C">
      <w:pPr>
        <w:widowControl w:val="0"/>
        <w:kinsoku/>
        <w:autoSpaceDE/>
        <w:autoSpaceDN/>
        <w:adjustRightInd/>
        <w:snapToGrid/>
        <w:spacing w:line="600" w:lineRule="exact"/>
        <w:ind w:firstLineChars="200" w:firstLine="641"/>
        <w:jc w:val="both"/>
        <w:textAlignment w:val="auto"/>
        <w:outlineLvl w:val="2"/>
        <w:rPr>
          <w:rFonts w:ascii="Times New Roman" w:eastAsia="楷体_GB2312" w:hAnsi="Times New Roman" w:cs="楷体_GB2312"/>
          <w:b/>
          <w:snapToGrid/>
          <w:kern w:val="2"/>
          <w:sz w:val="32"/>
          <w:szCs w:val="32"/>
          <w:lang w:eastAsia="zh-CN"/>
        </w:rPr>
      </w:pPr>
    </w:p>
    <w:p w:rsidR="004B0FC1" w:rsidRDefault="00A976D9" w:rsidP="0061664C">
      <w:pPr>
        <w:widowControl w:val="0"/>
        <w:kinsoku/>
        <w:autoSpaceDE/>
        <w:autoSpaceDN/>
        <w:adjustRightInd/>
        <w:snapToGrid/>
        <w:spacing w:line="600" w:lineRule="exact"/>
        <w:ind w:firstLineChars="200" w:firstLine="641"/>
        <w:jc w:val="both"/>
        <w:textAlignment w:val="auto"/>
        <w:outlineLvl w:val="2"/>
        <w:rPr>
          <w:rFonts w:ascii="Times New Roman" w:eastAsia="楷体_GB2312" w:hAnsi="Times New Roman" w:cs="楷体_GB2312"/>
          <w:b/>
          <w:snapToGrid/>
          <w:kern w:val="2"/>
          <w:sz w:val="32"/>
          <w:szCs w:val="32"/>
          <w:lang w:eastAsia="zh-CN"/>
        </w:rPr>
      </w:pPr>
      <w:r>
        <w:rPr>
          <w:rFonts w:ascii="Times New Roman" w:eastAsia="楷体_GB2312" w:hAnsi="Times New Roman" w:cs="楷体_GB2312" w:hint="eastAsia"/>
          <w:b/>
          <w:snapToGrid/>
          <w:kern w:val="2"/>
          <w:sz w:val="32"/>
          <w:szCs w:val="32"/>
          <w:lang w:eastAsia="zh-CN"/>
        </w:rPr>
        <w:t>（三）一般公共预算财政拨款支出决算具体情况</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2025</w:t>
      </w:r>
      <w:r>
        <w:rPr>
          <w:rFonts w:ascii="Times New Roman" w:eastAsia="仿宋_GB2312" w:hAnsi="Times New Roman" w:cs="仿宋_GB2312" w:hint="eastAsia"/>
          <w:snapToGrid/>
          <w:color w:val="auto"/>
          <w:kern w:val="2"/>
          <w:sz w:val="32"/>
          <w:szCs w:val="32"/>
          <w:lang w:eastAsia="zh-CN"/>
        </w:rPr>
        <w:t>年度一般公共预算财政拨款支出决算数为</w:t>
      </w:r>
      <w:r>
        <w:rPr>
          <w:rFonts w:ascii="Times New Roman" w:eastAsia="仿宋_GB2312" w:hAnsi="Times New Roman" w:cs="仿宋_GB2312" w:hint="eastAsia"/>
          <w:snapToGrid/>
          <w:color w:val="auto"/>
          <w:kern w:val="2"/>
          <w:sz w:val="32"/>
          <w:szCs w:val="32"/>
          <w:lang w:eastAsia="zh-CN"/>
        </w:rPr>
        <w:t>7382.57</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。其中：</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1.</w:t>
      </w:r>
      <w:r>
        <w:rPr>
          <w:rFonts w:ascii="Times New Roman" w:eastAsia="仿宋_GB2312" w:hAnsi="Times New Roman" w:cs="仿宋_GB2312" w:hint="eastAsia"/>
          <w:snapToGrid/>
          <w:color w:val="auto"/>
          <w:kern w:val="2"/>
          <w:sz w:val="32"/>
          <w:szCs w:val="32"/>
          <w:lang w:eastAsia="zh-CN"/>
        </w:rPr>
        <w:t>一般公共服务支出（类）知识产权事务（款）其他知识产权事务支出（项）</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支出决算为</w:t>
      </w:r>
      <w:r>
        <w:rPr>
          <w:rFonts w:ascii="Times New Roman" w:eastAsia="仿宋_GB2312" w:hAnsi="Times New Roman" w:cs="仿宋_GB2312" w:hint="eastAsia"/>
          <w:snapToGrid/>
          <w:color w:val="auto"/>
          <w:kern w:val="2"/>
          <w:sz w:val="32"/>
          <w:szCs w:val="32"/>
          <w:lang w:eastAsia="zh-CN"/>
        </w:rPr>
        <w:t>123.84</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2.</w:t>
      </w:r>
      <w:r>
        <w:rPr>
          <w:rFonts w:ascii="Times New Roman" w:eastAsia="仿宋_GB2312" w:hAnsi="Times New Roman" w:cs="仿宋_GB2312" w:hint="eastAsia"/>
          <w:snapToGrid/>
          <w:color w:val="auto"/>
          <w:kern w:val="2"/>
          <w:sz w:val="32"/>
          <w:szCs w:val="32"/>
          <w:lang w:eastAsia="zh-CN"/>
        </w:rPr>
        <w:t>一般公共服务支出（类）组织事务（款）其他组织事务支出（项）</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支出决算为</w:t>
      </w:r>
      <w:r>
        <w:rPr>
          <w:rFonts w:ascii="Times New Roman" w:eastAsia="仿宋_GB2312" w:hAnsi="Times New Roman" w:cs="仿宋_GB2312" w:hint="eastAsia"/>
          <w:snapToGrid/>
          <w:color w:val="auto"/>
          <w:kern w:val="2"/>
          <w:sz w:val="32"/>
          <w:szCs w:val="32"/>
          <w:lang w:eastAsia="zh-CN"/>
        </w:rPr>
        <w:t>1.98</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3.</w:t>
      </w:r>
      <w:r>
        <w:rPr>
          <w:rFonts w:ascii="Times New Roman" w:eastAsia="仿宋_GB2312" w:hAnsi="Times New Roman" w:cs="仿宋_GB2312" w:hint="eastAsia"/>
          <w:snapToGrid/>
          <w:color w:val="auto"/>
          <w:kern w:val="2"/>
          <w:sz w:val="32"/>
          <w:szCs w:val="32"/>
          <w:lang w:eastAsia="zh-CN"/>
        </w:rPr>
        <w:t>一般公共服务支出（类）市场监督管理事务（款）行政运行（项）</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支出决算为</w:t>
      </w:r>
      <w:r>
        <w:rPr>
          <w:rFonts w:ascii="Times New Roman" w:eastAsia="仿宋_GB2312" w:hAnsi="Times New Roman" w:cs="仿宋_GB2312" w:hint="eastAsia"/>
          <w:snapToGrid/>
          <w:color w:val="auto"/>
          <w:kern w:val="2"/>
          <w:sz w:val="32"/>
          <w:szCs w:val="32"/>
          <w:lang w:eastAsia="zh-CN"/>
        </w:rPr>
        <w:t>2506.93</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4.</w:t>
      </w:r>
      <w:r>
        <w:rPr>
          <w:rFonts w:ascii="Times New Roman" w:eastAsia="仿宋_GB2312" w:hAnsi="Times New Roman" w:cs="仿宋_GB2312" w:hint="eastAsia"/>
          <w:snapToGrid/>
          <w:color w:val="auto"/>
          <w:kern w:val="2"/>
          <w:sz w:val="32"/>
          <w:szCs w:val="32"/>
          <w:lang w:eastAsia="zh-CN"/>
        </w:rPr>
        <w:t>一般公共服务支出（类）市场监督管理事务（款）一般行政管理事务（项）</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支出决算为</w:t>
      </w:r>
      <w:r>
        <w:rPr>
          <w:rFonts w:ascii="Times New Roman" w:eastAsia="仿宋_GB2312" w:hAnsi="Times New Roman" w:cs="仿宋_GB2312" w:hint="eastAsia"/>
          <w:snapToGrid/>
          <w:color w:val="auto"/>
          <w:kern w:val="2"/>
          <w:sz w:val="32"/>
          <w:szCs w:val="32"/>
          <w:lang w:eastAsia="zh-CN"/>
        </w:rPr>
        <w:t>11.09</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5.</w:t>
      </w:r>
      <w:r>
        <w:rPr>
          <w:rFonts w:ascii="Times New Roman" w:eastAsia="仿宋_GB2312" w:hAnsi="Times New Roman" w:cs="仿宋_GB2312" w:hint="eastAsia"/>
          <w:snapToGrid/>
          <w:color w:val="auto"/>
          <w:kern w:val="2"/>
          <w:sz w:val="32"/>
          <w:szCs w:val="32"/>
          <w:lang w:eastAsia="zh-CN"/>
        </w:rPr>
        <w:t>一般公共服务支出（类）市场监督管理事务（款）食品安全监管（项）</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支出决算为</w:t>
      </w:r>
      <w:r>
        <w:rPr>
          <w:rFonts w:ascii="Times New Roman" w:eastAsia="仿宋_GB2312" w:hAnsi="Times New Roman" w:cs="仿宋_GB2312" w:hint="eastAsia"/>
          <w:snapToGrid/>
          <w:color w:val="auto"/>
          <w:kern w:val="2"/>
          <w:sz w:val="32"/>
          <w:szCs w:val="32"/>
          <w:lang w:eastAsia="zh-CN"/>
        </w:rPr>
        <w:t>139.58</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6.</w:t>
      </w:r>
      <w:r>
        <w:rPr>
          <w:rFonts w:ascii="Times New Roman" w:eastAsia="仿宋_GB2312" w:hAnsi="Times New Roman" w:cs="仿宋_GB2312" w:hint="eastAsia"/>
          <w:snapToGrid/>
          <w:color w:val="auto"/>
          <w:kern w:val="2"/>
          <w:sz w:val="32"/>
          <w:szCs w:val="32"/>
          <w:lang w:eastAsia="zh-CN"/>
        </w:rPr>
        <w:t>一般公共服务支出（类）市场监督管理事务（款）事业运行（项）</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支出决算为</w:t>
      </w:r>
      <w:r>
        <w:rPr>
          <w:rFonts w:ascii="Times New Roman" w:eastAsia="仿宋_GB2312" w:hAnsi="Times New Roman" w:cs="仿宋_GB2312" w:hint="eastAsia"/>
          <w:snapToGrid/>
          <w:color w:val="auto"/>
          <w:kern w:val="2"/>
          <w:sz w:val="32"/>
          <w:szCs w:val="32"/>
          <w:lang w:eastAsia="zh-CN"/>
        </w:rPr>
        <w:t>2353.26</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lastRenderedPageBreak/>
        <w:t>7.</w:t>
      </w:r>
      <w:r>
        <w:rPr>
          <w:rFonts w:ascii="Times New Roman" w:eastAsia="仿宋_GB2312" w:hAnsi="Times New Roman" w:cs="仿宋_GB2312" w:hint="eastAsia"/>
          <w:snapToGrid/>
          <w:color w:val="auto"/>
          <w:kern w:val="2"/>
          <w:sz w:val="32"/>
          <w:szCs w:val="32"/>
          <w:lang w:eastAsia="zh-CN"/>
        </w:rPr>
        <w:t>一般公共服务支出（类）市场监督管理事务（款）其他市场监督管理事务（项）</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支出决算为</w:t>
      </w:r>
      <w:r>
        <w:rPr>
          <w:rFonts w:ascii="Times New Roman" w:eastAsia="仿宋_GB2312" w:hAnsi="Times New Roman" w:cs="仿宋_GB2312" w:hint="eastAsia"/>
          <w:snapToGrid/>
          <w:color w:val="auto"/>
          <w:kern w:val="2"/>
          <w:sz w:val="32"/>
          <w:szCs w:val="32"/>
          <w:lang w:eastAsia="zh-CN"/>
        </w:rPr>
        <w:t>493.24</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8.</w:t>
      </w:r>
      <w:r>
        <w:rPr>
          <w:rFonts w:ascii="Times New Roman" w:eastAsia="仿宋_GB2312" w:hAnsi="Times New Roman" w:cs="仿宋_GB2312" w:hint="eastAsia"/>
          <w:snapToGrid/>
          <w:color w:val="auto"/>
          <w:kern w:val="2"/>
          <w:sz w:val="32"/>
          <w:szCs w:val="32"/>
          <w:lang w:eastAsia="zh-CN"/>
        </w:rPr>
        <w:t>一般公共服务支出（类）人力资源和社会保障管理事务（款）其他人力资源和社会保障管理事务支出（项）</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支出决算为</w:t>
      </w:r>
      <w:r>
        <w:rPr>
          <w:rFonts w:ascii="Times New Roman" w:eastAsia="仿宋_GB2312" w:hAnsi="Times New Roman" w:cs="仿宋_GB2312" w:hint="eastAsia"/>
          <w:snapToGrid/>
          <w:color w:val="auto"/>
          <w:kern w:val="2"/>
          <w:sz w:val="32"/>
          <w:szCs w:val="32"/>
          <w:lang w:eastAsia="zh-CN"/>
        </w:rPr>
        <w:t>9.08</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9.</w:t>
      </w:r>
      <w:r>
        <w:rPr>
          <w:rFonts w:ascii="Times New Roman" w:eastAsia="仿宋_GB2312" w:hAnsi="Times New Roman" w:cs="仿宋_GB2312" w:hint="eastAsia"/>
          <w:snapToGrid/>
          <w:color w:val="auto"/>
          <w:kern w:val="2"/>
          <w:sz w:val="32"/>
          <w:szCs w:val="32"/>
          <w:lang w:eastAsia="zh-CN"/>
        </w:rPr>
        <w:t>社会保障和就业支出（类）行政事业单位养老支出（款）行政单位离退休（项）</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支出决算为</w:t>
      </w:r>
      <w:r>
        <w:rPr>
          <w:rFonts w:ascii="Times New Roman" w:eastAsia="仿宋_GB2312" w:hAnsi="Times New Roman" w:cs="仿宋_GB2312" w:hint="eastAsia"/>
          <w:snapToGrid/>
          <w:color w:val="auto"/>
          <w:kern w:val="2"/>
          <w:sz w:val="32"/>
          <w:szCs w:val="32"/>
          <w:lang w:eastAsia="zh-CN"/>
        </w:rPr>
        <w:t>455.08</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10.</w:t>
      </w:r>
      <w:r>
        <w:rPr>
          <w:rFonts w:ascii="Times New Roman" w:eastAsia="仿宋_GB2312" w:hAnsi="Times New Roman" w:cs="仿宋_GB2312" w:hint="eastAsia"/>
          <w:snapToGrid/>
          <w:color w:val="auto"/>
          <w:kern w:val="2"/>
          <w:sz w:val="32"/>
          <w:szCs w:val="32"/>
          <w:lang w:eastAsia="zh-CN"/>
        </w:rPr>
        <w:t>社会保障和就业支出（类）行政事业单位养老支出（款）事业单位离退休（项）</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支出决算为</w:t>
      </w:r>
      <w:r>
        <w:rPr>
          <w:rFonts w:ascii="Times New Roman" w:eastAsia="仿宋_GB2312" w:hAnsi="Times New Roman" w:cs="仿宋_GB2312" w:hint="eastAsia"/>
          <w:snapToGrid/>
          <w:color w:val="auto"/>
          <w:kern w:val="2"/>
          <w:sz w:val="32"/>
          <w:szCs w:val="32"/>
          <w:lang w:eastAsia="zh-CN"/>
        </w:rPr>
        <w:t>140.51</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11.</w:t>
      </w:r>
      <w:r>
        <w:rPr>
          <w:rFonts w:ascii="Times New Roman" w:eastAsia="仿宋_GB2312" w:hAnsi="Times New Roman" w:cs="仿宋_GB2312" w:hint="eastAsia"/>
          <w:snapToGrid/>
          <w:color w:val="auto"/>
          <w:kern w:val="2"/>
          <w:sz w:val="32"/>
          <w:szCs w:val="32"/>
          <w:lang w:eastAsia="zh-CN"/>
        </w:rPr>
        <w:t>社会保障和就业支出（类）行政事业单位养老支出（款）机关事业单位基本养老保险缴费支出（项）</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支出决算为</w:t>
      </w:r>
      <w:r>
        <w:rPr>
          <w:rFonts w:ascii="Times New Roman" w:eastAsia="仿宋_GB2312" w:hAnsi="Times New Roman" w:cs="仿宋_GB2312" w:hint="eastAsia"/>
          <w:snapToGrid/>
          <w:color w:val="auto"/>
          <w:kern w:val="2"/>
          <w:sz w:val="32"/>
          <w:szCs w:val="32"/>
          <w:lang w:eastAsia="zh-CN"/>
        </w:rPr>
        <w:t>402.50</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12.</w:t>
      </w:r>
      <w:r>
        <w:rPr>
          <w:rFonts w:ascii="Times New Roman" w:eastAsia="仿宋_GB2312" w:hAnsi="Times New Roman" w:cs="仿宋_GB2312" w:hint="eastAsia"/>
          <w:snapToGrid/>
          <w:color w:val="auto"/>
          <w:kern w:val="2"/>
          <w:sz w:val="32"/>
          <w:szCs w:val="32"/>
          <w:lang w:eastAsia="zh-CN"/>
        </w:rPr>
        <w:t>社会保障和就业支出（类）行政事业单位养老支出（款）机关事业单位职业年金缴费支出（项）</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支出决算为</w:t>
      </w:r>
      <w:r>
        <w:rPr>
          <w:rFonts w:ascii="Times New Roman" w:eastAsia="仿宋_GB2312" w:hAnsi="Times New Roman" w:cs="仿宋_GB2312" w:hint="eastAsia"/>
          <w:snapToGrid/>
          <w:color w:val="auto"/>
          <w:kern w:val="2"/>
          <w:sz w:val="32"/>
          <w:szCs w:val="32"/>
          <w:lang w:eastAsia="zh-CN"/>
        </w:rPr>
        <w:t>112.50</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13.</w:t>
      </w:r>
      <w:r>
        <w:rPr>
          <w:rFonts w:ascii="Times New Roman" w:eastAsia="仿宋_GB2312" w:hAnsi="Times New Roman" w:cs="仿宋_GB2312" w:hint="eastAsia"/>
          <w:snapToGrid/>
          <w:color w:val="auto"/>
          <w:kern w:val="2"/>
          <w:sz w:val="32"/>
          <w:szCs w:val="32"/>
          <w:lang w:eastAsia="zh-CN"/>
        </w:rPr>
        <w:t>社会保障和就业支出（类）抚恤（款）死亡抚恤（项）</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支出决算为</w:t>
      </w:r>
      <w:r>
        <w:rPr>
          <w:rFonts w:ascii="Times New Roman" w:eastAsia="仿宋_GB2312" w:hAnsi="Times New Roman" w:cs="仿宋_GB2312" w:hint="eastAsia"/>
          <w:snapToGrid/>
          <w:color w:val="auto"/>
          <w:kern w:val="2"/>
          <w:sz w:val="32"/>
          <w:szCs w:val="32"/>
          <w:lang w:eastAsia="zh-CN"/>
        </w:rPr>
        <w:t>86.37</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14.</w:t>
      </w:r>
      <w:r>
        <w:rPr>
          <w:rFonts w:ascii="Times New Roman" w:eastAsia="仿宋_GB2312" w:hAnsi="Times New Roman" w:cs="仿宋_GB2312" w:hint="eastAsia"/>
          <w:snapToGrid/>
          <w:color w:val="auto"/>
          <w:kern w:val="2"/>
          <w:sz w:val="32"/>
          <w:szCs w:val="32"/>
          <w:lang w:eastAsia="zh-CN"/>
        </w:rPr>
        <w:t>社会保障和就业支出（类）社会福利（款）儿童福利（项）</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支出决算为</w:t>
      </w:r>
      <w:r>
        <w:rPr>
          <w:rFonts w:ascii="Times New Roman" w:eastAsia="仿宋_GB2312" w:hAnsi="Times New Roman" w:cs="仿宋_GB2312" w:hint="eastAsia"/>
          <w:snapToGrid/>
          <w:color w:val="auto"/>
          <w:kern w:val="2"/>
          <w:sz w:val="32"/>
          <w:szCs w:val="32"/>
          <w:lang w:eastAsia="zh-CN"/>
        </w:rPr>
        <w:t>1.13</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15.</w:t>
      </w:r>
      <w:r>
        <w:rPr>
          <w:rFonts w:ascii="Times New Roman" w:eastAsia="仿宋_GB2312" w:hAnsi="Times New Roman" w:cs="仿宋_GB2312" w:hint="eastAsia"/>
          <w:snapToGrid/>
          <w:color w:val="auto"/>
          <w:kern w:val="2"/>
          <w:sz w:val="32"/>
          <w:szCs w:val="32"/>
          <w:lang w:eastAsia="zh-CN"/>
        </w:rPr>
        <w:t>卫生健康支出（类）行政事业单位医疗（款）行政单位</w:t>
      </w:r>
      <w:r>
        <w:rPr>
          <w:rFonts w:ascii="Times New Roman" w:eastAsia="仿宋_GB2312" w:hAnsi="Times New Roman" w:cs="仿宋_GB2312" w:hint="eastAsia"/>
          <w:snapToGrid/>
          <w:color w:val="auto"/>
          <w:kern w:val="2"/>
          <w:sz w:val="32"/>
          <w:szCs w:val="32"/>
          <w:lang w:eastAsia="zh-CN"/>
        </w:rPr>
        <w:lastRenderedPageBreak/>
        <w:t>医疗（项）</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支出决算为</w:t>
      </w:r>
      <w:r>
        <w:rPr>
          <w:rFonts w:ascii="Times New Roman" w:eastAsia="仿宋_GB2312" w:hAnsi="Times New Roman" w:cs="仿宋_GB2312" w:hint="eastAsia"/>
          <w:snapToGrid/>
          <w:color w:val="auto"/>
          <w:kern w:val="2"/>
          <w:sz w:val="32"/>
          <w:szCs w:val="32"/>
          <w:lang w:eastAsia="zh-CN"/>
        </w:rPr>
        <w:t>159</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16.</w:t>
      </w:r>
      <w:r>
        <w:rPr>
          <w:rFonts w:ascii="Times New Roman" w:eastAsia="仿宋_GB2312" w:hAnsi="Times New Roman" w:cs="仿宋_GB2312" w:hint="eastAsia"/>
          <w:snapToGrid/>
          <w:color w:val="auto"/>
          <w:kern w:val="2"/>
          <w:sz w:val="32"/>
          <w:szCs w:val="32"/>
          <w:lang w:eastAsia="zh-CN"/>
        </w:rPr>
        <w:t>卫生健康支出（类）行政事业单位医疗（款）事业单位医疗（项）</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支出决算为</w:t>
      </w:r>
      <w:r>
        <w:rPr>
          <w:rFonts w:ascii="Times New Roman" w:eastAsia="仿宋_GB2312" w:hAnsi="Times New Roman" w:cs="仿宋_GB2312" w:hint="eastAsia"/>
          <w:snapToGrid/>
          <w:color w:val="auto"/>
          <w:kern w:val="2"/>
          <w:sz w:val="32"/>
          <w:szCs w:val="32"/>
          <w:lang w:eastAsia="zh-CN"/>
        </w:rPr>
        <w:t>29.05</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17.</w:t>
      </w:r>
      <w:r>
        <w:rPr>
          <w:rFonts w:ascii="Times New Roman" w:eastAsia="仿宋_GB2312" w:hAnsi="Times New Roman" w:cs="仿宋_GB2312" w:hint="eastAsia"/>
          <w:snapToGrid/>
          <w:color w:val="auto"/>
          <w:kern w:val="2"/>
          <w:sz w:val="32"/>
          <w:szCs w:val="32"/>
          <w:lang w:eastAsia="zh-CN"/>
        </w:rPr>
        <w:t>卫生健康支出（类）行政事业单位医疗（款）公务员医疗补助（项）</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支出决算为</w:t>
      </w:r>
      <w:r>
        <w:rPr>
          <w:rFonts w:ascii="Times New Roman" w:eastAsia="仿宋_GB2312" w:hAnsi="Times New Roman" w:cs="仿宋_GB2312" w:hint="eastAsia"/>
          <w:snapToGrid/>
          <w:color w:val="auto"/>
          <w:kern w:val="2"/>
          <w:sz w:val="32"/>
          <w:szCs w:val="32"/>
          <w:lang w:eastAsia="zh-CN"/>
        </w:rPr>
        <w:t>19.57</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18.</w:t>
      </w:r>
      <w:r>
        <w:rPr>
          <w:rFonts w:ascii="Times New Roman" w:eastAsia="仿宋_GB2312" w:hAnsi="Times New Roman" w:cs="仿宋_GB2312" w:hint="eastAsia"/>
          <w:snapToGrid/>
          <w:color w:val="auto"/>
          <w:kern w:val="2"/>
          <w:sz w:val="32"/>
          <w:szCs w:val="32"/>
          <w:lang w:eastAsia="zh-CN"/>
        </w:rPr>
        <w:t>卫生健康支出（类）行政事业单位医疗（款）其他行政事业单位医疗支出（项）</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支出决算为</w:t>
      </w:r>
      <w:r>
        <w:rPr>
          <w:rFonts w:ascii="Times New Roman" w:eastAsia="仿宋_GB2312" w:hAnsi="Times New Roman" w:cs="仿宋_GB2312" w:hint="eastAsia"/>
          <w:snapToGrid/>
          <w:color w:val="auto"/>
          <w:kern w:val="2"/>
          <w:sz w:val="32"/>
          <w:szCs w:val="32"/>
          <w:lang w:eastAsia="zh-CN"/>
        </w:rPr>
        <w:t>23.26</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19.</w:t>
      </w:r>
      <w:r>
        <w:rPr>
          <w:rFonts w:ascii="Times New Roman" w:eastAsia="仿宋_GB2312" w:hAnsi="Times New Roman" w:cs="仿宋_GB2312" w:hint="eastAsia"/>
          <w:snapToGrid/>
          <w:color w:val="auto"/>
          <w:kern w:val="2"/>
          <w:sz w:val="32"/>
          <w:szCs w:val="32"/>
          <w:lang w:eastAsia="zh-CN"/>
        </w:rPr>
        <w:t>卫生健康支出（类）其他卫生健康支出（款）其他卫生健康支出（项）</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支出决算为</w:t>
      </w:r>
      <w:r>
        <w:rPr>
          <w:rFonts w:ascii="Times New Roman" w:eastAsia="仿宋_GB2312" w:hAnsi="Times New Roman" w:cs="仿宋_GB2312" w:hint="eastAsia"/>
          <w:snapToGrid/>
          <w:color w:val="auto"/>
          <w:kern w:val="2"/>
          <w:sz w:val="32"/>
          <w:szCs w:val="32"/>
          <w:lang w:eastAsia="zh-CN"/>
        </w:rPr>
        <w:t>0.36</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20.</w:t>
      </w:r>
      <w:r>
        <w:rPr>
          <w:rFonts w:ascii="Times New Roman" w:eastAsia="仿宋_GB2312" w:hAnsi="Times New Roman" w:cs="仿宋_GB2312" w:hint="eastAsia"/>
          <w:snapToGrid/>
          <w:color w:val="auto"/>
          <w:kern w:val="2"/>
          <w:sz w:val="32"/>
          <w:szCs w:val="32"/>
          <w:lang w:eastAsia="zh-CN"/>
        </w:rPr>
        <w:t>城乡社区支出（类）城乡社区公共设施（款）其他城乡社区公共设施支出（项）：支出决算为</w:t>
      </w:r>
      <w:r>
        <w:rPr>
          <w:rFonts w:ascii="Times New Roman" w:eastAsia="仿宋_GB2312" w:hAnsi="Times New Roman" w:cs="仿宋_GB2312" w:hint="eastAsia"/>
          <w:snapToGrid/>
          <w:color w:val="auto"/>
          <w:kern w:val="2"/>
          <w:sz w:val="32"/>
          <w:szCs w:val="32"/>
          <w:lang w:eastAsia="zh-CN"/>
        </w:rPr>
        <w:t>26</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21.</w:t>
      </w:r>
      <w:r>
        <w:rPr>
          <w:rFonts w:ascii="Times New Roman" w:eastAsia="仿宋_GB2312" w:hAnsi="Times New Roman" w:cs="仿宋_GB2312" w:hint="eastAsia"/>
          <w:snapToGrid/>
          <w:color w:val="auto"/>
          <w:kern w:val="2"/>
          <w:sz w:val="32"/>
          <w:szCs w:val="32"/>
          <w:lang w:eastAsia="zh-CN"/>
        </w:rPr>
        <w:t>住房保障（类）住房改革支出（款）住房公积金（项）</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支出决算为</w:t>
      </w:r>
      <w:r>
        <w:rPr>
          <w:rFonts w:ascii="Times New Roman" w:eastAsia="仿宋_GB2312" w:hAnsi="Times New Roman" w:cs="仿宋_GB2312" w:hint="eastAsia"/>
          <w:snapToGrid/>
          <w:color w:val="auto"/>
          <w:kern w:val="2"/>
          <w:sz w:val="32"/>
          <w:szCs w:val="32"/>
          <w:lang w:eastAsia="zh-CN"/>
        </w:rPr>
        <w:t>288.23</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黑体" w:hAnsi="Times New Roman" w:cs="Times New Roman"/>
          <w:snapToGrid/>
          <w:color w:val="auto"/>
          <w:kern w:val="2"/>
          <w:sz w:val="32"/>
          <w:szCs w:val="32"/>
          <w:lang w:eastAsia="zh-CN"/>
        </w:rPr>
      </w:pPr>
      <w:bookmarkStart w:id="38" w:name="_Toc10405"/>
      <w:r>
        <w:rPr>
          <w:rFonts w:ascii="Times New Roman" w:eastAsia="黑体" w:hAnsi="Times New Roman" w:cs="Times New Roman" w:hint="eastAsia"/>
          <w:snapToGrid/>
          <w:color w:val="auto"/>
          <w:kern w:val="2"/>
          <w:sz w:val="32"/>
          <w:szCs w:val="32"/>
          <w:lang w:eastAsia="zh-CN"/>
        </w:rPr>
        <w:t>六、一般公共预算财政拨款基本支出决算情况说明</w:t>
      </w:r>
      <w:bookmarkEnd w:id="38"/>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bookmarkStart w:id="39" w:name="_Toc26600"/>
      <w:bookmarkStart w:id="40" w:name="_Toc24029"/>
      <w:r>
        <w:rPr>
          <w:rFonts w:ascii="Times New Roman" w:eastAsia="仿宋_GB2312" w:hAnsi="Times New Roman" w:cs="仿宋_GB2312" w:hint="eastAsia"/>
          <w:snapToGrid/>
          <w:color w:val="auto"/>
          <w:kern w:val="2"/>
          <w:sz w:val="32"/>
          <w:szCs w:val="32"/>
          <w:lang w:eastAsia="zh-CN"/>
        </w:rPr>
        <w:t>2025</w:t>
      </w:r>
      <w:r>
        <w:rPr>
          <w:rFonts w:ascii="Times New Roman" w:eastAsia="仿宋_GB2312" w:hAnsi="Times New Roman" w:cs="仿宋_GB2312" w:hint="eastAsia"/>
          <w:snapToGrid/>
          <w:color w:val="auto"/>
          <w:kern w:val="2"/>
          <w:sz w:val="32"/>
          <w:szCs w:val="32"/>
          <w:lang w:eastAsia="zh-CN"/>
        </w:rPr>
        <w:t>年度一般公共预算财政拨款基本支出</w:t>
      </w:r>
      <w:r>
        <w:rPr>
          <w:rFonts w:ascii="Times New Roman" w:eastAsia="仿宋_GB2312" w:hAnsi="Times New Roman" w:cs="仿宋_GB2312" w:hint="eastAsia"/>
          <w:snapToGrid/>
          <w:color w:val="auto"/>
          <w:kern w:val="2"/>
          <w:sz w:val="32"/>
          <w:szCs w:val="32"/>
          <w:lang w:eastAsia="zh-CN"/>
        </w:rPr>
        <w:t>6581.34</w:t>
      </w:r>
      <w:r>
        <w:rPr>
          <w:rFonts w:ascii="Times New Roman" w:eastAsia="仿宋_GB2312" w:hAnsi="Times New Roman" w:cs="仿宋_GB2312" w:hint="eastAsia"/>
          <w:snapToGrid/>
          <w:color w:val="auto"/>
          <w:kern w:val="2"/>
          <w:sz w:val="32"/>
          <w:szCs w:val="32"/>
          <w:lang w:eastAsia="zh-CN"/>
        </w:rPr>
        <w:t>万元，其中：</w:t>
      </w:r>
      <w:bookmarkEnd w:id="39"/>
      <w:bookmarkEnd w:id="40"/>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bookmarkStart w:id="41" w:name="_Toc11251"/>
      <w:bookmarkStart w:id="42" w:name="_Toc15051"/>
      <w:r>
        <w:rPr>
          <w:rFonts w:ascii="Times New Roman" w:eastAsia="仿宋_GB2312" w:hAnsi="Times New Roman" w:cs="仿宋_GB2312" w:hint="eastAsia"/>
          <w:snapToGrid/>
          <w:color w:val="auto"/>
          <w:kern w:val="2"/>
          <w:sz w:val="32"/>
          <w:szCs w:val="32"/>
          <w:lang w:eastAsia="zh-CN"/>
        </w:rPr>
        <w:t>人员经费</w:t>
      </w:r>
      <w:r>
        <w:rPr>
          <w:rFonts w:ascii="Times New Roman" w:eastAsia="仿宋_GB2312" w:hAnsi="Times New Roman" w:cs="仿宋_GB2312" w:hint="eastAsia"/>
          <w:snapToGrid/>
          <w:color w:val="auto"/>
          <w:kern w:val="2"/>
          <w:sz w:val="32"/>
          <w:szCs w:val="32"/>
          <w:lang w:eastAsia="zh-CN"/>
        </w:rPr>
        <w:t>6214.10</w:t>
      </w:r>
      <w:r>
        <w:rPr>
          <w:rFonts w:ascii="Times New Roman" w:eastAsia="仿宋_GB2312" w:hAnsi="Times New Roman" w:cs="仿宋_GB2312" w:hint="eastAsia"/>
          <w:snapToGrid/>
          <w:color w:val="auto"/>
          <w:kern w:val="2"/>
          <w:sz w:val="32"/>
          <w:szCs w:val="32"/>
          <w:lang w:eastAsia="zh-CN"/>
        </w:rPr>
        <w:t>万元，主要包括：基本工资、津贴补贴、奖金、伙食补助费、绩效工资、机关事业单位基本养老保险缴费、职业年金缴费、职工基本医疗保险缴费、公务员医疗补助缴费、其他社会保障缴费、其他工资福利支出、离休费、抚恤金、生活补助、医疗费补助、住房公积金、其他对个人和家庭的补助支出等。</w:t>
      </w:r>
      <w:bookmarkEnd w:id="41"/>
      <w:bookmarkEnd w:id="42"/>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bookmarkStart w:id="43" w:name="_Toc7426"/>
      <w:bookmarkStart w:id="44" w:name="_Toc9587"/>
      <w:r>
        <w:rPr>
          <w:rFonts w:ascii="Times New Roman" w:eastAsia="仿宋_GB2312" w:hAnsi="Times New Roman" w:cs="仿宋_GB2312" w:hint="eastAsia"/>
          <w:snapToGrid/>
          <w:color w:val="auto"/>
          <w:kern w:val="2"/>
          <w:sz w:val="32"/>
          <w:szCs w:val="32"/>
          <w:lang w:eastAsia="zh-CN"/>
        </w:rPr>
        <w:lastRenderedPageBreak/>
        <w:t>公用经费</w:t>
      </w:r>
      <w:r>
        <w:rPr>
          <w:rFonts w:ascii="Times New Roman" w:eastAsia="仿宋_GB2312" w:hAnsi="Times New Roman" w:cs="仿宋_GB2312" w:hint="eastAsia"/>
          <w:snapToGrid/>
          <w:color w:val="auto"/>
          <w:kern w:val="2"/>
          <w:sz w:val="32"/>
          <w:szCs w:val="32"/>
          <w:lang w:eastAsia="zh-CN"/>
        </w:rPr>
        <w:t>367.24</w:t>
      </w:r>
      <w:r>
        <w:rPr>
          <w:rFonts w:ascii="Times New Roman" w:eastAsia="仿宋_GB2312" w:hAnsi="Times New Roman" w:cs="仿宋_GB2312" w:hint="eastAsia"/>
          <w:snapToGrid/>
          <w:color w:val="auto"/>
          <w:kern w:val="2"/>
          <w:sz w:val="32"/>
          <w:szCs w:val="32"/>
          <w:lang w:eastAsia="zh-CN"/>
        </w:rPr>
        <w:t>万元，主要包括：办公费、印刷费、水费、电费、邮电费、物业管理费、差旅费、维修（护）费、租赁费、会议费、培训费、公务接待费、专用材料费、劳务费、委托业务费、工会经费、福利费、公务用车运行维护费、其他交通费、其他商品和服务支出等。</w:t>
      </w:r>
      <w:bookmarkEnd w:id="43"/>
      <w:bookmarkEnd w:id="44"/>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黑体" w:hAnsi="Times New Roman" w:cs="Times New Roman"/>
          <w:snapToGrid/>
          <w:color w:val="auto"/>
          <w:kern w:val="2"/>
          <w:sz w:val="32"/>
          <w:szCs w:val="32"/>
          <w:lang w:eastAsia="zh-CN"/>
        </w:rPr>
      </w:pPr>
      <w:bookmarkStart w:id="45" w:name="_Toc15248"/>
      <w:r>
        <w:rPr>
          <w:rFonts w:ascii="Times New Roman" w:eastAsia="黑体" w:hAnsi="Times New Roman" w:cs="Times New Roman" w:hint="eastAsia"/>
          <w:snapToGrid/>
          <w:color w:val="auto"/>
          <w:kern w:val="2"/>
          <w:sz w:val="32"/>
          <w:szCs w:val="32"/>
          <w:lang w:eastAsia="zh-CN"/>
        </w:rPr>
        <w:t>七、财政拨款“三公”经费支出决算情况说明</w:t>
      </w:r>
      <w:bookmarkEnd w:id="45"/>
    </w:p>
    <w:p w:rsidR="004B0FC1" w:rsidRDefault="00A976D9" w:rsidP="0061664C">
      <w:pPr>
        <w:widowControl w:val="0"/>
        <w:kinsoku/>
        <w:autoSpaceDE/>
        <w:autoSpaceDN/>
        <w:adjustRightInd/>
        <w:snapToGrid/>
        <w:spacing w:line="600" w:lineRule="exact"/>
        <w:ind w:firstLineChars="200" w:firstLine="641"/>
        <w:jc w:val="both"/>
        <w:textAlignment w:val="auto"/>
        <w:outlineLvl w:val="2"/>
        <w:rPr>
          <w:rFonts w:ascii="Times New Roman" w:eastAsia="楷体_GB2312" w:hAnsi="Times New Roman" w:cs="楷体_GB2312"/>
          <w:b/>
          <w:snapToGrid/>
          <w:kern w:val="2"/>
          <w:sz w:val="32"/>
          <w:szCs w:val="32"/>
          <w:lang w:eastAsia="zh-CN"/>
        </w:rPr>
      </w:pPr>
      <w:r>
        <w:rPr>
          <w:rFonts w:ascii="Times New Roman" w:eastAsia="楷体_GB2312" w:hAnsi="Times New Roman" w:cs="楷体_GB2312" w:hint="eastAsia"/>
          <w:b/>
          <w:snapToGrid/>
          <w:kern w:val="2"/>
          <w:sz w:val="32"/>
          <w:szCs w:val="32"/>
          <w:lang w:eastAsia="zh-CN"/>
        </w:rPr>
        <w:t>（一）“三公”经费财政拨款支出决算总体情况说明</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2025</w:t>
      </w:r>
      <w:r>
        <w:rPr>
          <w:rFonts w:ascii="Times New Roman" w:eastAsia="仿宋_GB2312" w:hAnsi="Times New Roman" w:cs="仿宋_GB2312" w:hint="eastAsia"/>
          <w:snapToGrid/>
          <w:color w:val="auto"/>
          <w:kern w:val="2"/>
          <w:sz w:val="32"/>
          <w:szCs w:val="32"/>
          <w:lang w:eastAsia="zh-CN"/>
        </w:rPr>
        <w:t>年度“三公”经费财政拨款支出决算为</w:t>
      </w:r>
      <w:r>
        <w:rPr>
          <w:rFonts w:ascii="Times New Roman" w:eastAsia="仿宋_GB2312" w:hAnsi="Times New Roman" w:cs="仿宋_GB2312" w:hint="eastAsia"/>
          <w:snapToGrid/>
          <w:color w:val="auto"/>
          <w:kern w:val="2"/>
          <w:sz w:val="32"/>
          <w:szCs w:val="32"/>
          <w:lang w:eastAsia="zh-CN"/>
        </w:rPr>
        <w:t>31.98</w:t>
      </w:r>
      <w:r>
        <w:rPr>
          <w:rFonts w:ascii="Times New Roman" w:eastAsia="仿宋_GB2312" w:hAnsi="Times New Roman" w:cs="仿宋_GB2312" w:hint="eastAsia"/>
          <w:snapToGrid/>
          <w:color w:val="auto"/>
          <w:kern w:val="2"/>
          <w:sz w:val="32"/>
          <w:szCs w:val="32"/>
          <w:lang w:eastAsia="zh-CN"/>
        </w:rPr>
        <w:t>万元，完成预算</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，与预算数持平。较</w:t>
      </w:r>
      <w:r>
        <w:rPr>
          <w:rFonts w:ascii="Times New Roman" w:eastAsia="仿宋_GB2312" w:hAnsi="Times New Roman" w:cs="仿宋_GB2312" w:hint="eastAsia"/>
          <w:snapToGrid/>
          <w:color w:val="auto"/>
          <w:kern w:val="2"/>
          <w:sz w:val="32"/>
          <w:szCs w:val="32"/>
          <w:lang w:eastAsia="zh-CN"/>
        </w:rPr>
        <w:t>2024</w:t>
      </w:r>
      <w:r>
        <w:rPr>
          <w:rFonts w:ascii="Times New Roman" w:eastAsia="仿宋_GB2312" w:hAnsi="Times New Roman" w:cs="仿宋_GB2312" w:hint="eastAsia"/>
          <w:snapToGrid/>
          <w:color w:val="auto"/>
          <w:kern w:val="2"/>
          <w:sz w:val="32"/>
          <w:szCs w:val="32"/>
          <w:lang w:eastAsia="zh-CN"/>
        </w:rPr>
        <w:t>年度减少</w:t>
      </w:r>
      <w:r>
        <w:rPr>
          <w:rFonts w:ascii="Times New Roman" w:eastAsia="仿宋_GB2312" w:hAnsi="Times New Roman" w:cs="仿宋_GB2312" w:hint="eastAsia"/>
          <w:snapToGrid/>
          <w:color w:val="auto"/>
          <w:kern w:val="2"/>
          <w:sz w:val="32"/>
          <w:szCs w:val="32"/>
          <w:lang w:eastAsia="zh-CN"/>
        </w:rPr>
        <w:t>223.33</w:t>
      </w:r>
      <w:r>
        <w:rPr>
          <w:rFonts w:ascii="Times New Roman" w:eastAsia="仿宋_GB2312" w:hAnsi="Times New Roman" w:cs="仿宋_GB2312" w:hint="eastAsia"/>
          <w:snapToGrid/>
          <w:color w:val="auto"/>
          <w:kern w:val="2"/>
          <w:sz w:val="32"/>
          <w:szCs w:val="32"/>
          <w:lang w:eastAsia="zh-CN"/>
        </w:rPr>
        <w:t>万元，下降</w:t>
      </w:r>
      <w:r>
        <w:rPr>
          <w:rFonts w:ascii="Times New Roman" w:eastAsia="仿宋_GB2312" w:hAnsi="Times New Roman" w:cs="仿宋_GB2312" w:hint="eastAsia"/>
          <w:snapToGrid/>
          <w:color w:val="auto"/>
          <w:kern w:val="2"/>
          <w:sz w:val="32"/>
          <w:szCs w:val="32"/>
          <w:lang w:eastAsia="zh-CN"/>
        </w:rPr>
        <w:t>87.5%</w:t>
      </w:r>
      <w:r>
        <w:rPr>
          <w:rFonts w:ascii="Times New Roman" w:eastAsia="仿宋_GB2312" w:hAnsi="Times New Roman" w:cs="仿宋_GB2312" w:hint="eastAsia"/>
          <w:snapToGrid/>
          <w:color w:val="auto"/>
          <w:kern w:val="2"/>
          <w:sz w:val="32"/>
          <w:szCs w:val="32"/>
          <w:lang w:eastAsia="zh-CN"/>
        </w:rPr>
        <w:t>，下降主要原因是攀西院</w:t>
      </w:r>
      <w:r>
        <w:rPr>
          <w:rFonts w:ascii="Times New Roman" w:eastAsia="仿宋_GB2312" w:hAnsi="Times New Roman" w:cs="仿宋_GB2312" w:hint="eastAsia"/>
          <w:snapToGrid/>
          <w:color w:val="auto"/>
          <w:kern w:val="2"/>
          <w:sz w:val="32"/>
          <w:szCs w:val="32"/>
          <w:lang w:eastAsia="zh-CN"/>
        </w:rPr>
        <w:t>2024</w:t>
      </w:r>
      <w:r>
        <w:rPr>
          <w:rFonts w:ascii="Times New Roman" w:eastAsia="仿宋_GB2312" w:hAnsi="Times New Roman" w:cs="仿宋_GB2312" w:hint="eastAsia"/>
          <w:snapToGrid/>
          <w:color w:val="auto"/>
          <w:kern w:val="2"/>
          <w:sz w:val="32"/>
          <w:szCs w:val="32"/>
          <w:lang w:eastAsia="zh-CN"/>
        </w:rPr>
        <w:t>年购置特种设备专用车辆</w:t>
      </w:r>
      <w:r>
        <w:rPr>
          <w:rFonts w:ascii="Times New Roman" w:eastAsia="仿宋_GB2312" w:hAnsi="Times New Roman" w:cs="仿宋_GB2312" w:hint="eastAsia"/>
          <w:snapToGrid/>
          <w:color w:val="auto"/>
          <w:kern w:val="2"/>
          <w:sz w:val="32"/>
          <w:szCs w:val="32"/>
          <w:lang w:eastAsia="zh-CN"/>
        </w:rPr>
        <w:t>3</w:t>
      </w:r>
      <w:r>
        <w:rPr>
          <w:rFonts w:ascii="Times New Roman" w:eastAsia="仿宋_GB2312" w:hAnsi="Times New Roman" w:cs="仿宋_GB2312" w:hint="eastAsia"/>
          <w:snapToGrid/>
          <w:color w:val="auto"/>
          <w:kern w:val="2"/>
          <w:sz w:val="32"/>
          <w:szCs w:val="32"/>
          <w:lang w:eastAsia="zh-CN"/>
        </w:rPr>
        <w:t>辆。</w:t>
      </w:r>
    </w:p>
    <w:p w:rsidR="004B0FC1" w:rsidRDefault="00A976D9" w:rsidP="0061664C">
      <w:pPr>
        <w:widowControl w:val="0"/>
        <w:kinsoku/>
        <w:autoSpaceDE/>
        <w:autoSpaceDN/>
        <w:adjustRightInd/>
        <w:snapToGrid/>
        <w:spacing w:line="600" w:lineRule="exact"/>
        <w:ind w:firstLineChars="200" w:firstLine="641"/>
        <w:jc w:val="both"/>
        <w:textAlignment w:val="auto"/>
        <w:outlineLvl w:val="2"/>
        <w:rPr>
          <w:rFonts w:ascii="Times New Roman" w:eastAsia="楷体_GB2312" w:hAnsi="Times New Roman" w:cs="楷体_GB2312"/>
          <w:b/>
          <w:snapToGrid/>
          <w:kern w:val="2"/>
          <w:sz w:val="32"/>
          <w:szCs w:val="32"/>
          <w:lang w:eastAsia="zh-CN"/>
        </w:rPr>
      </w:pPr>
      <w:r>
        <w:rPr>
          <w:rFonts w:ascii="Times New Roman" w:eastAsia="楷体_GB2312" w:hAnsi="Times New Roman" w:cs="楷体_GB2312" w:hint="eastAsia"/>
          <w:b/>
          <w:snapToGrid/>
          <w:kern w:val="2"/>
          <w:sz w:val="32"/>
          <w:szCs w:val="32"/>
          <w:lang w:eastAsia="zh-CN"/>
        </w:rPr>
        <w:t>（二）“三公”经费财政拨款支出决算具体情况说明</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2025</w:t>
      </w:r>
      <w:r>
        <w:rPr>
          <w:rFonts w:ascii="Times New Roman" w:eastAsia="仿宋_GB2312" w:hAnsi="Times New Roman" w:cs="仿宋_GB2312" w:hint="eastAsia"/>
          <w:snapToGrid/>
          <w:color w:val="auto"/>
          <w:kern w:val="2"/>
          <w:sz w:val="32"/>
          <w:szCs w:val="32"/>
          <w:lang w:eastAsia="zh-CN"/>
        </w:rPr>
        <w:t>年度“三公”经费财政拨款支出决算中，因公出国（境）费支出决算</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万元，占</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；公务用车购置及运行维护费支出决算</w:t>
      </w:r>
      <w:r>
        <w:rPr>
          <w:rFonts w:ascii="Times New Roman" w:eastAsia="仿宋_GB2312" w:hAnsi="Times New Roman" w:cs="仿宋_GB2312" w:hint="eastAsia"/>
          <w:snapToGrid/>
          <w:color w:val="auto"/>
          <w:kern w:val="2"/>
          <w:sz w:val="32"/>
          <w:szCs w:val="32"/>
          <w:lang w:eastAsia="zh-CN"/>
        </w:rPr>
        <w:t>29.98</w:t>
      </w:r>
      <w:r>
        <w:rPr>
          <w:rFonts w:ascii="Times New Roman" w:eastAsia="仿宋_GB2312" w:hAnsi="Times New Roman" w:cs="仿宋_GB2312" w:hint="eastAsia"/>
          <w:snapToGrid/>
          <w:color w:val="auto"/>
          <w:kern w:val="2"/>
          <w:sz w:val="32"/>
          <w:szCs w:val="32"/>
          <w:lang w:eastAsia="zh-CN"/>
        </w:rPr>
        <w:t>万元，占</w:t>
      </w:r>
      <w:r>
        <w:rPr>
          <w:rFonts w:ascii="Times New Roman" w:eastAsia="仿宋_GB2312" w:hAnsi="Times New Roman" w:cs="仿宋_GB2312" w:hint="eastAsia"/>
          <w:snapToGrid/>
          <w:color w:val="auto"/>
          <w:kern w:val="2"/>
          <w:sz w:val="32"/>
          <w:szCs w:val="32"/>
          <w:lang w:eastAsia="zh-CN"/>
        </w:rPr>
        <w:t>93.8%</w:t>
      </w:r>
      <w:r>
        <w:rPr>
          <w:rFonts w:ascii="Times New Roman" w:eastAsia="仿宋_GB2312" w:hAnsi="Times New Roman" w:cs="仿宋_GB2312" w:hint="eastAsia"/>
          <w:snapToGrid/>
          <w:color w:val="auto"/>
          <w:kern w:val="2"/>
          <w:sz w:val="32"/>
          <w:szCs w:val="32"/>
          <w:lang w:eastAsia="zh-CN"/>
        </w:rPr>
        <w:t>；公务接待费支出决算</w:t>
      </w:r>
      <w:r>
        <w:rPr>
          <w:rFonts w:ascii="Times New Roman" w:eastAsia="仿宋_GB2312" w:hAnsi="Times New Roman" w:cs="仿宋_GB2312" w:hint="eastAsia"/>
          <w:snapToGrid/>
          <w:color w:val="auto"/>
          <w:kern w:val="2"/>
          <w:sz w:val="32"/>
          <w:szCs w:val="32"/>
          <w:lang w:eastAsia="zh-CN"/>
        </w:rPr>
        <w:t>2</w:t>
      </w:r>
      <w:r>
        <w:rPr>
          <w:rFonts w:ascii="Times New Roman" w:eastAsia="仿宋_GB2312" w:hAnsi="Times New Roman" w:cs="仿宋_GB2312" w:hint="eastAsia"/>
          <w:snapToGrid/>
          <w:color w:val="auto"/>
          <w:kern w:val="2"/>
          <w:sz w:val="32"/>
          <w:szCs w:val="32"/>
          <w:lang w:eastAsia="zh-CN"/>
        </w:rPr>
        <w:t>万元，占</w:t>
      </w:r>
      <w:r>
        <w:rPr>
          <w:rFonts w:ascii="Times New Roman" w:eastAsia="仿宋_GB2312" w:hAnsi="Times New Roman" w:cs="仿宋_GB2312" w:hint="eastAsia"/>
          <w:snapToGrid/>
          <w:color w:val="auto"/>
          <w:kern w:val="2"/>
          <w:sz w:val="32"/>
          <w:szCs w:val="32"/>
          <w:lang w:eastAsia="zh-CN"/>
        </w:rPr>
        <w:t>6.3%</w:t>
      </w:r>
      <w:r>
        <w:rPr>
          <w:rFonts w:ascii="Times New Roman" w:eastAsia="仿宋_GB2312" w:hAnsi="Times New Roman" w:cs="仿宋_GB2312" w:hint="eastAsia"/>
          <w:snapToGrid/>
          <w:color w:val="auto"/>
          <w:kern w:val="2"/>
          <w:sz w:val="32"/>
          <w:szCs w:val="32"/>
          <w:lang w:eastAsia="zh-CN"/>
        </w:rPr>
        <w:t>。具体情况如下</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（图</w:t>
      </w:r>
      <w:r>
        <w:rPr>
          <w:rFonts w:ascii="Times New Roman" w:eastAsia="仿宋_GB2312" w:hAnsi="Times New Roman" w:cs="仿宋_GB2312" w:hint="eastAsia"/>
          <w:snapToGrid/>
          <w:color w:val="auto"/>
          <w:kern w:val="2"/>
          <w:sz w:val="32"/>
          <w:szCs w:val="32"/>
          <w:lang w:eastAsia="zh-CN"/>
        </w:rPr>
        <w:t>7</w:t>
      </w:r>
      <w:r>
        <w:rPr>
          <w:rFonts w:ascii="Times New Roman" w:eastAsia="仿宋_GB2312" w:hAnsi="Times New Roman" w:cs="仿宋_GB2312" w:hint="eastAsia"/>
          <w:snapToGrid/>
          <w:color w:val="auto"/>
          <w:kern w:val="2"/>
          <w:sz w:val="32"/>
          <w:szCs w:val="32"/>
          <w:lang w:eastAsia="zh-CN"/>
        </w:rPr>
        <w:t>：“三公”经费财政拨款支出结构）</w:t>
      </w:r>
    </w:p>
    <w:p w:rsidR="004B0FC1" w:rsidRDefault="00A976D9" w:rsidP="0061664C">
      <w:pPr>
        <w:spacing w:line="360" w:lineRule="auto"/>
        <w:ind w:firstLineChars="200" w:firstLine="620"/>
        <w:rPr>
          <w:rFonts w:ascii="仿宋_GB2312" w:eastAsia="仿宋_GB2312" w:hAnsi="仿宋_GB2312" w:cs="仿宋_GB2312"/>
          <w:spacing w:val="3"/>
          <w:sz w:val="31"/>
          <w:szCs w:val="31"/>
          <w:lang w:eastAsia="zh-CN"/>
        </w:rPr>
      </w:pPr>
      <w:r>
        <w:rPr>
          <w:rFonts w:ascii="仿宋_GB2312" w:eastAsia="仿宋_GB2312" w:hAnsi="仿宋_GB2312" w:cs="仿宋_GB2312" w:hint="eastAsia"/>
          <w:noProof/>
          <w:spacing w:val="3"/>
          <w:sz w:val="31"/>
          <w:szCs w:val="31"/>
          <w:lang w:eastAsia="zh-CN"/>
        </w:rPr>
        <w:drawing>
          <wp:inline distT="0" distB="0" distL="114300" distR="114300">
            <wp:extent cx="5125085" cy="2333625"/>
            <wp:effectExtent l="5080" t="4445" r="13335" b="5080"/>
            <wp:docPr id="4" name="图表 4"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B0FC1" w:rsidRDefault="00A976D9">
      <w:pPr>
        <w:pStyle w:val="ac"/>
        <w:widowControl w:val="0"/>
        <w:kinsoku/>
        <w:autoSpaceDE/>
        <w:autoSpaceDN/>
        <w:adjustRightInd/>
        <w:snapToGrid/>
        <w:spacing w:line="600" w:lineRule="exact"/>
        <w:ind w:firstLine="643"/>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b/>
          <w:bCs/>
          <w:snapToGrid/>
          <w:color w:val="auto"/>
          <w:kern w:val="2"/>
          <w:sz w:val="32"/>
          <w:szCs w:val="32"/>
          <w:lang w:eastAsia="zh-CN"/>
        </w:rPr>
        <w:lastRenderedPageBreak/>
        <w:t>1.</w:t>
      </w:r>
      <w:r>
        <w:rPr>
          <w:rFonts w:ascii="Times New Roman" w:eastAsia="仿宋_GB2312" w:hAnsi="Times New Roman" w:cs="仿宋_GB2312" w:hint="eastAsia"/>
          <w:b/>
          <w:bCs/>
          <w:snapToGrid/>
          <w:color w:val="auto"/>
          <w:kern w:val="2"/>
          <w:sz w:val="32"/>
          <w:szCs w:val="32"/>
          <w:lang w:eastAsia="zh-CN"/>
        </w:rPr>
        <w:t>因公出国（境）经费支出</w:t>
      </w:r>
      <w:r>
        <w:rPr>
          <w:rFonts w:ascii="Times New Roman" w:eastAsia="仿宋_GB2312" w:hAnsi="Times New Roman" w:cs="仿宋_GB2312" w:hint="eastAsia"/>
          <w:b/>
          <w:bCs/>
          <w:snapToGrid/>
          <w:color w:val="auto"/>
          <w:kern w:val="2"/>
          <w:sz w:val="32"/>
          <w:szCs w:val="32"/>
          <w:lang w:eastAsia="zh-CN"/>
        </w:rPr>
        <w:t>0</w:t>
      </w:r>
      <w:r>
        <w:rPr>
          <w:rFonts w:ascii="Times New Roman" w:eastAsia="仿宋_GB2312" w:hAnsi="Times New Roman" w:cs="仿宋_GB2312" w:hint="eastAsia"/>
          <w:b/>
          <w:bCs/>
          <w:snapToGrid/>
          <w:color w:val="auto"/>
          <w:kern w:val="2"/>
          <w:sz w:val="32"/>
          <w:szCs w:val="32"/>
          <w:lang w:eastAsia="zh-CN"/>
        </w:rPr>
        <w:t>万元，完成预算</w:t>
      </w:r>
      <w:r>
        <w:rPr>
          <w:rFonts w:ascii="Times New Roman" w:eastAsia="仿宋_GB2312" w:hAnsi="Times New Roman" w:cs="仿宋_GB2312" w:hint="eastAsia"/>
          <w:b/>
          <w:bCs/>
          <w:snapToGrid/>
          <w:color w:val="auto"/>
          <w:kern w:val="2"/>
          <w:sz w:val="32"/>
          <w:szCs w:val="32"/>
          <w:lang w:eastAsia="zh-CN"/>
        </w:rPr>
        <w:t>0%</w:t>
      </w:r>
      <w:r>
        <w:rPr>
          <w:rFonts w:ascii="Times New Roman" w:eastAsia="仿宋_GB2312" w:hAnsi="Times New Roman" w:cs="仿宋_GB2312" w:hint="eastAsia"/>
          <w:b/>
          <w:bCs/>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全年安排因公出国（境）团组</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次，出国（境）</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人。因公出国（境）支出决算与</w:t>
      </w:r>
      <w:r>
        <w:rPr>
          <w:rFonts w:ascii="Times New Roman" w:eastAsia="仿宋_GB2312" w:hAnsi="Times New Roman" w:cs="仿宋_GB2312" w:hint="eastAsia"/>
          <w:snapToGrid/>
          <w:color w:val="auto"/>
          <w:kern w:val="2"/>
          <w:sz w:val="32"/>
          <w:szCs w:val="32"/>
          <w:lang w:eastAsia="zh-CN"/>
        </w:rPr>
        <w:t>2024</w:t>
      </w:r>
      <w:r>
        <w:rPr>
          <w:rFonts w:ascii="Times New Roman" w:eastAsia="仿宋_GB2312" w:hAnsi="Times New Roman" w:cs="仿宋_GB2312" w:hint="eastAsia"/>
          <w:snapToGrid/>
          <w:color w:val="auto"/>
          <w:kern w:val="2"/>
          <w:sz w:val="32"/>
          <w:szCs w:val="32"/>
          <w:lang w:eastAsia="zh-CN"/>
        </w:rPr>
        <w:t>年度持平。</w:t>
      </w:r>
    </w:p>
    <w:p w:rsidR="004B0FC1" w:rsidRDefault="00A976D9">
      <w:pPr>
        <w:pStyle w:val="ac"/>
        <w:widowControl w:val="0"/>
        <w:kinsoku/>
        <w:autoSpaceDE/>
        <w:autoSpaceDN/>
        <w:adjustRightInd/>
        <w:snapToGrid/>
        <w:spacing w:line="600" w:lineRule="exact"/>
        <w:ind w:firstLine="643"/>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b/>
          <w:bCs/>
          <w:snapToGrid/>
          <w:color w:val="auto"/>
          <w:kern w:val="2"/>
          <w:sz w:val="32"/>
          <w:szCs w:val="32"/>
          <w:lang w:eastAsia="zh-CN"/>
        </w:rPr>
        <w:t>2.</w:t>
      </w:r>
      <w:r>
        <w:rPr>
          <w:rFonts w:ascii="Times New Roman" w:eastAsia="仿宋_GB2312" w:hAnsi="Times New Roman" w:cs="仿宋_GB2312" w:hint="eastAsia"/>
          <w:b/>
          <w:bCs/>
          <w:snapToGrid/>
          <w:color w:val="auto"/>
          <w:kern w:val="2"/>
          <w:sz w:val="32"/>
          <w:szCs w:val="32"/>
          <w:lang w:eastAsia="zh-CN"/>
        </w:rPr>
        <w:t>公务用车购置及运行维护费支出</w:t>
      </w:r>
      <w:r>
        <w:rPr>
          <w:rFonts w:ascii="Times New Roman" w:eastAsia="仿宋_GB2312" w:hAnsi="Times New Roman" w:cs="仿宋_GB2312" w:hint="eastAsia"/>
          <w:b/>
          <w:bCs/>
          <w:snapToGrid/>
          <w:color w:val="auto"/>
          <w:kern w:val="2"/>
          <w:sz w:val="32"/>
          <w:szCs w:val="32"/>
          <w:lang w:eastAsia="zh-CN"/>
        </w:rPr>
        <w:t>29.98</w:t>
      </w:r>
      <w:r>
        <w:rPr>
          <w:rFonts w:ascii="Times New Roman" w:eastAsia="仿宋_GB2312" w:hAnsi="Times New Roman" w:cs="仿宋_GB2312" w:hint="eastAsia"/>
          <w:b/>
          <w:bCs/>
          <w:snapToGrid/>
          <w:color w:val="auto"/>
          <w:kern w:val="2"/>
          <w:sz w:val="32"/>
          <w:szCs w:val="32"/>
          <w:lang w:eastAsia="zh-CN"/>
        </w:rPr>
        <w:t>万元</w:t>
      </w:r>
      <w:r>
        <w:rPr>
          <w:rFonts w:ascii="Times New Roman" w:eastAsia="仿宋_GB2312" w:hAnsi="Times New Roman" w:cs="仿宋_GB2312" w:hint="eastAsia"/>
          <w:b/>
          <w:bCs/>
          <w:snapToGrid/>
          <w:color w:val="auto"/>
          <w:kern w:val="2"/>
          <w:sz w:val="32"/>
          <w:szCs w:val="32"/>
          <w:lang w:eastAsia="zh-CN"/>
        </w:rPr>
        <w:t>,</w:t>
      </w:r>
      <w:r>
        <w:rPr>
          <w:rFonts w:ascii="Times New Roman" w:eastAsia="仿宋_GB2312" w:hAnsi="Times New Roman" w:cs="仿宋_GB2312" w:hint="eastAsia"/>
          <w:b/>
          <w:bCs/>
          <w:snapToGrid/>
          <w:color w:val="auto"/>
          <w:kern w:val="2"/>
          <w:sz w:val="32"/>
          <w:szCs w:val="32"/>
          <w:lang w:eastAsia="zh-CN"/>
        </w:rPr>
        <w:t>完成预算</w:t>
      </w:r>
      <w:r>
        <w:rPr>
          <w:rFonts w:ascii="Times New Roman" w:eastAsia="仿宋_GB2312" w:hAnsi="Times New Roman" w:cs="仿宋_GB2312" w:hint="eastAsia"/>
          <w:b/>
          <w:bCs/>
          <w:snapToGrid/>
          <w:color w:val="auto"/>
          <w:kern w:val="2"/>
          <w:sz w:val="32"/>
          <w:szCs w:val="32"/>
          <w:lang w:eastAsia="zh-CN"/>
        </w:rPr>
        <w:t>100%</w:t>
      </w:r>
      <w:r>
        <w:rPr>
          <w:rFonts w:ascii="Times New Roman" w:eastAsia="仿宋_GB2312" w:hAnsi="Times New Roman" w:cs="仿宋_GB2312" w:hint="eastAsia"/>
          <w:b/>
          <w:bCs/>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公务用车购置及运行维护费支出决算比</w:t>
      </w:r>
      <w:r>
        <w:rPr>
          <w:rFonts w:ascii="Times New Roman" w:eastAsia="仿宋_GB2312" w:hAnsi="Times New Roman" w:cs="仿宋_GB2312" w:hint="eastAsia"/>
          <w:snapToGrid/>
          <w:color w:val="auto"/>
          <w:kern w:val="2"/>
          <w:sz w:val="32"/>
          <w:szCs w:val="32"/>
          <w:lang w:eastAsia="zh-CN"/>
        </w:rPr>
        <w:t>2024</w:t>
      </w:r>
      <w:r>
        <w:rPr>
          <w:rFonts w:ascii="Times New Roman" w:eastAsia="仿宋_GB2312" w:hAnsi="Times New Roman" w:cs="仿宋_GB2312" w:hint="eastAsia"/>
          <w:snapToGrid/>
          <w:color w:val="auto"/>
          <w:kern w:val="2"/>
          <w:sz w:val="32"/>
          <w:szCs w:val="32"/>
          <w:lang w:eastAsia="zh-CN"/>
        </w:rPr>
        <w:t>年度减少</w:t>
      </w:r>
      <w:r>
        <w:rPr>
          <w:rFonts w:ascii="Times New Roman" w:eastAsia="仿宋_GB2312" w:hAnsi="Times New Roman" w:cs="仿宋_GB2312" w:hint="eastAsia"/>
          <w:snapToGrid/>
          <w:color w:val="auto"/>
          <w:kern w:val="2"/>
          <w:sz w:val="32"/>
          <w:szCs w:val="32"/>
          <w:lang w:eastAsia="zh-CN"/>
        </w:rPr>
        <w:t>221.15</w:t>
      </w:r>
      <w:r>
        <w:rPr>
          <w:rFonts w:ascii="Times New Roman" w:eastAsia="仿宋_GB2312" w:hAnsi="Times New Roman" w:cs="仿宋_GB2312" w:hint="eastAsia"/>
          <w:snapToGrid/>
          <w:color w:val="auto"/>
          <w:kern w:val="2"/>
          <w:sz w:val="32"/>
          <w:szCs w:val="32"/>
          <w:lang w:eastAsia="zh-CN"/>
        </w:rPr>
        <w:t>万元，下降</w:t>
      </w:r>
      <w:r>
        <w:rPr>
          <w:rFonts w:ascii="Times New Roman" w:eastAsia="仿宋_GB2312" w:hAnsi="Times New Roman" w:cs="仿宋_GB2312" w:hint="eastAsia"/>
          <w:snapToGrid/>
          <w:color w:val="auto"/>
          <w:kern w:val="2"/>
          <w:sz w:val="32"/>
          <w:szCs w:val="32"/>
          <w:lang w:eastAsia="zh-CN"/>
        </w:rPr>
        <w:t>88.1%</w:t>
      </w:r>
      <w:r>
        <w:rPr>
          <w:rFonts w:ascii="Times New Roman" w:eastAsia="仿宋_GB2312" w:hAnsi="Times New Roman" w:cs="仿宋_GB2312" w:hint="eastAsia"/>
          <w:snapToGrid/>
          <w:color w:val="auto"/>
          <w:kern w:val="2"/>
          <w:sz w:val="32"/>
          <w:szCs w:val="32"/>
          <w:lang w:eastAsia="zh-CN"/>
        </w:rPr>
        <w:t>。主要原因是</w:t>
      </w:r>
      <w:r>
        <w:rPr>
          <w:rFonts w:ascii="Times New Roman" w:eastAsia="仿宋_GB2312" w:hAnsi="Times New Roman" w:cs="仿宋_GB2312" w:hint="eastAsia"/>
          <w:snapToGrid/>
          <w:color w:val="auto"/>
          <w:kern w:val="2"/>
          <w:sz w:val="32"/>
          <w:szCs w:val="32"/>
          <w:lang w:eastAsia="zh-CN"/>
        </w:rPr>
        <w:t>2024</w:t>
      </w:r>
      <w:r>
        <w:rPr>
          <w:rFonts w:ascii="Times New Roman" w:eastAsia="仿宋_GB2312" w:hAnsi="Times New Roman" w:cs="仿宋_GB2312" w:hint="eastAsia"/>
          <w:snapToGrid/>
          <w:color w:val="auto"/>
          <w:kern w:val="2"/>
          <w:sz w:val="32"/>
          <w:szCs w:val="32"/>
          <w:lang w:eastAsia="zh-CN"/>
        </w:rPr>
        <w:t>年攀西院购置特种设备专用车辆</w:t>
      </w:r>
      <w:r>
        <w:rPr>
          <w:rFonts w:ascii="Times New Roman" w:eastAsia="仿宋_GB2312" w:hAnsi="Times New Roman" w:cs="仿宋_GB2312" w:hint="eastAsia"/>
          <w:snapToGrid/>
          <w:color w:val="auto"/>
          <w:kern w:val="2"/>
          <w:sz w:val="32"/>
          <w:szCs w:val="32"/>
          <w:lang w:eastAsia="zh-CN"/>
        </w:rPr>
        <w:t>3</w:t>
      </w:r>
      <w:r>
        <w:rPr>
          <w:rFonts w:ascii="Times New Roman" w:eastAsia="仿宋_GB2312" w:hAnsi="Times New Roman" w:cs="仿宋_GB2312" w:hint="eastAsia"/>
          <w:snapToGrid/>
          <w:color w:val="auto"/>
          <w:kern w:val="2"/>
          <w:sz w:val="32"/>
          <w:szCs w:val="32"/>
          <w:lang w:eastAsia="zh-CN"/>
        </w:rPr>
        <w:t>辆。</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其中：公务用车购置支出</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万元。全年按规定更新购置公务用车</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辆，其中：轿车</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辆、金额</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万元，越野车</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辆、金额</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万元，载客汽车</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辆、金额</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万元。截至</w:t>
      </w:r>
      <w:r>
        <w:rPr>
          <w:rFonts w:ascii="Times New Roman" w:eastAsia="仿宋_GB2312" w:hAnsi="Times New Roman" w:cs="仿宋_GB2312" w:hint="eastAsia"/>
          <w:snapToGrid/>
          <w:color w:val="auto"/>
          <w:kern w:val="2"/>
          <w:sz w:val="32"/>
          <w:szCs w:val="32"/>
          <w:lang w:eastAsia="zh-CN"/>
        </w:rPr>
        <w:t>2025</w:t>
      </w:r>
      <w:r>
        <w:rPr>
          <w:rFonts w:ascii="Times New Roman" w:eastAsia="仿宋_GB2312" w:hAnsi="Times New Roman" w:cs="仿宋_GB2312" w:hint="eastAsia"/>
          <w:snapToGrid/>
          <w:color w:val="auto"/>
          <w:kern w:val="2"/>
          <w:sz w:val="32"/>
          <w:szCs w:val="32"/>
          <w:lang w:eastAsia="zh-CN"/>
        </w:rPr>
        <w:t>年</w:t>
      </w:r>
      <w:r>
        <w:rPr>
          <w:rFonts w:ascii="Times New Roman" w:eastAsia="仿宋_GB2312" w:hAnsi="Times New Roman" w:cs="仿宋_GB2312" w:hint="eastAsia"/>
          <w:snapToGrid/>
          <w:color w:val="auto"/>
          <w:kern w:val="2"/>
          <w:sz w:val="32"/>
          <w:szCs w:val="32"/>
          <w:lang w:eastAsia="zh-CN"/>
        </w:rPr>
        <w:t>12</w:t>
      </w:r>
      <w:r>
        <w:rPr>
          <w:rFonts w:ascii="Times New Roman" w:eastAsia="仿宋_GB2312" w:hAnsi="Times New Roman" w:cs="仿宋_GB2312" w:hint="eastAsia"/>
          <w:snapToGrid/>
          <w:color w:val="auto"/>
          <w:kern w:val="2"/>
          <w:sz w:val="32"/>
          <w:szCs w:val="32"/>
          <w:lang w:eastAsia="zh-CN"/>
        </w:rPr>
        <w:t>月</w:t>
      </w:r>
      <w:r>
        <w:rPr>
          <w:rFonts w:ascii="Times New Roman" w:eastAsia="仿宋_GB2312" w:hAnsi="Times New Roman" w:cs="仿宋_GB2312" w:hint="eastAsia"/>
          <w:snapToGrid/>
          <w:color w:val="auto"/>
          <w:kern w:val="2"/>
          <w:sz w:val="32"/>
          <w:szCs w:val="32"/>
          <w:lang w:eastAsia="zh-CN"/>
        </w:rPr>
        <w:t>31</w:t>
      </w:r>
      <w:r>
        <w:rPr>
          <w:rFonts w:ascii="Times New Roman" w:eastAsia="仿宋_GB2312" w:hAnsi="Times New Roman" w:cs="仿宋_GB2312" w:hint="eastAsia"/>
          <w:snapToGrid/>
          <w:color w:val="auto"/>
          <w:kern w:val="2"/>
          <w:sz w:val="32"/>
          <w:szCs w:val="32"/>
          <w:lang w:eastAsia="zh-CN"/>
        </w:rPr>
        <w:t>日，单位共有公务用车</w:t>
      </w:r>
      <w:r>
        <w:rPr>
          <w:rFonts w:ascii="Times New Roman" w:eastAsia="仿宋_GB2312" w:hAnsi="Times New Roman" w:cs="仿宋_GB2312" w:hint="eastAsia"/>
          <w:snapToGrid/>
          <w:color w:val="auto"/>
          <w:kern w:val="2"/>
          <w:sz w:val="32"/>
          <w:szCs w:val="32"/>
          <w:lang w:eastAsia="zh-CN"/>
        </w:rPr>
        <w:t>40</w:t>
      </w:r>
      <w:r>
        <w:rPr>
          <w:rFonts w:ascii="Times New Roman" w:eastAsia="仿宋_GB2312" w:hAnsi="Times New Roman" w:cs="仿宋_GB2312" w:hint="eastAsia"/>
          <w:snapToGrid/>
          <w:color w:val="auto"/>
          <w:kern w:val="2"/>
          <w:sz w:val="32"/>
          <w:szCs w:val="32"/>
          <w:lang w:eastAsia="zh-CN"/>
        </w:rPr>
        <w:t>辆，其中：轿车</w:t>
      </w:r>
      <w:r>
        <w:rPr>
          <w:rFonts w:ascii="Times New Roman" w:eastAsia="仿宋_GB2312" w:hAnsi="Times New Roman" w:cs="仿宋_GB2312" w:hint="eastAsia"/>
          <w:snapToGrid/>
          <w:color w:val="auto"/>
          <w:kern w:val="2"/>
          <w:sz w:val="32"/>
          <w:szCs w:val="32"/>
          <w:lang w:eastAsia="zh-CN"/>
        </w:rPr>
        <w:t>29</w:t>
      </w:r>
      <w:r>
        <w:rPr>
          <w:rFonts w:ascii="Times New Roman" w:eastAsia="仿宋_GB2312" w:hAnsi="Times New Roman" w:cs="仿宋_GB2312" w:hint="eastAsia"/>
          <w:snapToGrid/>
          <w:color w:val="auto"/>
          <w:kern w:val="2"/>
          <w:sz w:val="32"/>
          <w:szCs w:val="32"/>
          <w:lang w:eastAsia="zh-CN"/>
        </w:rPr>
        <w:t>辆、越野车</w:t>
      </w:r>
      <w:r>
        <w:rPr>
          <w:rFonts w:ascii="Times New Roman" w:eastAsia="仿宋_GB2312" w:hAnsi="Times New Roman" w:cs="仿宋_GB2312" w:hint="eastAsia"/>
          <w:snapToGrid/>
          <w:color w:val="auto"/>
          <w:kern w:val="2"/>
          <w:sz w:val="32"/>
          <w:szCs w:val="32"/>
          <w:lang w:eastAsia="zh-CN"/>
        </w:rPr>
        <w:t>5</w:t>
      </w:r>
      <w:r>
        <w:rPr>
          <w:rFonts w:ascii="Times New Roman" w:eastAsia="仿宋_GB2312" w:hAnsi="Times New Roman" w:cs="仿宋_GB2312" w:hint="eastAsia"/>
          <w:snapToGrid/>
          <w:color w:val="auto"/>
          <w:kern w:val="2"/>
          <w:sz w:val="32"/>
          <w:szCs w:val="32"/>
          <w:lang w:eastAsia="zh-CN"/>
        </w:rPr>
        <w:t>辆、载客汽车</w:t>
      </w:r>
      <w:r>
        <w:rPr>
          <w:rFonts w:ascii="Times New Roman" w:eastAsia="仿宋_GB2312" w:hAnsi="Times New Roman" w:cs="仿宋_GB2312" w:hint="eastAsia"/>
          <w:snapToGrid/>
          <w:color w:val="auto"/>
          <w:kern w:val="2"/>
          <w:sz w:val="32"/>
          <w:szCs w:val="32"/>
          <w:lang w:eastAsia="zh-CN"/>
        </w:rPr>
        <w:t>1</w:t>
      </w:r>
      <w:r>
        <w:rPr>
          <w:rFonts w:ascii="Times New Roman" w:eastAsia="仿宋_GB2312" w:hAnsi="Times New Roman" w:cs="仿宋_GB2312" w:hint="eastAsia"/>
          <w:snapToGrid/>
          <w:color w:val="auto"/>
          <w:kern w:val="2"/>
          <w:sz w:val="32"/>
          <w:szCs w:val="32"/>
          <w:lang w:eastAsia="zh-CN"/>
        </w:rPr>
        <w:t>辆、货车及</w:t>
      </w:r>
      <w:r>
        <w:rPr>
          <w:rFonts w:ascii="Times New Roman" w:eastAsia="仿宋_GB2312" w:hAnsi="Times New Roman" w:cs="仿宋_GB2312" w:hint="eastAsia"/>
          <w:snapToGrid/>
          <w:color w:val="auto"/>
          <w:kern w:val="2"/>
          <w:sz w:val="32"/>
          <w:szCs w:val="32"/>
          <w:lang w:eastAsia="zh-CN"/>
        </w:rPr>
        <w:t>19</w:t>
      </w:r>
      <w:r>
        <w:rPr>
          <w:rFonts w:ascii="Times New Roman" w:eastAsia="仿宋_GB2312" w:hAnsi="Times New Roman" w:cs="仿宋_GB2312" w:hint="eastAsia"/>
          <w:snapToGrid/>
          <w:color w:val="auto"/>
          <w:kern w:val="2"/>
          <w:sz w:val="32"/>
          <w:szCs w:val="32"/>
          <w:lang w:eastAsia="zh-CN"/>
        </w:rPr>
        <w:t>座以上客车</w:t>
      </w:r>
      <w:r>
        <w:rPr>
          <w:rFonts w:ascii="Times New Roman" w:eastAsia="仿宋_GB2312" w:hAnsi="Times New Roman" w:cs="仿宋_GB2312" w:hint="eastAsia"/>
          <w:snapToGrid/>
          <w:color w:val="auto"/>
          <w:kern w:val="2"/>
          <w:sz w:val="32"/>
          <w:szCs w:val="32"/>
          <w:lang w:eastAsia="zh-CN"/>
        </w:rPr>
        <w:t>4</w:t>
      </w:r>
      <w:r>
        <w:rPr>
          <w:rFonts w:ascii="Times New Roman" w:eastAsia="仿宋_GB2312" w:hAnsi="Times New Roman" w:cs="仿宋_GB2312" w:hint="eastAsia"/>
          <w:snapToGrid/>
          <w:color w:val="auto"/>
          <w:kern w:val="2"/>
          <w:sz w:val="32"/>
          <w:szCs w:val="32"/>
          <w:lang w:eastAsia="zh-CN"/>
        </w:rPr>
        <w:t>辆、特殊车辆</w:t>
      </w:r>
      <w:r>
        <w:rPr>
          <w:rFonts w:ascii="Times New Roman" w:eastAsia="仿宋_GB2312" w:hAnsi="Times New Roman" w:cs="仿宋_GB2312" w:hint="eastAsia"/>
          <w:snapToGrid/>
          <w:color w:val="auto"/>
          <w:kern w:val="2"/>
          <w:sz w:val="32"/>
          <w:szCs w:val="32"/>
          <w:lang w:eastAsia="zh-CN"/>
        </w:rPr>
        <w:t>1</w:t>
      </w:r>
      <w:r>
        <w:rPr>
          <w:rFonts w:ascii="Times New Roman" w:eastAsia="仿宋_GB2312" w:hAnsi="Times New Roman" w:cs="仿宋_GB2312" w:hint="eastAsia"/>
          <w:snapToGrid/>
          <w:color w:val="auto"/>
          <w:kern w:val="2"/>
          <w:sz w:val="32"/>
          <w:szCs w:val="32"/>
          <w:lang w:eastAsia="zh-CN"/>
        </w:rPr>
        <w:t>辆。</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公务用车运行维护费支出</w:t>
      </w:r>
      <w:r>
        <w:rPr>
          <w:rFonts w:ascii="Times New Roman" w:eastAsia="仿宋_GB2312" w:hAnsi="Times New Roman" w:cs="仿宋_GB2312" w:hint="eastAsia"/>
          <w:snapToGrid/>
          <w:color w:val="auto"/>
          <w:kern w:val="2"/>
          <w:sz w:val="32"/>
          <w:szCs w:val="32"/>
          <w:lang w:eastAsia="zh-CN"/>
        </w:rPr>
        <w:t>29.98</w:t>
      </w:r>
      <w:r>
        <w:rPr>
          <w:rFonts w:ascii="Times New Roman" w:eastAsia="仿宋_GB2312" w:hAnsi="Times New Roman" w:cs="仿宋_GB2312" w:hint="eastAsia"/>
          <w:snapToGrid/>
          <w:color w:val="auto"/>
          <w:kern w:val="2"/>
          <w:sz w:val="32"/>
          <w:szCs w:val="32"/>
          <w:lang w:eastAsia="zh-CN"/>
        </w:rPr>
        <w:t>万元。主要用于市场秩序监管、质量安全监管、食品、药品、化妆品、医疗器械、特种设备安全监管，知识产权、计量、标准化、认证认可及检验检测等工作所需的公务用车燃料费、维修费、过路过桥费、保险费等支出。</w:t>
      </w:r>
    </w:p>
    <w:p w:rsidR="004B0FC1" w:rsidRDefault="00A976D9">
      <w:pPr>
        <w:pStyle w:val="ac"/>
        <w:widowControl w:val="0"/>
        <w:kinsoku/>
        <w:autoSpaceDE/>
        <w:autoSpaceDN/>
        <w:adjustRightInd/>
        <w:snapToGrid/>
        <w:spacing w:line="600" w:lineRule="exact"/>
        <w:ind w:firstLine="643"/>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b/>
          <w:bCs/>
          <w:snapToGrid/>
          <w:color w:val="auto"/>
          <w:kern w:val="2"/>
          <w:sz w:val="32"/>
          <w:szCs w:val="32"/>
          <w:lang w:eastAsia="zh-CN"/>
        </w:rPr>
        <w:t>3.</w:t>
      </w:r>
      <w:r>
        <w:rPr>
          <w:rFonts w:ascii="Times New Roman" w:eastAsia="仿宋_GB2312" w:hAnsi="Times New Roman" w:cs="仿宋_GB2312" w:hint="eastAsia"/>
          <w:b/>
          <w:bCs/>
          <w:snapToGrid/>
          <w:color w:val="auto"/>
          <w:kern w:val="2"/>
          <w:sz w:val="32"/>
          <w:szCs w:val="32"/>
          <w:lang w:eastAsia="zh-CN"/>
        </w:rPr>
        <w:t>公务接待费支出</w:t>
      </w:r>
      <w:r>
        <w:rPr>
          <w:rFonts w:ascii="Times New Roman" w:eastAsia="仿宋_GB2312" w:hAnsi="Times New Roman" w:cs="仿宋_GB2312" w:hint="eastAsia"/>
          <w:b/>
          <w:bCs/>
          <w:snapToGrid/>
          <w:color w:val="auto"/>
          <w:kern w:val="2"/>
          <w:sz w:val="32"/>
          <w:szCs w:val="32"/>
          <w:lang w:eastAsia="zh-CN"/>
        </w:rPr>
        <w:t>2</w:t>
      </w:r>
      <w:r>
        <w:rPr>
          <w:rFonts w:ascii="Times New Roman" w:eastAsia="仿宋_GB2312" w:hAnsi="Times New Roman" w:cs="仿宋_GB2312" w:hint="eastAsia"/>
          <w:b/>
          <w:bCs/>
          <w:snapToGrid/>
          <w:color w:val="auto"/>
          <w:kern w:val="2"/>
          <w:sz w:val="32"/>
          <w:szCs w:val="32"/>
          <w:lang w:eastAsia="zh-CN"/>
        </w:rPr>
        <w:t>万元，完成预算</w:t>
      </w:r>
      <w:r>
        <w:rPr>
          <w:rFonts w:ascii="Times New Roman" w:eastAsia="仿宋_GB2312" w:hAnsi="Times New Roman" w:cs="仿宋_GB2312" w:hint="eastAsia"/>
          <w:b/>
          <w:bCs/>
          <w:snapToGrid/>
          <w:color w:val="auto"/>
          <w:kern w:val="2"/>
          <w:sz w:val="32"/>
          <w:szCs w:val="32"/>
          <w:lang w:eastAsia="zh-CN"/>
        </w:rPr>
        <w:t>100%</w:t>
      </w:r>
      <w:r>
        <w:rPr>
          <w:rFonts w:ascii="Times New Roman" w:eastAsia="仿宋_GB2312" w:hAnsi="Times New Roman" w:cs="仿宋_GB2312" w:hint="eastAsia"/>
          <w:b/>
          <w:bCs/>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公务接待费支出决算比</w:t>
      </w:r>
      <w:r>
        <w:rPr>
          <w:rFonts w:ascii="Times New Roman" w:eastAsia="仿宋_GB2312" w:hAnsi="Times New Roman" w:cs="仿宋_GB2312" w:hint="eastAsia"/>
          <w:snapToGrid/>
          <w:color w:val="auto"/>
          <w:kern w:val="2"/>
          <w:sz w:val="32"/>
          <w:szCs w:val="32"/>
          <w:lang w:eastAsia="zh-CN"/>
        </w:rPr>
        <w:t>2024</w:t>
      </w:r>
      <w:r>
        <w:rPr>
          <w:rFonts w:ascii="Times New Roman" w:eastAsia="仿宋_GB2312" w:hAnsi="Times New Roman" w:cs="仿宋_GB2312" w:hint="eastAsia"/>
          <w:snapToGrid/>
          <w:color w:val="auto"/>
          <w:kern w:val="2"/>
          <w:sz w:val="32"/>
          <w:szCs w:val="32"/>
          <w:lang w:eastAsia="zh-CN"/>
        </w:rPr>
        <w:t>年度减少</w:t>
      </w:r>
      <w:r>
        <w:rPr>
          <w:rFonts w:ascii="Times New Roman" w:eastAsia="仿宋_GB2312" w:hAnsi="Times New Roman" w:cs="仿宋_GB2312" w:hint="eastAsia"/>
          <w:snapToGrid/>
          <w:color w:val="auto"/>
          <w:kern w:val="2"/>
          <w:sz w:val="32"/>
          <w:szCs w:val="32"/>
          <w:lang w:eastAsia="zh-CN"/>
        </w:rPr>
        <w:t>2.18</w:t>
      </w:r>
      <w:r>
        <w:rPr>
          <w:rFonts w:ascii="Times New Roman" w:eastAsia="仿宋_GB2312" w:hAnsi="Times New Roman" w:cs="仿宋_GB2312" w:hint="eastAsia"/>
          <w:snapToGrid/>
          <w:color w:val="auto"/>
          <w:kern w:val="2"/>
          <w:sz w:val="32"/>
          <w:szCs w:val="32"/>
          <w:lang w:eastAsia="zh-CN"/>
        </w:rPr>
        <w:t>万元，下降</w:t>
      </w:r>
      <w:r>
        <w:rPr>
          <w:rFonts w:ascii="Times New Roman" w:eastAsia="仿宋_GB2312" w:hAnsi="Times New Roman" w:cs="仿宋_GB2312" w:hint="eastAsia"/>
          <w:snapToGrid/>
          <w:color w:val="auto"/>
          <w:kern w:val="2"/>
          <w:sz w:val="32"/>
          <w:szCs w:val="32"/>
          <w:lang w:eastAsia="zh-CN"/>
        </w:rPr>
        <w:t>52.2%</w:t>
      </w:r>
      <w:r>
        <w:rPr>
          <w:rFonts w:ascii="Times New Roman" w:eastAsia="仿宋_GB2312" w:hAnsi="Times New Roman" w:cs="仿宋_GB2312" w:hint="eastAsia"/>
          <w:snapToGrid/>
          <w:color w:val="auto"/>
          <w:kern w:val="2"/>
          <w:sz w:val="32"/>
          <w:szCs w:val="32"/>
          <w:lang w:eastAsia="zh-CN"/>
        </w:rPr>
        <w:t>。主要原因是厉行节约、减少支出。其中：</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国内公务接待支出</w:t>
      </w:r>
      <w:r>
        <w:rPr>
          <w:rFonts w:ascii="Times New Roman" w:eastAsia="仿宋_GB2312" w:hAnsi="Times New Roman" w:cs="仿宋_GB2312" w:hint="eastAsia"/>
          <w:snapToGrid/>
          <w:color w:val="auto"/>
          <w:kern w:val="2"/>
          <w:sz w:val="32"/>
          <w:szCs w:val="32"/>
          <w:lang w:eastAsia="zh-CN"/>
        </w:rPr>
        <w:t>2</w:t>
      </w:r>
      <w:r>
        <w:rPr>
          <w:rFonts w:ascii="Times New Roman" w:eastAsia="仿宋_GB2312" w:hAnsi="Times New Roman" w:cs="仿宋_GB2312" w:hint="eastAsia"/>
          <w:snapToGrid/>
          <w:color w:val="auto"/>
          <w:kern w:val="2"/>
          <w:sz w:val="32"/>
          <w:szCs w:val="32"/>
          <w:lang w:eastAsia="zh-CN"/>
        </w:rPr>
        <w:t>万元，主要用于市市场监管局执行公务、考察调研、检查指导等公务活动开支的用餐等费用。国内公务接待</w:t>
      </w:r>
      <w:r>
        <w:rPr>
          <w:rFonts w:ascii="Times New Roman" w:eastAsia="仿宋_GB2312" w:hAnsi="Times New Roman" w:cs="仿宋_GB2312" w:hint="eastAsia"/>
          <w:snapToGrid/>
          <w:color w:val="auto"/>
          <w:kern w:val="2"/>
          <w:sz w:val="32"/>
          <w:szCs w:val="32"/>
          <w:lang w:eastAsia="zh-CN"/>
        </w:rPr>
        <w:t>21</w:t>
      </w:r>
      <w:r>
        <w:rPr>
          <w:rFonts w:ascii="Times New Roman" w:eastAsia="仿宋_GB2312" w:hAnsi="Times New Roman" w:cs="仿宋_GB2312" w:hint="eastAsia"/>
          <w:snapToGrid/>
          <w:color w:val="auto"/>
          <w:kern w:val="2"/>
          <w:sz w:val="32"/>
          <w:szCs w:val="32"/>
          <w:lang w:eastAsia="zh-CN"/>
        </w:rPr>
        <w:t>批次，</w:t>
      </w:r>
      <w:r>
        <w:rPr>
          <w:rFonts w:ascii="Times New Roman" w:eastAsia="仿宋_GB2312" w:hAnsi="Times New Roman" w:cs="仿宋_GB2312" w:hint="eastAsia"/>
          <w:snapToGrid/>
          <w:color w:val="auto"/>
          <w:kern w:val="2"/>
          <w:sz w:val="32"/>
          <w:szCs w:val="32"/>
          <w:lang w:eastAsia="zh-CN"/>
        </w:rPr>
        <w:t>144</w:t>
      </w:r>
      <w:r>
        <w:rPr>
          <w:rFonts w:ascii="Times New Roman" w:eastAsia="仿宋_GB2312" w:hAnsi="Times New Roman" w:cs="仿宋_GB2312" w:hint="eastAsia"/>
          <w:snapToGrid/>
          <w:color w:val="auto"/>
          <w:kern w:val="2"/>
          <w:sz w:val="32"/>
          <w:szCs w:val="32"/>
          <w:lang w:eastAsia="zh-CN"/>
        </w:rPr>
        <w:t>人次（不包括陪同人员），共计支出</w:t>
      </w:r>
      <w:r>
        <w:rPr>
          <w:rFonts w:ascii="Times New Roman" w:eastAsia="仿宋_GB2312" w:hAnsi="Times New Roman" w:cs="仿宋_GB2312" w:hint="eastAsia"/>
          <w:snapToGrid/>
          <w:color w:val="auto"/>
          <w:kern w:val="2"/>
          <w:sz w:val="32"/>
          <w:szCs w:val="32"/>
          <w:lang w:eastAsia="zh-CN"/>
        </w:rPr>
        <w:t>2</w:t>
      </w:r>
      <w:r>
        <w:rPr>
          <w:rFonts w:ascii="Times New Roman" w:eastAsia="仿宋_GB2312" w:hAnsi="Times New Roman" w:cs="仿宋_GB2312" w:hint="eastAsia"/>
          <w:snapToGrid/>
          <w:color w:val="auto"/>
          <w:kern w:val="2"/>
          <w:sz w:val="32"/>
          <w:szCs w:val="32"/>
          <w:lang w:eastAsia="zh-CN"/>
        </w:rPr>
        <w:t>万</w:t>
      </w:r>
      <w:r>
        <w:rPr>
          <w:rFonts w:ascii="Times New Roman" w:eastAsia="仿宋_GB2312" w:hAnsi="Times New Roman" w:cs="仿宋_GB2312" w:hint="eastAsia"/>
          <w:snapToGrid/>
          <w:color w:val="auto"/>
          <w:kern w:val="2"/>
          <w:sz w:val="32"/>
          <w:szCs w:val="32"/>
          <w:lang w:eastAsia="zh-CN"/>
        </w:rPr>
        <w:lastRenderedPageBreak/>
        <w:t>元，具体内容包括：上级部门来</w:t>
      </w:r>
      <w:proofErr w:type="gramStart"/>
      <w:r>
        <w:rPr>
          <w:rFonts w:ascii="Times New Roman" w:eastAsia="仿宋_GB2312" w:hAnsi="Times New Roman" w:cs="仿宋_GB2312" w:hint="eastAsia"/>
          <w:snapToGrid/>
          <w:color w:val="auto"/>
          <w:kern w:val="2"/>
          <w:sz w:val="32"/>
          <w:szCs w:val="32"/>
          <w:lang w:eastAsia="zh-CN"/>
        </w:rPr>
        <w:t>攀考察</w:t>
      </w:r>
      <w:proofErr w:type="gramEnd"/>
      <w:r>
        <w:rPr>
          <w:rFonts w:ascii="Times New Roman" w:eastAsia="仿宋_GB2312" w:hAnsi="Times New Roman" w:cs="仿宋_GB2312" w:hint="eastAsia"/>
          <w:snapToGrid/>
          <w:color w:val="auto"/>
          <w:kern w:val="2"/>
          <w:sz w:val="32"/>
          <w:szCs w:val="32"/>
          <w:lang w:eastAsia="zh-CN"/>
        </w:rPr>
        <w:t>调研指导工作接待支出</w:t>
      </w:r>
      <w:r>
        <w:rPr>
          <w:rFonts w:ascii="Times New Roman" w:eastAsia="仿宋_GB2312" w:hAnsi="Times New Roman" w:cs="仿宋_GB2312" w:hint="eastAsia"/>
          <w:snapToGrid/>
          <w:color w:val="auto"/>
          <w:kern w:val="2"/>
          <w:sz w:val="32"/>
          <w:szCs w:val="32"/>
          <w:lang w:eastAsia="zh-CN"/>
        </w:rPr>
        <w:t>1.40</w:t>
      </w:r>
      <w:r>
        <w:rPr>
          <w:rFonts w:ascii="Times New Roman" w:eastAsia="仿宋_GB2312" w:hAnsi="Times New Roman" w:cs="仿宋_GB2312" w:hint="eastAsia"/>
          <w:snapToGrid/>
          <w:color w:val="auto"/>
          <w:kern w:val="2"/>
          <w:sz w:val="32"/>
          <w:szCs w:val="32"/>
          <w:lang w:eastAsia="zh-CN"/>
        </w:rPr>
        <w:t>万元；市（州）兄弟单位等</w:t>
      </w:r>
      <w:proofErr w:type="gramStart"/>
      <w:r>
        <w:rPr>
          <w:rFonts w:ascii="Times New Roman" w:eastAsia="仿宋_GB2312" w:hAnsi="Times New Roman" w:cs="仿宋_GB2312" w:hint="eastAsia"/>
          <w:snapToGrid/>
          <w:color w:val="auto"/>
          <w:kern w:val="2"/>
          <w:sz w:val="32"/>
          <w:szCs w:val="32"/>
          <w:lang w:eastAsia="zh-CN"/>
        </w:rPr>
        <w:t>赴攀开展</w:t>
      </w:r>
      <w:proofErr w:type="gramEnd"/>
      <w:r>
        <w:rPr>
          <w:rFonts w:ascii="Times New Roman" w:eastAsia="仿宋_GB2312" w:hAnsi="Times New Roman" w:cs="仿宋_GB2312" w:hint="eastAsia"/>
          <w:snapToGrid/>
          <w:color w:val="auto"/>
          <w:kern w:val="2"/>
          <w:sz w:val="32"/>
          <w:szCs w:val="32"/>
          <w:lang w:eastAsia="zh-CN"/>
        </w:rPr>
        <w:t>专项交叉检查核查工作、对接交流工作等接待支出</w:t>
      </w:r>
      <w:r>
        <w:rPr>
          <w:rFonts w:ascii="Times New Roman" w:eastAsia="仿宋_GB2312" w:hAnsi="Times New Roman" w:cs="仿宋_GB2312" w:hint="eastAsia"/>
          <w:snapToGrid/>
          <w:color w:val="auto"/>
          <w:kern w:val="2"/>
          <w:sz w:val="32"/>
          <w:szCs w:val="32"/>
          <w:lang w:eastAsia="zh-CN"/>
        </w:rPr>
        <w:t>0.4</w:t>
      </w:r>
      <w:r>
        <w:rPr>
          <w:rFonts w:ascii="Times New Roman" w:eastAsia="仿宋_GB2312" w:hAnsi="Times New Roman" w:cs="仿宋_GB2312" w:hint="eastAsia"/>
          <w:snapToGrid/>
          <w:color w:val="auto"/>
          <w:kern w:val="2"/>
          <w:sz w:val="32"/>
          <w:szCs w:val="32"/>
          <w:lang w:eastAsia="zh-CN"/>
        </w:rPr>
        <w:t>万元，其他单位来攀调研、交流</w:t>
      </w:r>
      <w:r>
        <w:rPr>
          <w:rFonts w:ascii="Times New Roman" w:eastAsia="仿宋_GB2312" w:hAnsi="Times New Roman" w:cs="仿宋_GB2312" w:hint="eastAsia"/>
          <w:snapToGrid/>
          <w:color w:val="auto"/>
          <w:kern w:val="2"/>
          <w:sz w:val="32"/>
          <w:szCs w:val="32"/>
          <w:lang w:eastAsia="zh-CN"/>
        </w:rPr>
        <w:t>0.2</w:t>
      </w:r>
      <w:r>
        <w:rPr>
          <w:rFonts w:ascii="Times New Roman" w:eastAsia="仿宋_GB2312" w:hAnsi="Times New Roman" w:cs="仿宋_GB2312" w:hint="eastAsia"/>
          <w:snapToGrid/>
          <w:color w:val="auto"/>
          <w:kern w:val="2"/>
          <w:sz w:val="32"/>
          <w:szCs w:val="32"/>
          <w:lang w:eastAsia="zh-CN"/>
        </w:rPr>
        <w:t>万元。</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外事接待支出</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万元，外事接待</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批次，</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人，共计支出</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万元。</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黑体" w:hAnsi="Times New Roman" w:cs="Times New Roman"/>
          <w:snapToGrid/>
          <w:color w:val="auto"/>
          <w:kern w:val="2"/>
          <w:sz w:val="32"/>
          <w:szCs w:val="32"/>
          <w:lang w:eastAsia="zh-CN"/>
        </w:rPr>
      </w:pPr>
      <w:bookmarkStart w:id="46" w:name="_Toc10155"/>
      <w:r>
        <w:rPr>
          <w:rFonts w:ascii="Times New Roman" w:eastAsia="黑体" w:hAnsi="Times New Roman" w:cs="Times New Roman" w:hint="eastAsia"/>
          <w:snapToGrid/>
          <w:color w:val="auto"/>
          <w:kern w:val="2"/>
          <w:sz w:val="32"/>
          <w:szCs w:val="32"/>
          <w:lang w:eastAsia="zh-CN"/>
        </w:rPr>
        <w:t>八、政府性基金预算支出决算情况说明</w:t>
      </w:r>
      <w:bookmarkEnd w:id="46"/>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2025</w:t>
      </w:r>
      <w:r>
        <w:rPr>
          <w:rFonts w:ascii="Times New Roman" w:eastAsia="仿宋_GB2312" w:hAnsi="Times New Roman" w:cs="仿宋_GB2312" w:hint="eastAsia"/>
          <w:snapToGrid/>
          <w:color w:val="auto"/>
          <w:kern w:val="2"/>
          <w:sz w:val="32"/>
          <w:szCs w:val="32"/>
          <w:lang w:eastAsia="zh-CN"/>
        </w:rPr>
        <w:t>年度政府性基金预算财政拨款支出</w:t>
      </w:r>
      <w:r>
        <w:rPr>
          <w:rFonts w:ascii="Times New Roman" w:eastAsia="仿宋_GB2312" w:hAnsi="Times New Roman" w:cs="仿宋_GB2312" w:hint="eastAsia"/>
          <w:snapToGrid/>
          <w:color w:val="auto"/>
          <w:kern w:val="2"/>
          <w:sz w:val="32"/>
          <w:szCs w:val="32"/>
          <w:lang w:eastAsia="zh-CN"/>
        </w:rPr>
        <w:t>596.22</w:t>
      </w:r>
      <w:r>
        <w:rPr>
          <w:rFonts w:ascii="Times New Roman" w:eastAsia="仿宋_GB2312" w:hAnsi="Times New Roman" w:cs="仿宋_GB2312" w:hint="eastAsia"/>
          <w:snapToGrid/>
          <w:color w:val="auto"/>
          <w:kern w:val="2"/>
          <w:sz w:val="32"/>
          <w:szCs w:val="32"/>
          <w:lang w:eastAsia="zh-CN"/>
        </w:rPr>
        <w:t>万元，占本年支出合计的</w:t>
      </w:r>
      <w:r>
        <w:rPr>
          <w:rFonts w:ascii="Times New Roman" w:eastAsia="仿宋_GB2312" w:hAnsi="Times New Roman" w:cs="仿宋_GB2312" w:hint="eastAsia"/>
          <w:snapToGrid/>
          <w:color w:val="auto"/>
          <w:kern w:val="2"/>
          <w:sz w:val="32"/>
          <w:szCs w:val="32"/>
          <w:lang w:eastAsia="zh-CN"/>
        </w:rPr>
        <w:t>5.83%</w:t>
      </w:r>
      <w:r>
        <w:rPr>
          <w:rFonts w:ascii="Times New Roman" w:eastAsia="仿宋_GB2312" w:hAnsi="Times New Roman" w:cs="仿宋_GB2312" w:hint="eastAsia"/>
          <w:snapToGrid/>
          <w:color w:val="auto"/>
          <w:kern w:val="2"/>
          <w:sz w:val="32"/>
          <w:szCs w:val="32"/>
          <w:lang w:eastAsia="zh-CN"/>
        </w:rPr>
        <w:t>。与上年度相比，政府性基金预算财政拨款支出减少</w:t>
      </w:r>
      <w:r>
        <w:rPr>
          <w:rFonts w:ascii="Times New Roman" w:eastAsia="仿宋_GB2312" w:hAnsi="Times New Roman" w:cs="仿宋_GB2312" w:hint="eastAsia"/>
          <w:snapToGrid/>
          <w:color w:val="auto"/>
          <w:kern w:val="2"/>
          <w:sz w:val="32"/>
          <w:szCs w:val="32"/>
          <w:lang w:eastAsia="zh-CN"/>
        </w:rPr>
        <w:t>4409.66</w:t>
      </w:r>
      <w:r>
        <w:rPr>
          <w:rFonts w:ascii="Times New Roman" w:eastAsia="仿宋_GB2312" w:hAnsi="Times New Roman" w:cs="仿宋_GB2312" w:hint="eastAsia"/>
          <w:snapToGrid/>
          <w:color w:val="auto"/>
          <w:kern w:val="2"/>
          <w:sz w:val="32"/>
          <w:szCs w:val="32"/>
          <w:lang w:eastAsia="zh-CN"/>
        </w:rPr>
        <w:t>万元，下降</w:t>
      </w:r>
      <w:r>
        <w:rPr>
          <w:rFonts w:ascii="Times New Roman" w:eastAsia="仿宋_GB2312" w:hAnsi="Times New Roman" w:cs="仿宋_GB2312" w:hint="eastAsia"/>
          <w:snapToGrid/>
          <w:color w:val="auto"/>
          <w:kern w:val="2"/>
          <w:sz w:val="32"/>
          <w:szCs w:val="32"/>
          <w:lang w:eastAsia="zh-CN"/>
        </w:rPr>
        <w:t>88.1%</w:t>
      </w:r>
      <w:r>
        <w:rPr>
          <w:rFonts w:ascii="Times New Roman" w:eastAsia="仿宋_GB2312" w:hAnsi="Times New Roman" w:cs="仿宋_GB2312" w:hint="eastAsia"/>
          <w:snapToGrid/>
          <w:color w:val="auto"/>
          <w:kern w:val="2"/>
          <w:sz w:val="32"/>
          <w:szCs w:val="32"/>
          <w:lang w:eastAsia="zh-CN"/>
        </w:rPr>
        <w:t>。主要原因是攀西院专项</w:t>
      </w:r>
      <w:proofErr w:type="gramStart"/>
      <w:r>
        <w:rPr>
          <w:rFonts w:ascii="Times New Roman" w:eastAsia="仿宋_GB2312" w:hAnsi="Times New Roman" w:cs="仿宋_GB2312" w:hint="eastAsia"/>
          <w:snapToGrid/>
          <w:color w:val="auto"/>
          <w:kern w:val="2"/>
          <w:sz w:val="32"/>
          <w:szCs w:val="32"/>
          <w:lang w:eastAsia="zh-CN"/>
        </w:rPr>
        <w:t>债收入</w:t>
      </w:r>
      <w:proofErr w:type="gramEnd"/>
      <w:r>
        <w:rPr>
          <w:rFonts w:ascii="Times New Roman" w:eastAsia="仿宋_GB2312" w:hAnsi="Times New Roman" w:cs="仿宋_GB2312" w:hint="eastAsia"/>
          <w:snapToGrid/>
          <w:color w:val="auto"/>
          <w:kern w:val="2"/>
          <w:sz w:val="32"/>
          <w:szCs w:val="32"/>
          <w:lang w:eastAsia="zh-CN"/>
        </w:rPr>
        <w:t>减少。</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黑体" w:hAnsi="Times New Roman" w:cs="Times New Roman"/>
          <w:snapToGrid/>
          <w:color w:val="auto"/>
          <w:kern w:val="2"/>
          <w:sz w:val="32"/>
          <w:szCs w:val="32"/>
          <w:lang w:eastAsia="zh-CN"/>
        </w:rPr>
      </w:pPr>
      <w:bookmarkStart w:id="47" w:name="_Toc1521"/>
      <w:r>
        <w:rPr>
          <w:rFonts w:ascii="Times New Roman" w:eastAsia="黑体" w:hAnsi="Times New Roman" w:cs="Times New Roman" w:hint="eastAsia"/>
          <w:snapToGrid/>
          <w:color w:val="auto"/>
          <w:kern w:val="2"/>
          <w:sz w:val="32"/>
          <w:szCs w:val="32"/>
          <w:lang w:eastAsia="zh-CN"/>
        </w:rPr>
        <w:t>九、国有资本经营预算支出决算情况说明</w:t>
      </w:r>
      <w:bookmarkEnd w:id="47"/>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2025</w:t>
      </w:r>
      <w:r>
        <w:rPr>
          <w:rFonts w:ascii="Times New Roman" w:eastAsia="仿宋_GB2312" w:hAnsi="Times New Roman" w:cs="仿宋_GB2312" w:hint="eastAsia"/>
          <w:snapToGrid/>
          <w:color w:val="auto"/>
          <w:kern w:val="2"/>
          <w:sz w:val="32"/>
          <w:szCs w:val="32"/>
          <w:lang w:eastAsia="zh-CN"/>
        </w:rPr>
        <w:t>年度国有资本经营预算财政拨款支出</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万元，占本年支出合计的</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。与上年度相比，国有资本经营预算财政拨款支出均为</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万元。</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黑体" w:hAnsi="Times New Roman" w:cs="Times New Roman"/>
          <w:snapToGrid/>
          <w:color w:val="auto"/>
          <w:kern w:val="2"/>
          <w:sz w:val="32"/>
          <w:szCs w:val="32"/>
          <w:lang w:eastAsia="zh-CN"/>
        </w:rPr>
      </w:pPr>
      <w:bookmarkStart w:id="48" w:name="_Toc14728"/>
      <w:r>
        <w:rPr>
          <w:rFonts w:ascii="Times New Roman" w:eastAsia="黑体" w:hAnsi="Times New Roman" w:cs="Times New Roman" w:hint="eastAsia"/>
          <w:snapToGrid/>
          <w:color w:val="auto"/>
          <w:kern w:val="2"/>
          <w:sz w:val="32"/>
          <w:szCs w:val="32"/>
          <w:lang w:eastAsia="zh-CN"/>
        </w:rPr>
        <w:t>十、其他重要事项的情况说明</w:t>
      </w:r>
      <w:bookmarkEnd w:id="48"/>
    </w:p>
    <w:p w:rsidR="004B0FC1" w:rsidRDefault="00A976D9" w:rsidP="0061664C">
      <w:pPr>
        <w:widowControl w:val="0"/>
        <w:kinsoku/>
        <w:autoSpaceDE/>
        <w:autoSpaceDN/>
        <w:adjustRightInd/>
        <w:snapToGrid/>
        <w:spacing w:line="600" w:lineRule="exact"/>
        <w:ind w:firstLineChars="200" w:firstLine="641"/>
        <w:jc w:val="both"/>
        <w:textAlignment w:val="auto"/>
        <w:outlineLvl w:val="2"/>
        <w:rPr>
          <w:rFonts w:ascii="Times New Roman" w:eastAsia="楷体_GB2312" w:hAnsi="Times New Roman" w:cs="楷体_GB2312"/>
          <w:b/>
          <w:snapToGrid/>
          <w:kern w:val="2"/>
          <w:sz w:val="32"/>
          <w:szCs w:val="32"/>
          <w:lang w:eastAsia="zh-CN"/>
        </w:rPr>
      </w:pPr>
      <w:r>
        <w:rPr>
          <w:rFonts w:ascii="Times New Roman" w:eastAsia="楷体_GB2312" w:hAnsi="Times New Roman" w:cs="楷体_GB2312" w:hint="eastAsia"/>
          <w:b/>
          <w:snapToGrid/>
          <w:kern w:val="2"/>
          <w:sz w:val="32"/>
          <w:szCs w:val="32"/>
          <w:lang w:eastAsia="zh-CN"/>
        </w:rPr>
        <w:t>（一）机关运行经费支出情况</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2025</w:t>
      </w:r>
      <w:r>
        <w:rPr>
          <w:rFonts w:ascii="Times New Roman" w:eastAsia="仿宋_GB2312" w:hAnsi="Times New Roman" w:cs="仿宋_GB2312" w:hint="eastAsia"/>
          <w:snapToGrid/>
          <w:color w:val="auto"/>
          <w:kern w:val="2"/>
          <w:sz w:val="32"/>
          <w:szCs w:val="32"/>
          <w:lang w:eastAsia="zh-CN"/>
        </w:rPr>
        <w:t>年度，攀枝花市市场监督管理局机关运行经费支出</w:t>
      </w:r>
      <w:r>
        <w:rPr>
          <w:rFonts w:ascii="Times New Roman" w:eastAsia="仿宋_GB2312" w:hAnsi="Times New Roman" w:cs="仿宋_GB2312" w:hint="eastAsia"/>
          <w:snapToGrid/>
          <w:color w:val="auto"/>
          <w:kern w:val="2"/>
          <w:sz w:val="32"/>
          <w:szCs w:val="32"/>
          <w:lang w:eastAsia="zh-CN"/>
        </w:rPr>
        <w:t>367.24</w:t>
      </w:r>
      <w:r>
        <w:rPr>
          <w:rFonts w:ascii="Times New Roman" w:eastAsia="仿宋_GB2312" w:hAnsi="Times New Roman" w:cs="仿宋_GB2312" w:hint="eastAsia"/>
          <w:snapToGrid/>
          <w:color w:val="auto"/>
          <w:kern w:val="2"/>
          <w:sz w:val="32"/>
          <w:szCs w:val="32"/>
          <w:lang w:eastAsia="zh-CN"/>
        </w:rPr>
        <w:t>万元，比上年度减少</w:t>
      </w:r>
      <w:r>
        <w:rPr>
          <w:rFonts w:ascii="Times New Roman" w:eastAsia="仿宋_GB2312" w:hAnsi="Times New Roman" w:cs="仿宋_GB2312" w:hint="eastAsia"/>
          <w:snapToGrid/>
          <w:color w:val="auto"/>
          <w:kern w:val="2"/>
          <w:sz w:val="32"/>
          <w:szCs w:val="32"/>
          <w:lang w:eastAsia="zh-CN"/>
        </w:rPr>
        <w:t>27.25</w:t>
      </w:r>
      <w:r>
        <w:rPr>
          <w:rFonts w:ascii="Times New Roman" w:eastAsia="仿宋_GB2312" w:hAnsi="Times New Roman" w:cs="仿宋_GB2312" w:hint="eastAsia"/>
          <w:snapToGrid/>
          <w:color w:val="auto"/>
          <w:kern w:val="2"/>
          <w:sz w:val="32"/>
          <w:szCs w:val="32"/>
          <w:lang w:eastAsia="zh-CN"/>
        </w:rPr>
        <w:t>万元，下降</w:t>
      </w:r>
      <w:r>
        <w:rPr>
          <w:rFonts w:ascii="Times New Roman" w:eastAsia="仿宋_GB2312" w:hAnsi="Times New Roman" w:cs="仿宋_GB2312" w:hint="eastAsia"/>
          <w:snapToGrid/>
          <w:color w:val="auto"/>
          <w:kern w:val="2"/>
          <w:sz w:val="32"/>
          <w:szCs w:val="32"/>
          <w:lang w:eastAsia="zh-CN"/>
        </w:rPr>
        <w:t>6.9%</w:t>
      </w:r>
      <w:r>
        <w:rPr>
          <w:rFonts w:ascii="Times New Roman" w:eastAsia="仿宋_GB2312" w:hAnsi="Times New Roman" w:cs="仿宋_GB2312" w:hint="eastAsia"/>
          <w:snapToGrid/>
          <w:color w:val="auto"/>
          <w:kern w:val="2"/>
          <w:sz w:val="32"/>
          <w:szCs w:val="32"/>
          <w:lang w:eastAsia="zh-CN"/>
        </w:rPr>
        <w:t>。主要原因是人员离职、退休，机关运行经费支出减少；贯彻落实过紧日子要求，厉行节约、减少支出。</w:t>
      </w:r>
    </w:p>
    <w:p w:rsidR="004B0FC1" w:rsidRDefault="00A976D9" w:rsidP="0061664C">
      <w:pPr>
        <w:widowControl w:val="0"/>
        <w:kinsoku/>
        <w:autoSpaceDE/>
        <w:autoSpaceDN/>
        <w:adjustRightInd/>
        <w:snapToGrid/>
        <w:spacing w:line="600" w:lineRule="exact"/>
        <w:ind w:firstLineChars="200" w:firstLine="641"/>
        <w:jc w:val="both"/>
        <w:textAlignment w:val="auto"/>
        <w:outlineLvl w:val="2"/>
        <w:rPr>
          <w:rFonts w:ascii="Times New Roman" w:eastAsia="楷体_GB2312" w:hAnsi="Times New Roman" w:cs="楷体_GB2312"/>
          <w:b/>
          <w:snapToGrid/>
          <w:kern w:val="2"/>
          <w:sz w:val="32"/>
          <w:szCs w:val="32"/>
          <w:lang w:eastAsia="zh-CN"/>
        </w:rPr>
      </w:pPr>
      <w:r>
        <w:rPr>
          <w:rFonts w:ascii="Times New Roman" w:eastAsia="楷体_GB2312" w:hAnsi="Times New Roman" w:cs="楷体_GB2312" w:hint="eastAsia"/>
          <w:b/>
          <w:snapToGrid/>
          <w:kern w:val="2"/>
          <w:sz w:val="32"/>
          <w:szCs w:val="32"/>
          <w:lang w:eastAsia="zh-CN"/>
        </w:rPr>
        <w:t>（二）政府采购支出情况</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2025</w:t>
      </w:r>
      <w:r>
        <w:rPr>
          <w:rFonts w:ascii="Times New Roman" w:eastAsia="仿宋_GB2312" w:hAnsi="Times New Roman" w:cs="仿宋_GB2312" w:hint="eastAsia"/>
          <w:snapToGrid/>
          <w:color w:val="auto"/>
          <w:kern w:val="2"/>
          <w:sz w:val="32"/>
          <w:szCs w:val="32"/>
          <w:lang w:eastAsia="zh-CN"/>
        </w:rPr>
        <w:t>年度，攀枝花市市场监督管理局政府采购支出总额</w:t>
      </w:r>
      <w:r>
        <w:rPr>
          <w:rFonts w:ascii="Times New Roman" w:eastAsia="仿宋_GB2312" w:hAnsi="Times New Roman" w:cs="仿宋_GB2312" w:hint="eastAsia"/>
          <w:snapToGrid/>
          <w:color w:val="auto"/>
          <w:kern w:val="2"/>
          <w:sz w:val="32"/>
          <w:szCs w:val="32"/>
          <w:lang w:eastAsia="zh-CN"/>
        </w:rPr>
        <w:lastRenderedPageBreak/>
        <w:t>764.41</w:t>
      </w:r>
      <w:r>
        <w:rPr>
          <w:rFonts w:ascii="Times New Roman" w:eastAsia="仿宋_GB2312" w:hAnsi="Times New Roman" w:cs="仿宋_GB2312" w:hint="eastAsia"/>
          <w:snapToGrid/>
          <w:color w:val="auto"/>
          <w:kern w:val="2"/>
          <w:sz w:val="32"/>
          <w:szCs w:val="32"/>
          <w:lang w:eastAsia="zh-CN"/>
        </w:rPr>
        <w:t>万元，其中：政府采购货物支出</w:t>
      </w:r>
      <w:r>
        <w:rPr>
          <w:rFonts w:ascii="Times New Roman" w:eastAsia="仿宋_GB2312" w:hAnsi="Times New Roman" w:cs="仿宋_GB2312" w:hint="eastAsia"/>
          <w:snapToGrid/>
          <w:color w:val="auto"/>
          <w:kern w:val="2"/>
          <w:sz w:val="32"/>
          <w:szCs w:val="32"/>
          <w:lang w:eastAsia="zh-CN"/>
        </w:rPr>
        <w:t>671.41</w:t>
      </w:r>
      <w:r>
        <w:rPr>
          <w:rFonts w:ascii="Times New Roman" w:eastAsia="仿宋_GB2312" w:hAnsi="Times New Roman" w:cs="仿宋_GB2312" w:hint="eastAsia"/>
          <w:snapToGrid/>
          <w:color w:val="auto"/>
          <w:kern w:val="2"/>
          <w:sz w:val="32"/>
          <w:szCs w:val="32"/>
          <w:lang w:eastAsia="zh-CN"/>
        </w:rPr>
        <w:t>万元、政府采购工程支出</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万元、政府采购服务支出</w:t>
      </w:r>
      <w:r>
        <w:rPr>
          <w:rFonts w:ascii="Times New Roman" w:eastAsia="仿宋_GB2312" w:hAnsi="Times New Roman" w:cs="仿宋_GB2312" w:hint="eastAsia"/>
          <w:snapToGrid/>
          <w:color w:val="auto"/>
          <w:kern w:val="2"/>
          <w:sz w:val="32"/>
          <w:szCs w:val="32"/>
          <w:lang w:eastAsia="zh-CN"/>
        </w:rPr>
        <w:t>93</w:t>
      </w:r>
      <w:r>
        <w:rPr>
          <w:rFonts w:ascii="Times New Roman" w:eastAsia="仿宋_GB2312" w:hAnsi="Times New Roman" w:cs="仿宋_GB2312" w:hint="eastAsia"/>
          <w:snapToGrid/>
          <w:color w:val="auto"/>
          <w:kern w:val="2"/>
          <w:sz w:val="32"/>
          <w:szCs w:val="32"/>
          <w:lang w:eastAsia="zh-CN"/>
        </w:rPr>
        <w:t>万元。主要用于市场监管需要的专用设备、检验检测设备、单位车辆加油、维修及车辆保险支出等。授予中小企业合同金额</w:t>
      </w:r>
      <w:r>
        <w:rPr>
          <w:rFonts w:ascii="Times New Roman" w:eastAsia="仿宋_GB2312" w:hAnsi="Times New Roman" w:cs="仿宋_GB2312" w:hint="eastAsia"/>
          <w:snapToGrid/>
          <w:color w:val="auto"/>
          <w:kern w:val="2"/>
          <w:sz w:val="32"/>
          <w:szCs w:val="32"/>
          <w:lang w:eastAsia="zh-CN"/>
        </w:rPr>
        <w:t>656.9</w:t>
      </w:r>
      <w:r>
        <w:rPr>
          <w:rFonts w:ascii="Times New Roman" w:eastAsia="仿宋_GB2312" w:hAnsi="Times New Roman" w:cs="仿宋_GB2312" w:hint="eastAsia"/>
          <w:snapToGrid/>
          <w:color w:val="auto"/>
          <w:kern w:val="2"/>
          <w:sz w:val="32"/>
          <w:szCs w:val="32"/>
          <w:lang w:eastAsia="zh-CN"/>
        </w:rPr>
        <w:t>万元，占政府采购支出总额</w:t>
      </w:r>
      <w:r>
        <w:rPr>
          <w:rFonts w:ascii="Times New Roman" w:eastAsia="仿宋_GB2312" w:hAnsi="Times New Roman" w:cs="仿宋_GB2312" w:hint="eastAsia"/>
          <w:snapToGrid/>
          <w:color w:val="auto"/>
          <w:kern w:val="2"/>
          <w:sz w:val="32"/>
          <w:szCs w:val="32"/>
          <w:lang w:eastAsia="zh-CN"/>
        </w:rPr>
        <w:t>85.9%</w:t>
      </w:r>
      <w:r>
        <w:rPr>
          <w:rFonts w:ascii="Times New Roman" w:eastAsia="仿宋_GB2312" w:hAnsi="Times New Roman" w:cs="仿宋_GB2312" w:hint="eastAsia"/>
          <w:snapToGrid/>
          <w:color w:val="auto"/>
          <w:kern w:val="2"/>
          <w:sz w:val="32"/>
          <w:szCs w:val="32"/>
          <w:lang w:eastAsia="zh-CN"/>
        </w:rPr>
        <w:t>，其中：授予小</w:t>
      </w:r>
      <w:proofErr w:type="gramStart"/>
      <w:r>
        <w:rPr>
          <w:rFonts w:ascii="Times New Roman" w:eastAsia="仿宋_GB2312" w:hAnsi="Times New Roman" w:cs="仿宋_GB2312" w:hint="eastAsia"/>
          <w:snapToGrid/>
          <w:color w:val="auto"/>
          <w:kern w:val="2"/>
          <w:sz w:val="32"/>
          <w:szCs w:val="32"/>
          <w:lang w:eastAsia="zh-CN"/>
        </w:rPr>
        <w:t>微企业</w:t>
      </w:r>
      <w:proofErr w:type="gramEnd"/>
      <w:r>
        <w:rPr>
          <w:rFonts w:ascii="Times New Roman" w:eastAsia="仿宋_GB2312" w:hAnsi="Times New Roman" w:cs="仿宋_GB2312" w:hint="eastAsia"/>
          <w:snapToGrid/>
          <w:color w:val="auto"/>
          <w:kern w:val="2"/>
          <w:sz w:val="32"/>
          <w:szCs w:val="32"/>
          <w:lang w:eastAsia="zh-CN"/>
        </w:rPr>
        <w:t>合同金额</w:t>
      </w:r>
      <w:r>
        <w:rPr>
          <w:rFonts w:ascii="Times New Roman" w:eastAsia="仿宋_GB2312" w:hAnsi="Times New Roman" w:cs="仿宋_GB2312" w:hint="eastAsia"/>
          <w:snapToGrid/>
          <w:color w:val="auto"/>
          <w:kern w:val="2"/>
          <w:sz w:val="32"/>
          <w:szCs w:val="32"/>
          <w:lang w:eastAsia="zh-CN"/>
        </w:rPr>
        <w:t>567.53</w:t>
      </w:r>
      <w:r>
        <w:rPr>
          <w:rFonts w:ascii="Times New Roman" w:eastAsia="仿宋_GB2312" w:hAnsi="Times New Roman" w:cs="仿宋_GB2312" w:hint="eastAsia"/>
          <w:snapToGrid/>
          <w:color w:val="auto"/>
          <w:kern w:val="2"/>
          <w:sz w:val="32"/>
          <w:szCs w:val="32"/>
          <w:lang w:eastAsia="zh-CN"/>
        </w:rPr>
        <w:t>万元，占政府采购支出总额的</w:t>
      </w:r>
      <w:r>
        <w:rPr>
          <w:rFonts w:ascii="Times New Roman" w:eastAsia="仿宋_GB2312" w:hAnsi="Times New Roman" w:cs="仿宋_GB2312" w:hint="eastAsia"/>
          <w:snapToGrid/>
          <w:color w:val="auto"/>
          <w:kern w:val="2"/>
          <w:sz w:val="32"/>
          <w:szCs w:val="32"/>
          <w:lang w:eastAsia="zh-CN"/>
        </w:rPr>
        <w:t>74.2%</w:t>
      </w:r>
      <w:r>
        <w:rPr>
          <w:rFonts w:ascii="Times New Roman" w:eastAsia="仿宋_GB2312" w:hAnsi="Times New Roman" w:cs="仿宋_GB2312" w:hint="eastAsia"/>
          <w:snapToGrid/>
          <w:color w:val="auto"/>
          <w:kern w:val="2"/>
          <w:sz w:val="32"/>
          <w:szCs w:val="32"/>
          <w:lang w:eastAsia="zh-CN"/>
        </w:rPr>
        <w:t>。</w:t>
      </w:r>
    </w:p>
    <w:p w:rsidR="004B0FC1" w:rsidRDefault="00A976D9" w:rsidP="0061664C">
      <w:pPr>
        <w:widowControl w:val="0"/>
        <w:kinsoku/>
        <w:autoSpaceDE/>
        <w:autoSpaceDN/>
        <w:adjustRightInd/>
        <w:snapToGrid/>
        <w:spacing w:line="600" w:lineRule="exact"/>
        <w:ind w:firstLineChars="200" w:firstLine="641"/>
        <w:jc w:val="both"/>
        <w:textAlignment w:val="auto"/>
        <w:outlineLvl w:val="2"/>
        <w:rPr>
          <w:rFonts w:ascii="Times New Roman" w:eastAsia="楷体_GB2312" w:hAnsi="Times New Roman" w:cs="楷体_GB2312"/>
          <w:b/>
          <w:snapToGrid/>
          <w:kern w:val="2"/>
          <w:sz w:val="32"/>
          <w:szCs w:val="32"/>
          <w:lang w:eastAsia="zh-CN"/>
        </w:rPr>
      </w:pPr>
      <w:r>
        <w:rPr>
          <w:rFonts w:ascii="Times New Roman" w:eastAsia="楷体_GB2312" w:hAnsi="Times New Roman" w:cs="楷体_GB2312" w:hint="eastAsia"/>
          <w:b/>
          <w:snapToGrid/>
          <w:kern w:val="2"/>
          <w:sz w:val="32"/>
          <w:szCs w:val="32"/>
          <w:lang w:eastAsia="zh-CN"/>
        </w:rPr>
        <w:t>（三）国有资产占有使用情况</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截至</w:t>
      </w:r>
      <w:r>
        <w:rPr>
          <w:rFonts w:ascii="Times New Roman" w:eastAsia="仿宋_GB2312" w:hAnsi="Times New Roman" w:cs="仿宋_GB2312" w:hint="eastAsia"/>
          <w:snapToGrid/>
          <w:color w:val="auto"/>
          <w:kern w:val="2"/>
          <w:sz w:val="32"/>
          <w:szCs w:val="32"/>
          <w:lang w:eastAsia="zh-CN"/>
        </w:rPr>
        <w:t>2025</w:t>
      </w:r>
      <w:r>
        <w:rPr>
          <w:rFonts w:ascii="Times New Roman" w:eastAsia="仿宋_GB2312" w:hAnsi="Times New Roman" w:cs="仿宋_GB2312" w:hint="eastAsia"/>
          <w:snapToGrid/>
          <w:color w:val="auto"/>
          <w:kern w:val="2"/>
          <w:sz w:val="32"/>
          <w:szCs w:val="32"/>
          <w:lang w:eastAsia="zh-CN"/>
        </w:rPr>
        <w:t>年</w:t>
      </w:r>
      <w:r>
        <w:rPr>
          <w:rFonts w:ascii="Times New Roman" w:eastAsia="仿宋_GB2312" w:hAnsi="Times New Roman" w:cs="仿宋_GB2312" w:hint="eastAsia"/>
          <w:snapToGrid/>
          <w:color w:val="auto"/>
          <w:kern w:val="2"/>
          <w:sz w:val="32"/>
          <w:szCs w:val="32"/>
          <w:lang w:eastAsia="zh-CN"/>
        </w:rPr>
        <w:t>12</w:t>
      </w:r>
      <w:r>
        <w:rPr>
          <w:rFonts w:ascii="Times New Roman" w:eastAsia="仿宋_GB2312" w:hAnsi="Times New Roman" w:cs="仿宋_GB2312" w:hint="eastAsia"/>
          <w:snapToGrid/>
          <w:color w:val="auto"/>
          <w:kern w:val="2"/>
          <w:sz w:val="32"/>
          <w:szCs w:val="32"/>
          <w:lang w:eastAsia="zh-CN"/>
        </w:rPr>
        <w:t>月</w:t>
      </w:r>
      <w:r>
        <w:rPr>
          <w:rFonts w:ascii="Times New Roman" w:eastAsia="仿宋_GB2312" w:hAnsi="Times New Roman" w:cs="仿宋_GB2312" w:hint="eastAsia"/>
          <w:snapToGrid/>
          <w:color w:val="auto"/>
          <w:kern w:val="2"/>
          <w:sz w:val="32"/>
          <w:szCs w:val="32"/>
          <w:lang w:eastAsia="zh-CN"/>
        </w:rPr>
        <w:t>31</w:t>
      </w:r>
      <w:r>
        <w:rPr>
          <w:rFonts w:ascii="Times New Roman" w:eastAsia="仿宋_GB2312" w:hAnsi="Times New Roman" w:cs="仿宋_GB2312" w:hint="eastAsia"/>
          <w:snapToGrid/>
          <w:color w:val="auto"/>
          <w:kern w:val="2"/>
          <w:sz w:val="32"/>
          <w:szCs w:val="32"/>
          <w:lang w:eastAsia="zh-CN"/>
        </w:rPr>
        <w:t>日，攀枝花市市场监督管理局共有车辆</w:t>
      </w:r>
      <w:r>
        <w:rPr>
          <w:rFonts w:ascii="Times New Roman" w:eastAsia="仿宋_GB2312" w:hAnsi="Times New Roman" w:cs="仿宋_GB2312" w:hint="eastAsia"/>
          <w:snapToGrid/>
          <w:color w:val="auto"/>
          <w:kern w:val="2"/>
          <w:sz w:val="32"/>
          <w:szCs w:val="32"/>
          <w:lang w:eastAsia="zh-CN"/>
        </w:rPr>
        <w:t>40</w:t>
      </w:r>
      <w:r>
        <w:rPr>
          <w:rFonts w:ascii="Times New Roman" w:eastAsia="仿宋_GB2312" w:hAnsi="Times New Roman" w:cs="仿宋_GB2312" w:hint="eastAsia"/>
          <w:snapToGrid/>
          <w:color w:val="auto"/>
          <w:kern w:val="2"/>
          <w:sz w:val="32"/>
          <w:szCs w:val="32"/>
          <w:lang w:eastAsia="zh-CN"/>
        </w:rPr>
        <w:t>辆，其中</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主要领导干部用车</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辆、机要通信用车</w:t>
      </w:r>
      <w:r>
        <w:rPr>
          <w:rFonts w:ascii="Times New Roman" w:eastAsia="仿宋_GB2312" w:hAnsi="Times New Roman" w:cs="仿宋_GB2312" w:hint="eastAsia"/>
          <w:snapToGrid/>
          <w:color w:val="auto"/>
          <w:kern w:val="2"/>
          <w:sz w:val="32"/>
          <w:szCs w:val="32"/>
          <w:lang w:eastAsia="zh-CN"/>
        </w:rPr>
        <w:t>0</w:t>
      </w:r>
      <w:r>
        <w:rPr>
          <w:rFonts w:ascii="Times New Roman" w:eastAsia="仿宋_GB2312" w:hAnsi="Times New Roman" w:cs="仿宋_GB2312" w:hint="eastAsia"/>
          <w:snapToGrid/>
          <w:color w:val="auto"/>
          <w:kern w:val="2"/>
          <w:sz w:val="32"/>
          <w:szCs w:val="32"/>
          <w:lang w:eastAsia="zh-CN"/>
        </w:rPr>
        <w:t>辆、应急保障用车</w:t>
      </w:r>
      <w:r>
        <w:rPr>
          <w:rFonts w:ascii="Times New Roman" w:eastAsia="仿宋_GB2312" w:hAnsi="Times New Roman" w:cs="仿宋_GB2312" w:hint="eastAsia"/>
          <w:snapToGrid/>
          <w:color w:val="auto"/>
          <w:kern w:val="2"/>
          <w:sz w:val="32"/>
          <w:szCs w:val="32"/>
          <w:lang w:eastAsia="zh-CN"/>
        </w:rPr>
        <w:t>1</w:t>
      </w:r>
      <w:r>
        <w:rPr>
          <w:rFonts w:ascii="Times New Roman" w:eastAsia="仿宋_GB2312" w:hAnsi="Times New Roman" w:cs="仿宋_GB2312" w:hint="eastAsia"/>
          <w:snapToGrid/>
          <w:color w:val="auto"/>
          <w:kern w:val="2"/>
          <w:sz w:val="32"/>
          <w:szCs w:val="32"/>
          <w:lang w:eastAsia="zh-CN"/>
        </w:rPr>
        <w:t>辆、执法执勤用车</w:t>
      </w:r>
      <w:r>
        <w:rPr>
          <w:rFonts w:ascii="Times New Roman" w:eastAsia="仿宋_GB2312" w:hAnsi="Times New Roman" w:cs="仿宋_GB2312" w:hint="eastAsia"/>
          <w:snapToGrid/>
          <w:color w:val="auto"/>
          <w:kern w:val="2"/>
          <w:sz w:val="32"/>
          <w:szCs w:val="32"/>
          <w:lang w:eastAsia="zh-CN"/>
        </w:rPr>
        <w:t>15</w:t>
      </w:r>
      <w:r>
        <w:rPr>
          <w:rFonts w:ascii="Times New Roman" w:eastAsia="仿宋_GB2312" w:hAnsi="Times New Roman" w:cs="仿宋_GB2312" w:hint="eastAsia"/>
          <w:snapToGrid/>
          <w:color w:val="auto"/>
          <w:kern w:val="2"/>
          <w:sz w:val="32"/>
          <w:szCs w:val="32"/>
          <w:lang w:eastAsia="zh-CN"/>
        </w:rPr>
        <w:t>辆、特种专业技术用车</w:t>
      </w:r>
      <w:r>
        <w:rPr>
          <w:rFonts w:ascii="Times New Roman" w:eastAsia="仿宋_GB2312" w:hAnsi="Times New Roman" w:cs="仿宋_GB2312" w:hint="eastAsia"/>
          <w:snapToGrid/>
          <w:color w:val="auto"/>
          <w:kern w:val="2"/>
          <w:sz w:val="32"/>
          <w:szCs w:val="32"/>
          <w:lang w:eastAsia="zh-CN"/>
        </w:rPr>
        <w:t>13</w:t>
      </w:r>
      <w:r>
        <w:rPr>
          <w:rFonts w:ascii="Times New Roman" w:eastAsia="仿宋_GB2312" w:hAnsi="Times New Roman" w:cs="仿宋_GB2312" w:hint="eastAsia"/>
          <w:snapToGrid/>
          <w:color w:val="auto"/>
          <w:kern w:val="2"/>
          <w:sz w:val="32"/>
          <w:szCs w:val="32"/>
          <w:lang w:eastAsia="zh-CN"/>
        </w:rPr>
        <w:t>辆、其他用车</w:t>
      </w:r>
      <w:r>
        <w:rPr>
          <w:rFonts w:ascii="Times New Roman" w:eastAsia="仿宋_GB2312" w:hAnsi="Times New Roman" w:cs="仿宋_GB2312" w:hint="eastAsia"/>
          <w:snapToGrid/>
          <w:color w:val="auto"/>
          <w:kern w:val="2"/>
          <w:sz w:val="32"/>
          <w:szCs w:val="32"/>
          <w:lang w:eastAsia="zh-CN"/>
        </w:rPr>
        <w:t>11</w:t>
      </w:r>
      <w:r>
        <w:rPr>
          <w:rFonts w:ascii="Times New Roman" w:eastAsia="仿宋_GB2312" w:hAnsi="Times New Roman" w:cs="仿宋_GB2312" w:hint="eastAsia"/>
          <w:snapToGrid/>
          <w:color w:val="auto"/>
          <w:kern w:val="2"/>
          <w:sz w:val="32"/>
          <w:szCs w:val="32"/>
          <w:lang w:eastAsia="zh-CN"/>
        </w:rPr>
        <w:t>辆。其他用车主要是用于一般公务和攀西钒钛检验检测</w:t>
      </w:r>
      <w:proofErr w:type="gramStart"/>
      <w:r>
        <w:rPr>
          <w:rFonts w:ascii="Times New Roman" w:eastAsia="仿宋_GB2312" w:hAnsi="Times New Roman" w:cs="仿宋_GB2312" w:hint="eastAsia"/>
          <w:snapToGrid/>
          <w:color w:val="auto"/>
          <w:kern w:val="2"/>
          <w:sz w:val="32"/>
          <w:szCs w:val="32"/>
          <w:lang w:eastAsia="zh-CN"/>
        </w:rPr>
        <w:t>院业务</w:t>
      </w:r>
      <w:proofErr w:type="gramEnd"/>
      <w:r>
        <w:rPr>
          <w:rFonts w:ascii="Times New Roman" w:eastAsia="仿宋_GB2312" w:hAnsi="Times New Roman" w:cs="仿宋_GB2312" w:hint="eastAsia"/>
          <w:snapToGrid/>
          <w:color w:val="auto"/>
          <w:kern w:val="2"/>
          <w:sz w:val="32"/>
          <w:szCs w:val="32"/>
          <w:lang w:eastAsia="zh-CN"/>
        </w:rPr>
        <w:t>用车。单价</w:t>
      </w:r>
      <w:r>
        <w:rPr>
          <w:rFonts w:ascii="Times New Roman" w:eastAsia="仿宋_GB2312" w:hAnsi="Times New Roman" w:cs="仿宋_GB2312" w:hint="eastAsia"/>
          <w:snapToGrid/>
          <w:color w:val="auto"/>
          <w:kern w:val="2"/>
          <w:sz w:val="32"/>
          <w:szCs w:val="32"/>
          <w:lang w:eastAsia="zh-CN"/>
        </w:rPr>
        <w:t>100</w:t>
      </w:r>
      <w:r>
        <w:rPr>
          <w:rFonts w:ascii="Times New Roman" w:eastAsia="仿宋_GB2312" w:hAnsi="Times New Roman" w:cs="仿宋_GB2312" w:hint="eastAsia"/>
          <w:snapToGrid/>
          <w:color w:val="auto"/>
          <w:kern w:val="2"/>
          <w:sz w:val="32"/>
          <w:szCs w:val="32"/>
          <w:lang w:eastAsia="zh-CN"/>
        </w:rPr>
        <w:t>万元（含）以上设备（不含车辆）</w:t>
      </w:r>
      <w:r>
        <w:rPr>
          <w:rFonts w:ascii="Times New Roman" w:eastAsia="仿宋_GB2312" w:hAnsi="Times New Roman" w:cs="仿宋_GB2312" w:hint="eastAsia"/>
          <w:snapToGrid/>
          <w:color w:val="auto"/>
          <w:kern w:val="2"/>
          <w:sz w:val="32"/>
          <w:szCs w:val="32"/>
          <w:lang w:eastAsia="zh-CN"/>
        </w:rPr>
        <w:t>24</w:t>
      </w:r>
      <w:r>
        <w:rPr>
          <w:rFonts w:ascii="Times New Roman" w:eastAsia="仿宋_GB2312" w:hAnsi="Times New Roman" w:cs="仿宋_GB2312" w:hint="eastAsia"/>
          <w:snapToGrid/>
          <w:color w:val="auto"/>
          <w:kern w:val="2"/>
          <w:sz w:val="32"/>
          <w:szCs w:val="32"/>
          <w:lang w:eastAsia="zh-CN"/>
        </w:rPr>
        <w:t>台（套）。</w:t>
      </w:r>
    </w:p>
    <w:p w:rsidR="004B0FC1" w:rsidRDefault="00A976D9" w:rsidP="0061664C">
      <w:pPr>
        <w:widowControl w:val="0"/>
        <w:kinsoku/>
        <w:autoSpaceDE/>
        <w:autoSpaceDN/>
        <w:adjustRightInd/>
        <w:snapToGrid/>
        <w:spacing w:line="600" w:lineRule="exact"/>
        <w:ind w:firstLineChars="200" w:firstLine="641"/>
        <w:jc w:val="both"/>
        <w:textAlignment w:val="auto"/>
        <w:outlineLvl w:val="2"/>
        <w:rPr>
          <w:rFonts w:ascii="Times New Roman" w:eastAsia="楷体_GB2312" w:hAnsi="Times New Roman" w:cs="楷体_GB2312"/>
          <w:b/>
          <w:snapToGrid/>
          <w:kern w:val="2"/>
          <w:sz w:val="32"/>
          <w:szCs w:val="32"/>
          <w:lang w:eastAsia="zh-CN"/>
        </w:rPr>
      </w:pPr>
      <w:r>
        <w:rPr>
          <w:rFonts w:ascii="Times New Roman" w:eastAsia="楷体_GB2312" w:hAnsi="Times New Roman" w:cs="楷体_GB2312" w:hint="eastAsia"/>
          <w:b/>
          <w:snapToGrid/>
          <w:kern w:val="2"/>
          <w:sz w:val="32"/>
          <w:szCs w:val="32"/>
          <w:lang w:eastAsia="zh-CN"/>
        </w:rPr>
        <w:t>（四）预算绩效管理情况</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根据预算绩效管理要求，攀枝花市市场监督管理局在</w:t>
      </w:r>
      <w:r>
        <w:rPr>
          <w:rFonts w:ascii="Times New Roman" w:eastAsia="仿宋_GB2312" w:hAnsi="Times New Roman" w:cs="仿宋_GB2312" w:hint="eastAsia"/>
          <w:snapToGrid/>
          <w:color w:val="auto"/>
          <w:kern w:val="2"/>
          <w:sz w:val="32"/>
          <w:szCs w:val="32"/>
          <w:lang w:eastAsia="zh-CN"/>
        </w:rPr>
        <w:t>2025</w:t>
      </w:r>
      <w:r>
        <w:rPr>
          <w:rFonts w:ascii="Times New Roman" w:eastAsia="仿宋_GB2312" w:hAnsi="Times New Roman" w:cs="仿宋_GB2312" w:hint="eastAsia"/>
          <w:snapToGrid/>
          <w:color w:val="auto"/>
          <w:kern w:val="2"/>
          <w:sz w:val="32"/>
          <w:szCs w:val="32"/>
          <w:lang w:eastAsia="zh-CN"/>
        </w:rPr>
        <w:t>年度，组织对省级财政市场监管</w:t>
      </w:r>
      <w:r>
        <w:rPr>
          <w:rFonts w:ascii="Times New Roman" w:eastAsia="仿宋_GB2312" w:hAnsi="Times New Roman" w:cs="仿宋_GB2312" w:hint="eastAsia"/>
          <w:snapToGrid/>
          <w:color w:val="auto"/>
          <w:kern w:val="2"/>
          <w:sz w:val="32"/>
          <w:szCs w:val="32"/>
          <w:lang w:eastAsia="zh-CN"/>
        </w:rPr>
        <w:t>1</w:t>
      </w:r>
      <w:r>
        <w:rPr>
          <w:rFonts w:ascii="Times New Roman" w:eastAsia="仿宋_GB2312" w:hAnsi="Times New Roman" w:cs="仿宋_GB2312" w:hint="eastAsia"/>
          <w:snapToGrid/>
          <w:color w:val="auto"/>
          <w:kern w:val="2"/>
          <w:sz w:val="32"/>
          <w:szCs w:val="32"/>
          <w:lang w:eastAsia="zh-CN"/>
        </w:rPr>
        <w:t>个项目涉及金额</w:t>
      </w:r>
      <w:r>
        <w:rPr>
          <w:rFonts w:ascii="Times New Roman" w:eastAsia="仿宋_GB2312" w:hAnsi="Times New Roman" w:cs="仿宋_GB2312" w:hint="eastAsia"/>
          <w:snapToGrid/>
          <w:color w:val="auto"/>
          <w:kern w:val="2"/>
          <w:sz w:val="32"/>
          <w:szCs w:val="32"/>
          <w:lang w:eastAsia="zh-CN"/>
        </w:rPr>
        <w:t>111</w:t>
      </w:r>
      <w:r>
        <w:rPr>
          <w:rFonts w:ascii="Times New Roman" w:eastAsia="仿宋_GB2312" w:hAnsi="Times New Roman" w:cs="仿宋_GB2312" w:hint="eastAsia"/>
          <w:snapToGrid/>
          <w:color w:val="auto"/>
          <w:kern w:val="2"/>
          <w:sz w:val="32"/>
          <w:szCs w:val="32"/>
          <w:lang w:eastAsia="zh-CN"/>
        </w:rPr>
        <w:t>万元开展了事前绩效评估，对</w:t>
      </w:r>
      <w:r>
        <w:rPr>
          <w:rFonts w:ascii="Times New Roman" w:eastAsia="仿宋_GB2312" w:hAnsi="Times New Roman" w:cs="仿宋_GB2312" w:hint="eastAsia"/>
          <w:snapToGrid/>
          <w:color w:val="auto"/>
          <w:kern w:val="2"/>
          <w:sz w:val="32"/>
          <w:szCs w:val="32"/>
          <w:lang w:eastAsia="zh-CN"/>
        </w:rPr>
        <w:t>4</w:t>
      </w:r>
      <w:r>
        <w:rPr>
          <w:rFonts w:ascii="Times New Roman" w:eastAsia="仿宋_GB2312" w:hAnsi="Times New Roman" w:cs="仿宋_GB2312" w:hint="eastAsia"/>
          <w:snapToGrid/>
          <w:color w:val="auto"/>
          <w:kern w:val="2"/>
          <w:sz w:val="32"/>
          <w:szCs w:val="32"/>
          <w:lang w:eastAsia="zh-CN"/>
        </w:rPr>
        <w:t>个项目编制了绩效目标，预算执行过程中，选取</w:t>
      </w:r>
      <w:r>
        <w:rPr>
          <w:rFonts w:ascii="Times New Roman" w:eastAsia="仿宋_GB2312" w:hAnsi="Times New Roman" w:cs="仿宋_GB2312" w:hint="eastAsia"/>
          <w:snapToGrid/>
          <w:color w:val="auto"/>
          <w:kern w:val="2"/>
          <w:sz w:val="32"/>
          <w:szCs w:val="32"/>
          <w:lang w:eastAsia="zh-CN"/>
        </w:rPr>
        <w:t>38</w:t>
      </w:r>
      <w:r>
        <w:rPr>
          <w:rFonts w:ascii="Times New Roman" w:eastAsia="仿宋_GB2312" w:hAnsi="Times New Roman" w:cs="仿宋_GB2312" w:hint="eastAsia"/>
          <w:snapToGrid/>
          <w:color w:val="auto"/>
          <w:kern w:val="2"/>
          <w:sz w:val="32"/>
          <w:szCs w:val="32"/>
          <w:lang w:eastAsia="zh-CN"/>
        </w:rPr>
        <w:t>个项目开展绩效监控。</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组织对</w:t>
      </w:r>
      <w:r>
        <w:rPr>
          <w:rFonts w:ascii="Times New Roman" w:eastAsia="仿宋_GB2312" w:hAnsi="Times New Roman" w:cs="仿宋_GB2312" w:hint="eastAsia"/>
          <w:snapToGrid/>
          <w:color w:val="auto"/>
          <w:kern w:val="2"/>
          <w:sz w:val="32"/>
          <w:szCs w:val="32"/>
          <w:lang w:eastAsia="zh-CN"/>
        </w:rPr>
        <w:t>2025</w:t>
      </w:r>
      <w:r>
        <w:rPr>
          <w:rFonts w:ascii="Times New Roman" w:eastAsia="仿宋_GB2312" w:hAnsi="Times New Roman" w:cs="仿宋_GB2312" w:hint="eastAsia"/>
          <w:snapToGrid/>
          <w:color w:val="auto"/>
          <w:kern w:val="2"/>
          <w:sz w:val="32"/>
          <w:szCs w:val="32"/>
          <w:lang w:eastAsia="zh-CN"/>
        </w:rPr>
        <w:t>年度一般公共预算、政府性基金预算、国有资本经营预算、社会保险基金预算以及资本资产、债券资金等全面开展绩效自评，形成市市场监管局部门整体（含部门预算项目）绩效自评报告，中央食品、中央药品、省级药品、省级市场监管、互联网</w:t>
      </w:r>
      <w:r>
        <w:rPr>
          <w:rFonts w:ascii="Times New Roman" w:eastAsia="仿宋_GB2312" w:hAnsi="Times New Roman" w:cs="仿宋_GB2312" w:hint="eastAsia"/>
          <w:snapToGrid/>
          <w:color w:val="auto"/>
          <w:kern w:val="2"/>
          <w:sz w:val="32"/>
          <w:szCs w:val="32"/>
          <w:lang w:eastAsia="zh-CN"/>
        </w:rPr>
        <w:t>+AI</w:t>
      </w:r>
      <w:r>
        <w:rPr>
          <w:rFonts w:ascii="Times New Roman" w:eastAsia="仿宋_GB2312" w:hAnsi="Times New Roman" w:cs="仿宋_GB2312" w:hint="eastAsia"/>
          <w:snapToGrid/>
          <w:color w:val="auto"/>
          <w:kern w:val="2"/>
          <w:sz w:val="32"/>
          <w:szCs w:val="32"/>
          <w:lang w:eastAsia="zh-CN"/>
        </w:rPr>
        <w:t>监管、市场监管专项、市场监管综合业务、</w:t>
      </w:r>
      <w:r>
        <w:rPr>
          <w:rFonts w:ascii="Times New Roman" w:eastAsia="仿宋_GB2312" w:hAnsi="Times New Roman" w:cs="仿宋_GB2312" w:hint="eastAsia"/>
          <w:snapToGrid/>
          <w:color w:val="auto"/>
          <w:kern w:val="2"/>
          <w:sz w:val="32"/>
          <w:szCs w:val="32"/>
          <w:lang w:eastAsia="zh-CN"/>
        </w:rPr>
        <w:lastRenderedPageBreak/>
        <w:t>中央服务业专利转换、食品药品二期建设项目、食品安全抽检经费、中国钒钛论坛暨钒钛综合利用战略研讨会</w:t>
      </w:r>
      <w:r>
        <w:rPr>
          <w:rFonts w:ascii="Times New Roman" w:eastAsia="仿宋_GB2312" w:hAnsi="Times New Roman" w:cs="仿宋_GB2312" w:hint="eastAsia"/>
          <w:snapToGrid/>
          <w:color w:val="auto"/>
          <w:kern w:val="2"/>
          <w:sz w:val="32"/>
          <w:szCs w:val="32"/>
          <w:lang w:eastAsia="zh-CN"/>
        </w:rPr>
        <w:t>11</w:t>
      </w:r>
      <w:r>
        <w:rPr>
          <w:rFonts w:ascii="Times New Roman" w:eastAsia="仿宋_GB2312" w:hAnsi="Times New Roman" w:cs="仿宋_GB2312" w:hint="eastAsia"/>
          <w:snapToGrid/>
          <w:color w:val="auto"/>
          <w:kern w:val="2"/>
          <w:sz w:val="32"/>
          <w:szCs w:val="32"/>
          <w:lang w:eastAsia="zh-CN"/>
        </w:rPr>
        <w:t>个专项预算项目绩效自评报告。市市场监管局部门整体（含部门预算项目）绩效自评得分为</w:t>
      </w:r>
      <w:r>
        <w:rPr>
          <w:rFonts w:ascii="Times New Roman" w:eastAsia="仿宋_GB2312" w:hAnsi="Times New Roman" w:cs="仿宋_GB2312" w:hint="eastAsia"/>
          <w:snapToGrid/>
          <w:color w:val="auto"/>
          <w:kern w:val="2"/>
          <w:sz w:val="32"/>
          <w:szCs w:val="32"/>
          <w:lang w:eastAsia="zh-CN"/>
        </w:rPr>
        <w:t>93.1</w:t>
      </w:r>
      <w:r>
        <w:rPr>
          <w:rFonts w:ascii="Times New Roman" w:eastAsia="仿宋_GB2312" w:hAnsi="Times New Roman" w:cs="仿宋_GB2312" w:hint="eastAsia"/>
          <w:snapToGrid/>
          <w:color w:val="auto"/>
          <w:kern w:val="2"/>
          <w:sz w:val="32"/>
          <w:szCs w:val="32"/>
          <w:lang w:eastAsia="zh-CN"/>
        </w:rPr>
        <w:t>分，绩效自评综述：</w:t>
      </w:r>
      <w:r>
        <w:rPr>
          <w:rFonts w:ascii="Times New Roman" w:eastAsia="仿宋_GB2312" w:hAnsi="Times New Roman" w:cs="仿宋_GB2312" w:hint="eastAsia"/>
          <w:snapToGrid/>
          <w:color w:val="auto"/>
          <w:kern w:val="2"/>
          <w:sz w:val="32"/>
          <w:szCs w:val="32"/>
          <w:lang w:eastAsia="zh-CN"/>
        </w:rPr>
        <w:t>2025</w:t>
      </w:r>
      <w:r>
        <w:rPr>
          <w:rFonts w:ascii="Times New Roman" w:eastAsia="仿宋_GB2312" w:hAnsi="Times New Roman" w:cs="仿宋_GB2312" w:hint="eastAsia"/>
          <w:snapToGrid/>
          <w:color w:val="auto"/>
          <w:kern w:val="2"/>
          <w:sz w:val="32"/>
          <w:szCs w:val="32"/>
          <w:lang w:eastAsia="zh-CN"/>
        </w:rPr>
        <w:t>年度，我局较好地完成绩效目标各项任务，有效保障正常运转，有力推动了全市市场监管事业不断发展；部门专项项目设置较为规范，绩效目标明确，制度较为健全，资金使用合</w:t>
      </w:r>
      <w:proofErr w:type="gramStart"/>
      <w:r>
        <w:rPr>
          <w:rFonts w:ascii="Times New Roman" w:eastAsia="仿宋_GB2312" w:hAnsi="Times New Roman" w:cs="仿宋_GB2312" w:hint="eastAsia"/>
          <w:snapToGrid/>
          <w:color w:val="auto"/>
          <w:kern w:val="2"/>
          <w:sz w:val="32"/>
          <w:szCs w:val="32"/>
          <w:lang w:eastAsia="zh-CN"/>
        </w:rPr>
        <w:t>规</w:t>
      </w:r>
      <w:proofErr w:type="gramEnd"/>
      <w:r>
        <w:rPr>
          <w:rFonts w:ascii="Times New Roman" w:eastAsia="仿宋_GB2312" w:hAnsi="Times New Roman" w:cs="仿宋_GB2312" w:hint="eastAsia"/>
          <w:snapToGrid/>
          <w:color w:val="auto"/>
          <w:kern w:val="2"/>
          <w:sz w:val="32"/>
          <w:szCs w:val="32"/>
          <w:lang w:eastAsia="zh-CN"/>
        </w:rPr>
        <w:t>。从项目决策、项目管理、项目完成和项目效果来看，都较好地达到了预期的效果。通过项目实施，加强了食品药品特种设备安全监管，防控食品药品特种设备安全风险隐患，严厉打击违规违法行为，确保了食品药品工业产品质量安全，保障了人民群众饮食用药及产品质量安全有效。省市场监管专项预算项目绩效自评得分为</w:t>
      </w:r>
      <w:r>
        <w:rPr>
          <w:rFonts w:ascii="Times New Roman" w:eastAsia="仿宋_GB2312" w:hAnsi="Times New Roman" w:cs="仿宋_GB2312" w:hint="eastAsia"/>
          <w:snapToGrid/>
          <w:color w:val="auto"/>
          <w:kern w:val="2"/>
          <w:sz w:val="32"/>
          <w:szCs w:val="32"/>
          <w:lang w:eastAsia="zh-CN"/>
        </w:rPr>
        <w:t>95.25</w:t>
      </w:r>
      <w:r>
        <w:rPr>
          <w:rFonts w:ascii="Times New Roman" w:eastAsia="仿宋_GB2312" w:hAnsi="Times New Roman" w:cs="仿宋_GB2312" w:hint="eastAsia"/>
          <w:snapToGrid/>
          <w:color w:val="auto"/>
          <w:kern w:val="2"/>
          <w:sz w:val="32"/>
          <w:szCs w:val="32"/>
          <w:lang w:eastAsia="zh-CN"/>
        </w:rPr>
        <w:t>分，绩效自评综述：本项目决策程序严密合理，实施合</w:t>
      </w:r>
      <w:proofErr w:type="gramStart"/>
      <w:r>
        <w:rPr>
          <w:rFonts w:ascii="Times New Roman" w:eastAsia="仿宋_GB2312" w:hAnsi="Times New Roman" w:cs="仿宋_GB2312" w:hint="eastAsia"/>
          <w:snapToGrid/>
          <w:color w:val="auto"/>
          <w:kern w:val="2"/>
          <w:sz w:val="32"/>
          <w:szCs w:val="32"/>
          <w:lang w:eastAsia="zh-CN"/>
        </w:rPr>
        <w:t>规</w:t>
      </w:r>
      <w:proofErr w:type="gramEnd"/>
      <w:r>
        <w:rPr>
          <w:rFonts w:ascii="Times New Roman" w:eastAsia="仿宋_GB2312" w:hAnsi="Times New Roman" w:cs="仿宋_GB2312" w:hint="eastAsia"/>
          <w:snapToGrid/>
          <w:color w:val="auto"/>
          <w:kern w:val="2"/>
          <w:sz w:val="32"/>
          <w:szCs w:val="32"/>
          <w:lang w:eastAsia="zh-CN"/>
        </w:rPr>
        <w:t>高效，资金使用和项目管理规范。加强了市场安全监管，防控食品、重要工业产品质量、特种设备安全风险隐患，严厉打击违规违法行为，保障了人民群众身体健康。</w:t>
      </w:r>
    </w:p>
    <w:p w:rsidR="004B0FC1" w:rsidRDefault="00A976D9">
      <w:pPr>
        <w:pStyle w:val="ac"/>
        <w:widowControl w:val="0"/>
        <w:kinsoku/>
        <w:autoSpaceDE/>
        <w:autoSpaceDN/>
        <w:adjustRightInd/>
        <w:snapToGrid/>
        <w:spacing w:line="600" w:lineRule="exact"/>
        <w:ind w:firstLine="640"/>
        <w:jc w:val="both"/>
        <w:textAlignment w:val="auto"/>
        <w:outlineLvl w:val="1"/>
        <w:rPr>
          <w:rFonts w:ascii="Times New Roman" w:eastAsia="仿宋_GB2312" w:hAnsi="Times New Roman" w:cs="仿宋_GB2312"/>
          <w:snapToGrid/>
          <w:kern w:val="2"/>
          <w:sz w:val="32"/>
          <w:szCs w:val="32"/>
          <w:lang w:eastAsia="zh-CN"/>
        </w:rPr>
      </w:pPr>
      <w:r>
        <w:rPr>
          <w:rFonts w:ascii="Times New Roman" w:eastAsia="仿宋_GB2312" w:hAnsi="Times New Roman" w:cs="仿宋_GB2312" w:hint="eastAsia"/>
          <w:snapToGrid/>
          <w:color w:val="auto"/>
          <w:kern w:val="2"/>
          <w:sz w:val="32"/>
          <w:szCs w:val="32"/>
          <w:lang w:eastAsia="zh-CN"/>
        </w:rPr>
        <w:t>项目实施对维护我市公平竞争的市场秩序、严守市场安全底线、提升市场综合监管水平等均起到了积极推动作用，产生了良好的社会效益和</w:t>
      </w:r>
      <w:proofErr w:type="gramStart"/>
      <w:r>
        <w:rPr>
          <w:rFonts w:ascii="Times New Roman" w:eastAsia="仿宋_GB2312" w:hAnsi="Times New Roman" w:cs="仿宋_GB2312" w:hint="eastAsia"/>
          <w:snapToGrid/>
          <w:color w:val="auto"/>
          <w:kern w:val="2"/>
          <w:sz w:val="32"/>
          <w:szCs w:val="32"/>
          <w:lang w:eastAsia="zh-CN"/>
        </w:rPr>
        <w:t>可</w:t>
      </w:r>
      <w:proofErr w:type="gramEnd"/>
      <w:r>
        <w:rPr>
          <w:rFonts w:ascii="Times New Roman" w:eastAsia="仿宋_GB2312" w:hAnsi="Times New Roman" w:cs="仿宋_GB2312" w:hint="eastAsia"/>
          <w:snapToGrid/>
          <w:color w:val="auto"/>
          <w:kern w:val="2"/>
          <w:sz w:val="32"/>
          <w:szCs w:val="32"/>
          <w:lang w:eastAsia="zh-CN"/>
        </w:rPr>
        <w:t>持续影响，公众满意度持续向好。绩效自评报告详见附件。</w:t>
      </w:r>
    </w:p>
    <w:p w:rsidR="004B0FC1" w:rsidRDefault="004B0FC1">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kern w:val="2"/>
          <w:sz w:val="32"/>
          <w:szCs w:val="32"/>
          <w:lang w:eastAsia="zh-CN"/>
        </w:rPr>
        <w:sectPr w:rsidR="004B0FC1">
          <w:footerReference w:type="default" r:id="rId19"/>
          <w:pgSz w:w="11906" w:h="16838"/>
          <w:pgMar w:top="1431" w:right="1374" w:bottom="1435" w:left="1596" w:header="0" w:footer="1158" w:gutter="0"/>
          <w:cols w:space="720"/>
        </w:sectPr>
      </w:pPr>
    </w:p>
    <w:p w:rsidR="004B0FC1" w:rsidRDefault="00A976D9">
      <w:pPr>
        <w:spacing w:line="600" w:lineRule="exact"/>
        <w:jc w:val="center"/>
        <w:outlineLvl w:val="0"/>
        <w:rPr>
          <w:rFonts w:eastAsia="黑体"/>
          <w:sz w:val="44"/>
          <w:szCs w:val="44"/>
          <w:lang w:eastAsia="zh-CN"/>
        </w:rPr>
      </w:pPr>
      <w:bookmarkStart w:id="49" w:name="bookmark39"/>
      <w:bookmarkStart w:id="50" w:name="_Toc20730"/>
      <w:bookmarkStart w:id="51" w:name="_Toc15396613"/>
      <w:bookmarkStart w:id="52" w:name="_Toc15377225"/>
      <w:bookmarkEnd w:id="49"/>
      <w:r>
        <w:rPr>
          <w:rFonts w:eastAsia="黑体" w:hint="eastAsia"/>
          <w:sz w:val="44"/>
          <w:szCs w:val="44"/>
          <w:lang w:eastAsia="zh-CN"/>
        </w:rPr>
        <w:lastRenderedPageBreak/>
        <w:t>第三部分</w:t>
      </w:r>
      <w:r>
        <w:rPr>
          <w:rFonts w:eastAsia="黑体" w:hint="eastAsia"/>
          <w:sz w:val="44"/>
          <w:szCs w:val="44"/>
          <w:lang w:eastAsia="zh-CN"/>
        </w:rPr>
        <w:t xml:space="preserve">  </w:t>
      </w:r>
      <w:r>
        <w:rPr>
          <w:rFonts w:eastAsia="黑体" w:hint="eastAsia"/>
          <w:sz w:val="44"/>
          <w:szCs w:val="44"/>
          <w:lang w:eastAsia="zh-CN"/>
        </w:rPr>
        <w:t>名词解释</w:t>
      </w:r>
      <w:bookmarkEnd w:id="50"/>
      <w:bookmarkEnd w:id="51"/>
      <w:bookmarkEnd w:id="52"/>
    </w:p>
    <w:p w:rsidR="004B0FC1" w:rsidRDefault="004B0FC1">
      <w:pPr>
        <w:pStyle w:val="20"/>
        <w:ind w:leftChars="0" w:left="0" w:firstLineChars="0" w:firstLine="0"/>
        <w:rPr>
          <w:lang w:eastAsia="zh-CN"/>
        </w:rPr>
      </w:pP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1.</w:t>
      </w:r>
      <w:r>
        <w:rPr>
          <w:rFonts w:ascii="Times New Roman" w:eastAsia="仿宋_GB2312" w:hAnsi="Times New Roman" w:cs="仿宋_GB2312" w:hint="eastAsia"/>
          <w:snapToGrid/>
          <w:color w:val="auto"/>
          <w:kern w:val="2"/>
          <w:sz w:val="32"/>
          <w:szCs w:val="32"/>
          <w:lang w:eastAsia="zh-CN"/>
        </w:rPr>
        <w:t>财政拨款收入：指单位从同级财政部门取得的财政预算资金。</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2.</w:t>
      </w:r>
      <w:r>
        <w:rPr>
          <w:rFonts w:ascii="Times New Roman" w:eastAsia="仿宋_GB2312" w:hAnsi="Times New Roman" w:cs="仿宋_GB2312" w:hint="eastAsia"/>
          <w:snapToGrid/>
          <w:color w:val="auto"/>
          <w:kern w:val="2"/>
          <w:sz w:val="32"/>
          <w:szCs w:val="32"/>
          <w:lang w:eastAsia="zh-CN"/>
        </w:rPr>
        <w:t>事业收入：指事业单位开展专业业务活动及辅助活动取得的收入。</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3.</w:t>
      </w:r>
      <w:r>
        <w:rPr>
          <w:rFonts w:ascii="Times New Roman" w:eastAsia="仿宋_GB2312" w:hAnsi="Times New Roman" w:cs="仿宋_GB2312" w:hint="eastAsia"/>
          <w:snapToGrid/>
          <w:color w:val="auto"/>
          <w:kern w:val="2"/>
          <w:sz w:val="32"/>
          <w:szCs w:val="32"/>
          <w:lang w:eastAsia="zh-CN"/>
        </w:rPr>
        <w:t>经营收入：指事业单位在专业业务活动及其辅助活动之外开展非独立核算经营活动取得的收入。</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4.</w:t>
      </w:r>
      <w:r>
        <w:rPr>
          <w:rFonts w:ascii="Times New Roman" w:eastAsia="仿宋_GB2312" w:hAnsi="Times New Roman" w:cs="仿宋_GB2312" w:hint="eastAsia"/>
          <w:snapToGrid/>
          <w:color w:val="auto"/>
          <w:kern w:val="2"/>
          <w:sz w:val="32"/>
          <w:szCs w:val="32"/>
          <w:lang w:eastAsia="zh-CN"/>
        </w:rPr>
        <w:t>其他收入：指单位取得的除上述收入以外的各项收入。主要是上级单位转入项目经费等。</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5.</w:t>
      </w:r>
      <w:r>
        <w:rPr>
          <w:rFonts w:ascii="Times New Roman" w:eastAsia="仿宋_GB2312" w:hAnsi="Times New Roman" w:cs="仿宋_GB2312" w:hint="eastAsia"/>
          <w:snapToGrid/>
          <w:color w:val="auto"/>
          <w:kern w:val="2"/>
          <w:sz w:val="32"/>
          <w:szCs w:val="32"/>
          <w:lang w:eastAsia="zh-CN"/>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6.</w:t>
      </w:r>
      <w:r>
        <w:rPr>
          <w:rFonts w:ascii="Times New Roman" w:eastAsia="仿宋_GB2312" w:hAnsi="Times New Roman" w:cs="仿宋_GB2312" w:hint="eastAsia"/>
          <w:snapToGrid/>
          <w:color w:val="auto"/>
          <w:kern w:val="2"/>
          <w:sz w:val="32"/>
          <w:szCs w:val="32"/>
          <w:lang w:eastAsia="zh-CN"/>
        </w:rPr>
        <w:t>年初结转和结余：指以前年度尚未完成、结转到本年按有关规定继续使用的资金。</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7.</w:t>
      </w:r>
      <w:r>
        <w:rPr>
          <w:rFonts w:ascii="Times New Roman" w:eastAsia="仿宋_GB2312" w:hAnsi="Times New Roman" w:cs="仿宋_GB2312" w:hint="eastAsia"/>
          <w:snapToGrid/>
          <w:color w:val="auto"/>
          <w:kern w:val="2"/>
          <w:sz w:val="32"/>
          <w:szCs w:val="32"/>
          <w:lang w:eastAsia="zh-CN"/>
        </w:rPr>
        <w:t>结余分配：指事业单位按照事业单位会计制度的规定从非财政补助结余中分配的事业基金和职工福利基金等。</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8.</w:t>
      </w:r>
      <w:r>
        <w:rPr>
          <w:rFonts w:ascii="Times New Roman" w:eastAsia="仿宋_GB2312" w:hAnsi="Times New Roman" w:cs="仿宋_GB2312" w:hint="eastAsia"/>
          <w:snapToGrid/>
          <w:color w:val="auto"/>
          <w:kern w:val="2"/>
          <w:sz w:val="32"/>
          <w:szCs w:val="32"/>
          <w:lang w:eastAsia="zh-CN"/>
        </w:rPr>
        <w:t>年末结转和结余：指单位按有关规定结转到下年或以后年度继续使用的资金。</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9.</w:t>
      </w:r>
      <w:r>
        <w:rPr>
          <w:rFonts w:ascii="Times New Roman" w:eastAsia="仿宋_GB2312" w:hAnsi="Times New Roman" w:cs="仿宋_GB2312" w:hint="eastAsia"/>
          <w:snapToGrid/>
          <w:color w:val="auto"/>
          <w:kern w:val="2"/>
          <w:sz w:val="32"/>
          <w:szCs w:val="32"/>
          <w:lang w:eastAsia="zh-CN"/>
        </w:rPr>
        <w:t>一般公共服务（类）组织事务（款）其他组织事务支出（项）：指用于中国共产党组织部门的事务支出。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lastRenderedPageBreak/>
        <w:t>10.</w:t>
      </w:r>
      <w:r>
        <w:rPr>
          <w:rFonts w:ascii="Times New Roman" w:eastAsia="仿宋_GB2312" w:hAnsi="Times New Roman" w:cs="仿宋_GB2312" w:hint="eastAsia"/>
          <w:snapToGrid/>
          <w:color w:val="auto"/>
          <w:kern w:val="2"/>
          <w:sz w:val="32"/>
          <w:szCs w:val="32"/>
          <w:lang w:eastAsia="zh-CN"/>
        </w:rPr>
        <w:t>一般公共服务支出（类）知识产权事务（款）其他知识产权事务支出（项）：用于其他知识产权事务方面的支出。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11.</w:t>
      </w:r>
      <w:r>
        <w:rPr>
          <w:rFonts w:ascii="Times New Roman" w:eastAsia="仿宋_GB2312" w:hAnsi="Times New Roman" w:cs="仿宋_GB2312" w:hint="eastAsia"/>
          <w:snapToGrid/>
          <w:color w:val="auto"/>
          <w:kern w:val="2"/>
          <w:sz w:val="32"/>
          <w:szCs w:val="32"/>
          <w:lang w:eastAsia="zh-CN"/>
        </w:rPr>
        <w:t>一般公共服务（类）市场监督管理事务（款）行政运行（项）：指行政单位（包括公务员管理的事业单位）的基本支出。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12.</w:t>
      </w:r>
      <w:r>
        <w:rPr>
          <w:rFonts w:ascii="Times New Roman" w:eastAsia="仿宋_GB2312" w:hAnsi="Times New Roman" w:cs="仿宋_GB2312" w:hint="eastAsia"/>
          <w:snapToGrid/>
          <w:color w:val="auto"/>
          <w:kern w:val="2"/>
          <w:sz w:val="32"/>
          <w:szCs w:val="32"/>
          <w:lang w:eastAsia="zh-CN"/>
        </w:rPr>
        <w:t>一般公共服务（类）市场监督管理事务（款）一般行政管理事务（项）：指行政单位（包括公务员管理的事业单位）未单独设置项级科目的其他项目支出。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13.</w:t>
      </w:r>
      <w:r>
        <w:rPr>
          <w:rFonts w:ascii="Times New Roman" w:eastAsia="仿宋_GB2312" w:hAnsi="Times New Roman" w:cs="仿宋_GB2312" w:hint="eastAsia"/>
          <w:snapToGrid/>
          <w:color w:val="auto"/>
          <w:kern w:val="2"/>
          <w:sz w:val="32"/>
          <w:szCs w:val="32"/>
          <w:lang w:eastAsia="zh-CN"/>
        </w:rPr>
        <w:t>一般公共服务支出（类）市场监督管理事务（款）市场秩序执法（项）：反映反垄断、价格监督、反不正常竞争、规范直销与打击传销、网络交易监管、广告监管、消费者权益保护、综合执法等市场秩序专项工作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14.</w:t>
      </w:r>
      <w:r>
        <w:rPr>
          <w:rFonts w:ascii="Times New Roman" w:eastAsia="仿宋_GB2312" w:hAnsi="Times New Roman" w:cs="仿宋_GB2312" w:hint="eastAsia"/>
          <w:snapToGrid/>
          <w:color w:val="auto"/>
          <w:kern w:val="2"/>
          <w:sz w:val="32"/>
          <w:szCs w:val="32"/>
          <w:lang w:eastAsia="zh-CN"/>
        </w:rPr>
        <w:t>一般公共服务支出（类）市场监督管理事务（款）质量基础（项）：反映计量、标准、认证认可、检验检测等质量基础专项工作支出。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15.</w:t>
      </w:r>
      <w:r>
        <w:rPr>
          <w:rFonts w:ascii="Times New Roman" w:eastAsia="仿宋_GB2312" w:hAnsi="Times New Roman" w:cs="仿宋_GB2312" w:hint="eastAsia"/>
          <w:snapToGrid/>
          <w:color w:val="auto"/>
          <w:kern w:val="2"/>
          <w:sz w:val="32"/>
          <w:szCs w:val="32"/>
          <w:lang w:eastAsia="zh-CN"/>
        </w:rPr>
        <w:t>一般公共服务支出（类）市场监督管理事务（款）药品事务（项）：反映用于药品监督管理方面的支出。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16.</w:t>
      </w:r>
      <w:r>
        <w:rPr>
          <w:rFonts w:ascii="Times New Roman" w:eastAsia="仿宋_GB2312" w:hAnsi="Times New Roman" w:cs="仿宋_GB2312" w:hint="eastAsia"/>
          <w:snapToGrid/>
          <w:color w:val="auto"/>
          <w:kern w:val="2"/>
          <w:sz w:val="32"/>
          <w:szCs w:val="32"/>
          <w:lang w:eastAsia="zh-CN"/>
        </w:rPr>
        <w:t>一般公共服务支出（类）市场监督管理事务（款）质量安全监管（项）：反映产品质量安全监管、特种设备安全监管等质量监管专项工作支出。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17.</w:t>
      </w:r>
      <w:r>
        <w:rPr>
          <w:rFonts w:ascii="Times New Roman" w:eastAsia="仿宋_GB2312" w:hAnsi="Times New Roman" w:cs="仿宋_GB2312" w:hint="eastAsia"/>
          <w:snapToGrid/>
          <w:color w:val="auto"/>
          <w:kern w:val="2"/>
          <w:sz w:val="32"/>
          <w:szCs w:val="32"/>
          <w:lang w:eastAsia="zh-CN"/>
        </w:rPr>
        <w:t>一般公共服务（类）市场监督管理事务（款）食品安全监管（项）：用于食品安全监管方面的支出。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18.</w:t>
      </w:r>
      <w:r>
        <w:rPr>
          <w:rFonts w:ascii="Times New Roman" w:eastAsia="仿宋_GB2312" w:hAnsi="Times New Roman" w:cs="仿宋_GB2312" w:hint="eastAsia"/>
          <w:snapToGrid/>
          <w:color w:val="auto"/>
          <w:kern w:val="2"/>
          <w:sz w:val="32"/>
          <w:szCs w:val="32"/>
          <w:lang w:eastAsia="zh-CN"/>
        </w:rPr>
        <w:t>一般公共服务（类）市场监督管理事务（款）事业运行（项）：指用于事业单位的基本支出。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lastRenderedPageBreak/>
        <w:t>19.</w:t>
      </w:r>
      <w:r>
        <w:rPr>
          <w:rFonts w:ascii="Times New Roman" w:eastAsia="仿宋_GB2312" w:hAnsi="Times New Roman" w:cs="仿宋_GB2312" w:hint="eastAsia"/>
          <w:snapToGrid/>
          <w:color w:val="auto"/>
          <w:kern w:val="2"/>
          <w:sz w:val="32"/>
          <w:szCs w:val="32"/>
          <w:lang w:eastAsia="zh-CN"/>
        </w:rPr>
        <w:t>一般公共服务（类）市场监督管理事务（款）其他市场监督管理事务（项）：指反映用于除上述项目以外其他市场监督管理事务方面的支出。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20.</w:t>
      </w:r>
      <w:r>
        <w:rPr>
          <w:rFonts w:ascii="Times New Roman" w:eastAsia="仿宋_GB2312" w:hAnsi="Times New Roman" w:cs="仿宋_GB2312" w:hint="eastAsia"/>
          <w:snapToGrid/>
          <w:color w:val="auto"/>
          <w:kern w:val="2"/>
          <w:sz w:val="32"/>
          <w:szCs w:val="32"/>
          <w:lang w:eastAsia="zh-CN"/>
        </w:rPr>
        <w:t>技术研究与开发（类）技术研究与开发（款）其他技术研究与开发支出（项）：指反映用于其他技术研究与开发方面的支出。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21.</w:t>
      </w:r>
      <w:r>
        <w:rPr>
          <w:rFonts w:ascii="Times New Roman" w:eastAsia="仿宋_GB2312" w:hAnsi="Times New Roman" w:cs="仿宋_GB2312" w:hint="eastAsia"/>
          <w:snapToGrid/>
          <w:color w:val="auto"/>
          <w:kern w:val="2"/>
          <w:sz w:val="32"/>
          <w:szCs w:val="32"/>
          <w:lang w:eastAsia="zh-CN"/>
        </w:rPr>
        <w:t>社会保障和就业（类）人力资源和社会保障管理事务（款）其他人力资源和社会保障管理事务支出（项）：反映用于其他人力资源和社会保障管理事务支出。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22.</w:t>
      </w:r>
      <w:r>
        <w:rPr>
          <w:rFonts w:ascii="Times New Roman" w:eastAsia="仿宋_GB2312" w:hAnsi="Times New Roman" w:cs="仿宋_GB2312" w:hint="eastAsia"/>
          <w:snapToGrid/>
          <w:color w:val="auto"/>
          <w:kern w:val="2"/>
          <w:sz w:val="32"/>
          <w:szCs w:val="32"/>
          <w:lang w:eastAsia="zh-CN"/>
        </w:rPr>
        <w:t>社会保障和就业（类）行政事业单位养老支出（款）行政单位离退休（项）：指行政单位（包括实行公务员管理的事业单位）开支的离退休支出。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23.</w:t>
      </w:r>
      <w:r>
        <w:rPr>
          <w:rFonts w:ascii="Times New Roman" w:eastAsia="仿宋_GB2312" w:hAnsi="Times New Roman" w:cs="仿宋_GB2312" w:hint="eastAsia"/>
          <w:snapToGrid/>
          <w:color w:val="auto"/>
          <w:kern w:val="2"/>
          <w:sz w:val="32"/>
          <w:szCs w:val="32"/>
          <w:lang w:eastAsia="zh-CN"/>
        </w:rPr>
        <w:t>社会保障和就业（类）行政事业单位养老支出（款）事业单位离退休（项）：指事业单位开支的离退休支出。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24.</w:t>
      </w:r>
      <w:r>
        <w:rPr>
          <w:rFonts w:ascii="Times New Roman" w:eastAsia="仿宋_GB2312" w:hAnsi="Times New Roman" w:cs="仿宋_GB2312" w:hint="eastAsia"/>
          <w:snapToGrid/>
          <w:color w:val="auto"/>
          <w:kern w:val="2"/>
          <w:sz w:val="32"/>
          <w:szCs w:val="32"/>
          <w:lang w:eastAsia="zh-CN"/>
        </w:rPr>
        <w:t>社会保障和就业（类）行政事业单位养老支出（款）机关事业单位基本养老保险缴费支出（项）：指机关事业单位实施养老保险制度由单位缴纳的基本养老保险支出。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25.</w:t>
      </w:r>
      <w:r>
        <w:rPr>
          <w:rFonts w:ascii="Times New Roman" w:eastAsia="仿宋_GB2312" w:hAnsi="Times New Roman" w:cs="仿宋_GB2312" w:hint="eastAsia"/>
          <w:snapToGrid/>
          <w:color w:val="auto"/>
          <w:kern w:val="2"/>
          <w:sz w:val="32"/>
          <w:szCs w:val="32"/>
          <w:lang w:eastAsia="zh-CN"/>
        </w:rPr>
        <w:t>社会保障和就业（类）行政事业单位养老支出（款）机关事业单位职业年金缴费支出（项）：指机关事业单位实施职业年金制度由单位缴纳的职业年金支出。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26.</w:t>
      </w:r>
      <w:r>
        <w:rPr>
          <w:rFonts w:ascii="Times New Roman" w:eastAsia="仿宋_GB2312" w:hAnsi="Times New Roman" w:cs="仿宋_GB2312" w:hint="eastAsia"/>
          <w:snapToGrid/>
          <w:color w:val="auto"/>
          <w:kern w:val="2"/>
          <w:sz w:val="32"/>
          <w:szCs w:val="32"/>
          <w:lang w:eastAsia="zh-CN"/>
        </w:rPr>
        <w:t>社会保障和就业（类）抚恤（款）死亡抚恤（项）：反映按规定用于病故人员家属的一次性和定期抚恤金、丧葬补助费。</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lastRenderedPageBreak/>
        <w:t>27.</w:t>
      </w:r>
      <w:r>
        <w:rPr>
          <w:rFonts w:ascii="Times New Roman" w:eastAsia="仿宋_GB2312" w:hAnsi="Times New Roman" w:cs="仿宋_GB2312" w:hint="eastAsia"/>
          <w:snapToGrid/>
          <w:color w:val="auto"/>
          <w:kern w:val="2"/>
          <w:sz w:val="32"/>
          <w:szCs w:val="32"/>
          <w:lang w:eastAsia="zh-CN"/>
        </w:rPr>
        <w:t>社会保障和就业（类）社会福利（款）儿童福利（项）：指对儿童提供福利服务方面的支出。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28.</w:t>
      </w:r>
      <w:r>
        <w:rPr>
          <w:rFonts w:ascii="Times New Roman" w:eastAsia="仿宋_GB2312" w:hAnsi="Times New Roman" w:cs="仿宋_GB2312" w:hint="eastAsia"/>
          <w:snapToGrid/>
          <w:color w:val="auto"/>
          <w:kern w:val="2"/>
          <w:sz w:val="32"/>
          <w:szCs w:val="32"/>
          <w:lang w:eastAsia="zh-CN"/>
        </w:rPr>
        <w:t>卫生健康支出（类）行政事业单位医疗（款）行政单位医疗（项）：反映财政部门安排的行政单位</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包括实行公务员管理的事业单位</w:t>
      </w:r>
      <w:r>
        <w:rPr>
          <w:rFonts w:ascii="Times New Roman" w:eastAsia="仿宋_GB2312" w:hAnsi="Times New Roman" w:cs="仿宋_GB2312" w:hint="eastAsia"/>
          <w:snapToGrid/>
          <w:color w:val="auto"/>
          <w:kern w:val="2"/>
          <w:sz w:val="32"/>
          <w:szCs w:val="32"/>
          <w:lang w:eastAsia="zh-CN"/>
        </w:rPr>
        <w:t>)</w:t>
      </w:r>
      <w:r>
        <w:rPr>
          <w:rFonts w:ascii="Times New Roman" w:eastAsia="仿宋_GB2312" w:hAnsi="Times New Roman" w:cs="仿宋_GB2312" w:hint="eastAsia"/>
          <w:snapToGrid/>
          <w:color w:val="auto"/>
          <w:kern w:val="2"/>
          <w:sz w:val="32"/>
          <w:szCs w:val="32"/>
          <w:lang w:eastAsia="zh-CN"/>
        </w:rPr>
        <w:t>基本医疗保险缴费经费，未参加医疗保险的行政单位的公费医疗经费，按国家规定享受离休人员、红军老战士待遇人员的医疗经费。</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29.</w:t>
      </w:r>
      <w:r>
        <w:rPr>
          <w:rFonts w:ascii="Times New Roman" w:eastAsia="仿宋_GB2312" w:hAnsi="Times New Roman" w:cs="仿宋_GB2312" w:hint="eastAsia"/>
          <w:snapToGrid/>
          <w:color w:val="auto"/>
          <w:kern w:val="2"/>
          <w:sz w:val="32"/>
          <w:szCs w:val="32"/>
          <w:lang w:eastAsia="zh-CN"/>
        </w:rPr>
        <w:t>卫生健康支出（类）行政事业单位医疗（款）事业单位医疗（项）：反映财政部门安排的事业单位基本医疗保险缴费经费，未参加医疗保险的行政单位的公费医疗经费，按国家规定享受离休人员待遇的医疗经费。</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30.</w:t>
      </w:r>
      <w:r>
        <w:rPr>
          <w:rFonts w:ascii="Times New Roman" w:eastAsia="仿宋_GB2312" w:hAnsi="Times New Roman" w:cs="仿宋_GB2312" w:hint="eastAsia"/>
          <w:snapToGrid/>
          <w:color w:val="auto"/>
          <w:kern w:val="2"/>
          <w:sz w:val="32"/>
          <w:szCs w:val="32"/>
          <w:lang w:eastAsia="zh-CN"/>
        </w:rPr>
        <w:t>卫生健康支出（类）行政事业单位医疗（款）公务员医疗补助（项）：反映财政部门安排的公务员医疗补助经费。</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31.</w:t>
      </w:r>
      <w:r>
        <w:rPr>
          <w:rFonts w:ascii="Times New Roman" w:eastAsia="仿宋_GB2312" w:hAnsi="Times New Roman" w:cs="仿宋_GB2312" w:hint="eastAsia"/>
          <w:snapToGrid/>
          <w:color w:val="auto"/>
          <w:kern w:val="2"/>
          <w:sz w:val="32"/>
          <w:szCs w:val="32"/>
          <w:lang w:eastAsia="zh-CN"/>
        </w:rPr>
        <w:t>卫生健康支出（类）行政事业单位医疗（款）其他行政事业单位医疗支出（项）：反映财政部门安排的其他用于行政事业单位医疗方面的支出。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32.</w:t>
      </w:r>
      <w:r>
        <w:rPr>
          <w:rFonts w:ascii="Times New Roman" w:eastAsia="仿宋_GB2312" w:hAnsi="Times New Roman" w:cs="仿宋_GB2312" w:hint="eastAsia"/>
          <w:snapToGrid/>
          <w:color w:val="auto"/>
          <w:kern w:val="2"/>
          <w:sz w:val="32"/>
          <w:szCs w:val="32"/>
          <w:lang w:eastAsia="zh-CN"/>
        </w:rPr>
        <w:t>卫生健康支出（类）其他卫生健康支出（款）其他卫生健康支出（项）：反映财政部门安排的其他用于医疗健康方面的支出。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33.</w:t>
      </w:r>
      <w:r>
        <w:rPr>
          <w:rFonts w:ascii="Times New Roman" w:eastAsia="仿宋_GB2312" w:hAnsi="Times New Roman" w:cs="仿宋_GB2312" w:hint="eastAsia"/>
          <w:snapToGrid/>
          <w:color w:val="auto"/>
          <w:kern w:val="2"/>
          <w:sz w:val="32"/>
          <w:szCs w:val="32"/>
          <w:lang w:eastAsia="zh-CN"/>
        </w:rPr>
        <w:t>住房保障（类）住房改革支出（款）住房公积金（项）：指行政事业单位按人力资源和社会保障部、财政部规定的基本工资和津贴补贴以及按规定比例为职工缴纳的住房公积金。</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34.</w:t>
      </w:r>
      <w:r>
        <w:rPr>
          <w:rFonts w:ascii="Times New Roman" w:eastAsia="仿宋_GB2312" w:hAnsi="Times New Roman" w:cs="仿宋_GB2312" w:hint="eastAsia"/>
          <w:snapToGrid/>
          <w:color w:val="auto"/>
          <w:kern w:val="2"/>
          <w:sz w:val="32"/>
          <w:szCs w:val="32"/>
          <w:lang w:eastAsia="zh-CN"/>
        </w:rPr>
        <w:t>基本支出：指为保障机构正常运转、完成日常工作任务</w:t>
      </w:r>
      <w:r>
        <w:rPr>
          <w:rFonts w:ascii="Times New Roman" w:eastAsia="仿宋_GB2312" w:hAnsi="Times New Roman" w:cs="仿宋_GB2312" w:hint="eastAsia"/>
          <w:snapToGrid/>
          <w:color w:val="auto"/>
          <w:kern w:val="2"/>
          <w:sz w:val="32"/>
          <w:szCs w:val="32"/>
          <w:lang w:eastAsia="zh-CN"/>
        </w:rPr>
        <w:lastRenderedPageBreak/>
        <w:t>而发生的人员支出和公用支出。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35.</w:t>
      </w:r>
      <w:r>
        <w:rPr>
          <w:rFonts w:ascii="Times New Roman" w:eastAsia="仿宋_GB2312" w:hAnsi="Times New Roman" w:cs="仿宋_GB2312" w:hint="eastAsia"/>
          <w:snapToGrid/>
          <w:color w:val="auto"/>
          <w:kern w:val="2"/>
          <w:sz w:val="32"/>
          <w:szCs w:val="32"/>
          <w:lang w:eastAsia="zh-CN"/>
        </w:rPr>
        <w:t>项目支出：指在基本支出之外为完成特定行政任务和事业发展目标所发生的支出。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36.</w:t>
      </w:r>
      <w:r>
        <w:rPr>
          <w:rFonts w:ascii="Times New Roman" w:eastAsia="仿宋_GB2312" w:hAnsi="Times New Roman" w:cs="仿宋_GB2312" w:hint="eastAsia"/>
          <w:snapToGrid/>
          <w:color w:val="auto"/>
          <w:kern w:val="2"/>
          <w:sz w:val="32"/>
          <w:szCs w:val="32"/>
          <w:lang w:eastAsia="zh-CN"/>
        </w:rPr>
        <w:t>经营支出：指事业单位在专业业务活动及其辅助活动之外开展非独立核算经营活动发生的支出。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37.</w:t>
      </w:r>
      <w:r>
        <w:rPr>
          <w:rFonts w:ascii="Times New Roman" w:eastAsia="仿宋_GB2312" w:hAnsi="Times New Roman" w:cs="仿宋_GB2312" w:hint="eastAsia"/>
          <w:snapToGrid/>
          <w:color w:val="auto"/>
          <w:kern w:val="2"/>
          <w:sz w:val="32"/>
          <w:szCs w:val="32"/>
          <w:lang w:eastAsia="zh-CN"/>
        </w:rPr>
        <w:t>“三公”经费：指部门用财政拨款安排的因公出国（境）费、公务用车购置及运行费和公务接待费。其中，因公出国（境）</w:t>
      </w:r>
      <w:proofErr w:type="gramStart"/>
      <w:r>
        <w:rPr>
          <w:rFonts w:ascii="Times New Roman" w:eastAsia="仿宋_GB2312" w:hAnsi="Times New Roman" w:cs="仿宋_GB2312" w:hint="eastAsia"/>
          <w:snapToGrid/>
          <w:color w:val="auto"/>
          <w:kern w:val="2"/>
          <w:sz w:val="32"/>
          <w:szCs w:val="32"/>
          <w:lang w:eastAsia="zh-CN"/>
        </w:rPr>
        <w:t>费反映</w:t>
      </w:r>
      <w:proofErr w:type="gramEnd"/>
      <w:r>
        <w:rPr>
          <w:rFonts w:ascii="Times New Roman" w:eastAsia="仿宋_GB2312" w:hAnsi="Times New Roman" w:cs="仿宋_GB2312" w:hint="eastAsia"/>
          <w:snapToGrid/>
          <w:color w:val="auto"/>
          <w:kern w:val="2"/>
          <w:sz w:val="32"/>
          <w:szCs w:val="32"/>
          <w:lang w:eastAsia="zh-CN"/>
        </w:rPr>
        <w:t>单位公务出国（境）的国际旅费、国外城市间交通费、住宿费、伙食费、培训费、公杂费等支出；公务用车购置及运行</w:t>
      </w:r>
      <w:proofErr w:type="gramStart"/>
      <w:r>
        <w:rPr>
          <w:rFonts w:ascii="Times New Roman" w:eastAsia="仿宋_GB2312" w:hAnsi="Times New Roman" w:cs="仿宋_GB2312" w:hint="eastAsia"/>
          <w:snapToGrid/>
          <w:color w:val="auto"/>
          <w:kern w:val="2"/>
          <w:sz w:val="32"/>
          <w:szCs w:val="32"/>
          <w:lang w:eastAsia="zh-CN"/>
        </w:rPr>
        <w:t>费反映</w:t>
      </w:r>
      <w:proofErr w:type="gramEnd"/>
      <w:r>
        <w:rPr>
          <w:rFonts w:ascii="Times New Roman" w:eastAsia="仿宋_GB2312" w:hAnsi="Times New Roman" w:cs="仿宋_GB2312" w:hint="eastAsia"/>
          <w:snapToGrid/>
          <w:color w:val="auto"/>
          <w:kern w:val="2"/>
          <w:sz w:val="32"/>
          <w:szCs w:val="32"/>
          <w:lang w:eastAsia="zh-CN"/>
        </w:rPr>
        <w:t>单位公务用车车辆购置支出（</w:t>
      </w:r>
      <w:proofErr w:type="gramStart"/>
      <w:r>
        <w:rPr>
          <w:rFonts w:ascii="Times New Roman" w:eastAsia="仿宋_GB2312" w:hAnsi="Times New Roman" w:cs="仿宋_GB2312" w:hint="eastAsia"/>
          <w:snapToGrid/>
          <w:color w:val="auto"/>
          <w:kern w:val="2"/>
          <w:sz w:val="32"/>
          <w:szCs w:val="32"/>
          <w:lang w:eastAsia="zh-CN"/>
        </w:rPr>
        <w:t>含车辆</w:t>
      </w:r>
      <w:proofErr w:type="gramEnd"/>
      <w:r>
        <w:rPr>
          <w:rFonts w:ascii="Times New Roman" w:eastAsia="仿宋_GB2312" w:hAnsi="Times New Roman" w:cs="仿宋_GB2312" w:hint="eastAsia"/>
          <w:snapToGrid/>
          <w:color w:val="auto"/>
          <w:kern w:val="2"/>
          <w:sz w:val="32"/>
          <w:szCs w:val="32"/>
          <w:lang w:eastAsia="zh-CN"/>
        </w:rPr>
        <w:t>购置税）及租用费、燃料费、维修费、过路过桥费、保险费等支出；公务接待</w:t>
      </w:r>
      <w:proofErr w:type="gramStart"/>
      <w:r>
        <w:rPr>
          <w:rFonts w:ascii="Times New Roman" w:eastAsia="仿宋_GB2312" w:hAnsi="Times New Roman" w:cs="仿宋_GB2312" w:hint="eastAsia"/>
          <w:snapToGrid/>
          <w:color w:val="auto"/>
          <w:kern w:val="2"/>
          <w:sz w:val="32"/>
          <w:szCs w:val="32"/>
          <w:lang w:eastAsia="zh-CN"/>
        </w:rPr>
        <w:t>费反映</w:t>
      </w:r>
      <w:proofErr w:type="gramEnd"/>
      <w:r>
        <w:rPr>
          <w:rFonts w:ascii="Times New Roman" w:eastAsia="仿宋_GB2312" w:hAnsi="Times New Roman" w:cs="仿宋_GB2312" w:hint="eastAsia"/>
          <w:snapToGrid/>
          <w:color w:val="auto"/>
          <w:kern w:val="2"/>
          <w:sz w:val="32"/>
          <w:szCs w:val="32"/>
          <w:lang w:eastAsia="zh-CN"/>
        </w:rPr>
        <w:t>单位按规定开支的各类公务接待（含外宾接待）支出。</w:t>
      </w:r>
    </w:p>
    <w:p w:rsidR="004B0FC1" w:rsidRDefault="00A976D9">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color w:val="auto"/>
          <w:kern w:val="2"/>
          <w:sz w:val="32"/>
          <w:szCs w:val="32"/>
          <w:lang w:eastAsia="zh-CN"/>
        </w:rPr>
      </w:pPr>
      <w:r>
        <w:rPr>
          <w:rFonts w:ascii="Times New Roman" w:eastAsia="仿宋_GB2312" w:hAnsi="Times New Roman" w:cs="仿宋_GB2312" w:hint="eastAsia"/>
          <w:snapToGrid/>
          <w:color w:val="auto"/>
          <w:kern w:val="2"/>
          <w:sz w:val="32"/>
          <w:szCs w:val="32"/>
          <w:lang w:eastAsia="zh-CN"/>
        </w:rPr>
        <w:t>38.</w:t>
      </w:r>
      <w:r>
        <w:rPr>
          <w:rFonts w:ascii="Times New Roman" w:eastAsia="仿宋_GB2312" w:hAnsi="Times New Roman" w:cs="仿宋_GB2312" w:hint="eastAsia"/>
          <w:snapToGrid/>
          <w:color w:val="auto"/>
          <w:kern w:val="2"/>
          <w:sz w:val="32"/>
          <w:szCs w:val="32"/>
          <w:lang w:eastAsia="zh-CN"/>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物业管理费、公务用车运行维护费以及其他费用。</w:t>
      </w:r>
    </w:p>
    <w:p w:rsidR="004B0FC1" w:rsidRDefault="004B0FC1">
      <w:pPr>
        <w:widowControl w:val="0"/>
        <w:kinsoku/>
        <w:autoSpaceDE/>
        <w:autoSpaceDN/>
        <w:adjustRightInd/>
        <w:snapToGrid/>
        <w:spacing w:line="600" w:lineRule="exact"/>
        <w:ind w:firstLine="640"/>
        <w:jc w:val="both"/>
        <w:textAlignment w:val="auto"/>
        <w:rPr>
          <w:rFonts w:ascii="Times New Roman" w:eastAsia="仿宋_GB2312" w:hAnsi="Times New Roman" w:cs="仿宋_GB2312"/>
          <w:snapToGrid/>
          <w:kern w:val="2"/>
          <w:sz w:val="32"/>
          <w:szCs w:val="32"/>
          <w:lang w:eastAsia="zh-CN"/>
        </w:rPr>
        <w:sectPr w:rsidR="004B0FC1">
          <w:footerReference w:type="default" r:id="rId20"/>
          <w:pgSz w:w="11906" w:h="16838"/>
          <w:pgMar w:top="1431" w:right="1474" w:bottom="1435" w:left="1596" w:header="0" w:footer="1159" w:gutter="0"/>
          <w:cols w:space="720"/>
        </w:sectPr>
      </w:pPr>
    </w:p>
    <w:p w:rsidR="004B0FC1" w:rsidRDefault="004B0FC1">
      <w:pPr>
        <w:spacing w:before="232" w:line="360" w:lineRule="auto"/>
        <w:ind w:left="654"/>
        <w:rPr>
          <w:rFonts w:ascii="仿宋_GB2312" w:eastAsia="仿宋_GB2312" w:hAnsi="仿宋_GB2312" w:cs="仿宋_GB2312"/>
          <w:sz w:val="31"/>
          <w:szCs w:val="31"/>
          <w:lang w:eastAsia="zh-CN"/>
        </w:rPr>
        <w:sectPr w:rsidR="004B0FC1">
          <w:type w:val="continuous"/>
          <w:pgSz w:w="11906" w:h="16838"/>
          <w:pgMar w:top="1431" w:right="1399" w:bottom="1432" w:left="1602" w:header="0" w:footer="1157" w:gutter="0"/>
          <w:cols w:space="720" w:equalWidth="0">
            <w:col w:w="8904"/>
          </w:cols>
        </w:sectPr>
      </w:pPr>
    </w:p>
    <w:p w:rsidR="004B0FC1" w:rsidRDefault="00A976D9">
      <w:pPr>
        <w:spacing w:line="600" w:lineRule="exact"/>
        <w:jc w:val="center"/>
        <w:outlineLvl w:val="0"/>
        <w:rPr>
          <w:rStyle w:val="1Char"/>
          <w:rFonts w:eastAsia="黑体"/>
          <w:b w:val="0"/>
          <w:lang w:eastAsia="zh-CN"/>
        </w:rPr>
      </w:pPr>
      <w:bookmarkStart w:id="53" w:name="bookmark40"/>
      <w:bookmarkStart w:id="54" w:name="_Toc15396614"/>
      <w:bookmarkStart w:id="55" w:name="_Toc23475"/>
      <w:bookmarkEnd w:id="53"/>
      <w:r>
        <w:rPr>
          <w:rFonts w:eastAsia="黑体" w:hint="eastAsia"/>
          <w:sz w:val="44"/>
          <w:szCs w:val="44"/>
          <w:lang w:eastAsia="zh-CN"/>
        </w:rPr>
        <w:lastRenderedPageBreak/>
        <w:t>第四部分</w:t>
      </w:r>
      <w:r>
        <w:rPr>
          <w:rFonts w:eastAsia="黑体" w:hint="eastAsia"/>
          <w:sz w:val="44"/>
          <w:szCs w:val="44"/>
          <w:lang w:eastAsia="zh-CN"/>
        </w:rPr>
        <w:t xml:space="preserve">  </w:t>
      </w:r>
      <w:r>
        <w:rPr>
          <w:rFonts w:eastAsia="黑体" w:hint="eastAsia"/>
          <w:sz w:val="44"/>
          <w:szCs w:val="44"/>
          <w:lang w:eastAsia="zh-CN"/>
        </w:rPr>
        <w:t>附件</w:t>
      </w:r>
      <w:bookmarkEnd w:id="54"/>
      <w:bookmarkEnd w:id="55"/>
    </w:p>
    <w:p w:rsidR="004B0FC1" w:rsidRDefault="00A976D9">
      <w:pPr>
        <w:spacing w:before="159" w:line="360" w:lineRule="auto"/>
        <w:ind w:left="28"/>
        <w:rPr>
          <w:rFonts w:ascii="Times New Roman" w:eastAsia="Times New Roman" w:hAnsi="Times New Roman" w:cs="Times New Roman"/>
          <w:spacing w:val="-6"/>
          <w:sz w:val="31"/>
          <w:szCs w:val="31"/>
          <w:lang w:eastAsia="zh-CN"/>
        </w:rPr>
      </w:pPr>
      <w:r>
        <w:rPr>
          <w:rFonts w:ascii="仿宋_GB2312" w:eastAsia="仿宋_GB2312" w:hAnsi="仿宋_GB2312" w:cs="仿宋_GB2312"/>
          <w:spacing w:val="-6"/>
          <w:sz w:val="31"/>
          <w:szCs w:val="31"/>
          <w:lang w:eastAsia="zh-CN"/>
        </w:rPr>
        <w:t>附件</w:t>
      </w:r>
      <w:r>
        <w:rPr>
          <w:rFonts w:ascii="Times New Roman" w:eastAsia="Times New Roman" w:hAnsi="Times New Roman" w:cs="Times New Roman"/>
          <w:spacing w:val="-6"/>
          <w:sz w:val="31"/>
          <w:szCs w:val="31"/>
          <w:lang w:eastAsia="zh-CN"/>
        </w:rPr>
        <w:t>1</w:t>
      </w:r>
    </w:p>
    <w:p w:rsidR="004B0FC1" w:rsidRDefault="004B0FC1">
      <w:pPr>
        <w:pStyle w:val="a0"/>
        <w:rPr>
          <w:lang w:eastAsia="zh-CN"/>
        </w:rPr>
      </w:pPr>
    </w:p>
    <w:p w:rsidR="004B0FC1" w:rsidRDefault="00A976D9">
      <w:pPr>
        <w:kinsoku/>
        <w:autoSpaceDE/>
        <w:autoSpaceDN/>
        <w:adjustRightInd/>
        <w:snapToGrid/>
        <w:spacing w:line="578" w:lineRule="exact"/>
        <w:contextualSpacing/>
        <w:jc w:val="center"/>
        <w:textAlignment w:val="auto"/>
        <w:rPr>
          <w:rFonts w:ascii="Times New Roman" w:eastAsia="方正小标宋简体" w:hAnsi="Times New Roman" w:cs="Times New Roman"/>
          <w:bCs/>
          <w:snapToGrid/>
          <w:kern w:val="2"/>
          <w:sz w:val="44"/>
          <w:szCs w:val="44"/>
          <w:shd w:val="clear" w:color="auto" w:fill="FFFFFF"/>
          <w:lang w:eastAsia="zh-CN"/>
        </w:rPr>
      </w:pPr>
      <w:r>
        <w:rPr>
          <w:rFonts w:ascii="Times New Roman" w:eastAsia="方正小标宋简体" w:hAnsi="Times New Roman" w:cs="Times New Roman"/>
          <w:bCs/>
          <w:snapToGrid/>
          <w:kern w:val="2"/>
          <w:sz w:val="44"/>
          <w:szCs w:val="44"/>
          <w:shd w:val="clear" w:color="auto" w:fill="FFFFFF"/>
          <w:lang w:eastAsia="zh-CN"/>
        </w:rPr>
        <w:t>攀枝花市市场监督管理局部门预算</w:t>
      </w:r>
    </w:p>
    <w:p w:rsidR="004B0FC1" w:rsidRDefault="00A976D9">
      <w:pPr>
        <w:kinsoku/>
        <w:autoSpaceDE/>
        <w:autoSpaceDN/>
        <w:adjustRightInd/>
        <w:snapToGrid/>
        <w:spacing w:line="578" w:lineRule="exact"/>
        <w:contextualSpacing/>
        <w:jc w:val="center"/>
        <w:textAlignment w:val="auto"/>
        <w:rPr>
          <w:rFonts w:ascii="Times New Roman" w:eastAsia="方正小标宋简体" w:hAnsi="Times New Roman" w:cs="Times New Roman"/>
          <w:bCs/>
          <w:snapToGrid/>
          <w:kern w:val="2"/>
          <w:sz w:val="44"/>
          <w:szCs w:val="44"/>
          <w:shd w:val="clear" w:color="auto" w:fill="FFFFFF"/>
          <w:lang w:eastAsia="zh-CN"/>
        </w:rPr>
      </w:pPr>
      <w:r>
        <w:rPr>
          <w:rFonts w:ascii="Times New Roman" w:eastAsia="方正小标宋简体" w:hAnsi="Times New Roman" w:cs="Times New Roman"/>
          <w:bCs/>
          <w:snapToGrid/>
          <w:kern w:val="2"/>
          <w:sz w:val="44"/>
          <w:szCs w:val="44"/>
          <w:shd w:val="clear" w:color="auto" w:fill="FFFFFF"/>
          <w:lang w:eastAsia="zh-CN"/>
        </w:rPr>
        <w:t>绩效评价报告</w:t>
      </w:r>
    </w:p>
    <w:p w:rsidR="004B0FC1" w:rsidRDefault="004B0FC1">
      <w:pPr>
        <w:kinsoku/>
        <w:autoSpaceDE/>
        <w:autoSpaceDN/>
        <w:adjustRightInd/>
        <w:snapToGrid/>
        <w:spacing w:line="578" w:lineRule="exact"/>
        <w:contextualSpacing/>
        <w:jc w:val="both"/>
        <w:textAlignment w:val="auto"/>
        <w:rPr>
          <w:lang w:eastAsia="zh-CN"/>
        </w:rPr>
      </w:pPr>
    </w:p>
    <w:p w:rsidR="004B0FC1" w:rsidRDefault="00A976D9">
      <w:pPr>
        <w:kinsoku/>
        <w:autoSpaceDE/>
        <w:autoSpaceDN/>
        <w:spacing w:line="578" w:lineRule="exact"/>
        <w:ind w:firstLineChars="200" w:firstLine="640"/>
        <w:contextualSpacing/>
        <w:textAlignment w:val="auto"/>
        <w:rPr>
          <w:rFonts w:ascii="Times New Roman" w:eastAsia="黑体" w:hAnsi="Times New Roman" w:cs="Times New Roman"/>
          <w:snapToGrid/>
          <w:sz w:val="32"/>
          <w:szCs w:val="32"/>
          <w:shd w:val="clear" w:color="auto" w:fill="FFFFFF"/>
          <w:lang w:val="zh-CN" w:eastAsia="zh-CN"/>
        </w:rPr>
      </w:pPr>
      <w:r>
        <w:rPr>
          <w:rFonts w:ascii="Times New Roman" w:eastAsia="黑体" w:hAnsi="Times New Roman" w:cs="Times New Roman" w:hint="eastAsia"/>
          <w:snapToGrid/>
          <w:sz w:val="32"/>
          <w:szCs w:val="32"/>
          <w:shd w:val="clear" w:color="auto" w:fill="FFFFFF"/>
          <w:lang w:val="zh-CN" w:eastAsia="zh-CN"/>
        </w:rPr>
        <w:t>一、部门（单位）基本情况</w:t>
      </w:r>
    </w:p>
    <w:p w:rsidR="004B0FC1" w:rsidRDefault="00A976D9" w:rsidP="0061664C">
      <w:pPr>
        <w:kinsoku/>
        <w:autoSpaceDE/>
        <w:autoSpaceDN/>
        <w:spacing w:line="578" w:lineRule="exact"/>
        <w:ind w:firstLineChars="200" w:firstLine="641"/>
        <w:contextualSpacing/>
        <w:textAlignment w:val="auto"/>
        <w:rPr>
          <w:rFonts w:ascii="Times New Roman" w:eastAsia="楷体_GB2312" w:hAnsi="Times New Roman" w:cs="楷体_GB2312"/>
          <w:b/>
          <w:snapToGrid/>
          <w:color w:val="auto"/>
          <w:kern w:val="2"/>
          <w:sz w:val="32"/>
          <w:szCs w:val="32"/>
          <w:lang w:val="zh-CN" w:eastAsia="zh-CN"/>
        </w:rPr>
      </w:pPr>
      <w:r>
        <w:rPr>
          <w:rFonts w:ascii="Times New Roman" w:eastAsia="楷体_GB2312" w:hAnsi="Times New Roman" w:cs="楷体_GB2312" w:hint="eastAsia"/>
          <w:b/>
          <w:snapToGrid/>
          <w:color w:val="auto"/>
          <w:kern w:val="2"/>
          <w:sz w:val="32"/>
          <w:szCs w:val="32"/>
          <w:lang w:val="zh-CN" w:eastAsia="zh-CN"/>
        </w:rPr>
        <w:t>（一）机构组成。</w:t>
      </w:r>
      <w:bookmarkStart w:id="56" w:name="OLE_LINK2"/>
      <w:bookmarkStart w:id="57" w:name="OLE_LINK1"/>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eastAsia="zh-CN"/>
        </w:rPr>
      </w:pPr>
      <w:r>
        <w:rPr>
          <w:rFonts w:ascii="Times New Roman" w:eastAsia="仿宋_GB2312" w:hAnsi="Times New Roman" w:cs="Times New Roman" w:hint="eastAsia"/>
          <w:snapToGrid/>
          <w:kern w:val="2"/>
          <w:sz w:val="32"/>
          <w:szCs w:val="32"/>
          <w:lang w:eastAsia="zh-CN"/>
        </w:rPr>
        <w:t>市市场监管局</w:t>
      </w:r>
      <w:bookmarkEnd w:id="56"/>
      <w:bookmarkEnd w:id="57"/>
      <w:r>
        <w:rPr>
          <w:rFonts w:ascii="Times New Roman" w:eastAsia="仿宋_GB2312" w:hAnsi="Times New Roman" w:cs="Times New Roman" w:hint="eastAsia"/>
          <w:snapToGrid/>
          <w:kern w:val="2"/>
          <w:sz w:val="32"/>
          <w:szCs w:val="32"/>
          <w:lang w:eastAsia="zh-CN"/>
        </w:rPr>
        <w:t>部门下属独立核算二级单位</w:t>
      </w:r>
      <w:r>
        <w:rPr>
          <w:rFonts w:ascii="Times New Roman" w:eastAsia="仿宋_GB2312" w:hAnsi="Times New Roman" w:cs="Times New Roman" w:hint="eastAsia"/>
          <w:snapToGrid/>
          <w:kern w:val="2"/>
          <w:sz w:val="32"/>
          <w:szCs w:val="32"/>
          <w:lang w:eastAsia="zh-CN"/>
        </w:rPr>
        <w:t>2</w:t>
      </w:r>
      <w:r>
        <w:rPr>
          <w:rFonts w:ascii="Times New Roman" w:eastAsia="仿宋_GB2312" w:hAnsi="Times New Roman" w:cs="Times New Roman" w:hint="eastAsia"/>
          <w:snapToGrid/>
          <w:kern w:val="2"/>
          <w:sz w:val="32"/>
          <w:szCs w:val="32"/>
          <w:lang w:eastAsia="zh-CN"/>
        </w:rPr>
        <w:t>个，其中：行政单位</w:t>
      </w:r>
      <w:r>
        <w:rPr>
          <w:rFonts w:ascii="Times New Roman" w:eastAsia="仿宋_GB2312" w:hAnsi="Times New Roman" w:cs="Times New Roman" w:hint="eastAsia"/>
          <w:snapToGrid/>
          <w:kern w:val="2"/>
          <w:sz w:val="32"/>
          <w:szCs w:val="32"/>
          <w:lang w:eastAsia="zh-CN"/>
        </w:rPr>
        <w:t>1</w:t>
      </w:r>
      <w:r>
        <w:rPr>
          <w:rFonts w:ascii="Times New Roman" w:eastAsia="仿宋_GB2312" w:hAnsi="Times New Roman" w:cs="Times New Roman" w:hint="eastAsia"/>
          <w:snapToGrid/>
          <w:kern w:val="2"/>
          <w:sz w:val="32"/>
          <w:szCs w:val="32"/>
          <w:lang w:eastAsia="zh-CN"/>
        </w:rPr>
        <w:t>个，攀枝花市市场监督管理局；事业单位</w:t>
      </w:r>
      <w:r>
        <w:rPr>
          <w:rFonts w:ascii="Times New Roman" w:eastAsia="仿宋_GB2312" w:hAnsi="Times New Roman" w:cs="Times New Roman" w:hint="eastAsia"/>
          <w:snapToGrid/>
          <w:kern w:val="2"/>
          <w:sz w:val="32"/>
          <w:szCs w:val="32"/>
          <w:lang w:eastAsia="zh-CN"/>
        </w:rPr>
        <w:t>1</w:t>
      </w:r>
      <w:r>
        <w:rPr>
          <w:rFonts w:ascii="Times New Roman" w:eastAsia="仿宋_GB2312" w:hAnsi="Times New Roman" w:cs="Times New Roman" w:hint="eastAsia"/>
          <w:snapToGrid/>
          <w:kern w:val="2"/>
          <w:sz w:val="32"/>
          <w:szCs w:val="32"/>
          <w:lang w:eastAsia="zh-CN"/>
        </w:rPr>
        <w:t>个，攀西钒钛检验检测院。下属非独立核算事业单位</w:t>
      </w:r>
      <w:r>
        <w:rPr>
          <w:rFonts w:ascii="Times New Roman" w:eastAsia="仿宋_GB2312" w:hAnsi="Times New Roman" w:cs="Times New Roman" w:hint="eastAsia"/>
          <w:snapToGrid/>
          <w:kern w:val="2"/>
          <w:sz w:val="32"/>
          <w:szCs w:val="32"/>
          <w:lang w:eastAsia="zh-CN"/>
        </w:rPr>
        <w:t>4</w:t>
      </w:r>
      <w:r>
        <w:rPr>
          <w:rFonts w:ascii="Times New Roman" w:eastAsia="仿宋_GB2312" w:hAnsi="Times New Roman" w:cs="Times New Roman" w:hint="eastAsia"/>
          <w:snapToGrid/>
          <w:kern w:val="2"/>
          <w:sz w:val="32"/>
          <w:szCs w:val="32"/>
          <w:lang w:eastAsia="zh-CN"/>
        </w:rPr>
        <w:t>个，分别是攀枝花市消费维权和个私经济指导服务中心、攀枝花市工商信息中心、攀枝花市特种设备远程监控中心、攀枝花市知识产权服务中心。</w:t>
      </w:r>
    </w:p>
    <w:p w:rsidR="004B0FC1" w:rsidRDefault="00A976D9" w:rsidP="0061664C">
      <w:pPr>
        <w:kinsoku/>
        <w:autoSpaceDE/>
        <w:autoSpaceDN/>
        <w:spacing w:line="578" w:lineRule="exact"/>
        <w:ind w:firstLineChars="200" w:firstLine="641"/>
        <w:contextualSpacing/>
        <w:textAlignment w:val="auto"/>
        <w:rPr>
          <w:rFonts w:ascii="Times New Roman" w:eastAsia="楷体_GB2312" w:hAnsi="Times New Roman" w:cs="楷体_GB2312"/>
          <w:b/>
          <w:snapToGrid/>
          <w:color w:val="auto"/>
          <w:kern w:val="2"/>
          <w:sz w:val="32"/>
          <w:szCs w:val="32"/>
          <w:lang w:val="zh-CN" w:eastAsia="zh-CN"/>
        </w:rPr>
      </w:pPr>
      <w:r>
        <w:rPr>
          <w:rFonts w:ascii="Times New Roman" w:eastAsia="楷体_GB2312" w:hAnsi="Times New Roman" w:cs="楷体_GB2312" w:hint="eastAsia"/>
          <w:b/>
          <w:snapToGrid/>
          <w:color w:val="auto"/>
          <w:kern w:val="2"/>
          <w:sz w:val="32"/>
          <w:szCs w:val="32"/>
          <w:lang w:val="zh-CN" w:eastAsia="zh-CN"/>
        </w:rPr>
        <w:t>（二）机构职能。</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eastAsia="zh-CN"/>
        </w:rPr>
      </w:pPr>
      <w:r>
        <w:rPr>
          <w:rFonts w:ascii="Times New Roman" w:eastAsia="仿宋_GB2312" w:hAnsi="Times New Roman" w:cs="Times New Roman" w:hint="eastAsia"/>
          <w:snapToGrid/>
          <w:kern w:val="2"/>
          <w:sz w:val="32"/>
          <w:szCs w:val="32"/>
          <w:lang w:eastAsia="zh-CN"/>
        </w:rPr>
        <w:t>负责全市从生产到流通到消费的全过程市场综合监督管理，着力为经济发展营造良好的市场环境。具体承担市场主体统一登记注册、市场秩序监督管理，负责宏观质量管理、产品质量安全监督管理，负责食品、药品、化妆品、医疗器械、特种设备安全监管，统一管理全市知识产权、计量、标准化、认证认可及检验检测等工作。</w:t>
      </w:r>
    </w:p>
    <w:p w:rsidR="004B0FC1" w:rsidRDefault="00A976D9" w:rsidP="0061664C">
      <w:pPr>
        <w:kinsoku/>
        <w:autoSpaceDE/>
        <w:autoSpaceDN/>
        <w:spacing w:line="578" w:lineRule="exact"/>
        <w:ind w:firstLineChars="200" w:firstLine="641"/>
        <w:contextualSpacing/>
        <w:textAlignment w:val="auto"/>
        <w:rPr>
          <w:rFonts w:ascii="Times New Roman" w:eastAsia="楷体_GB2312" w:hAnsi="Times New Roman" w:cs="楷体_GB2312"/>
          <w:b/>
          <w:snapToGrid/>
          <w:kern w:val="2"/>
          <w:sz w:val="32"/>
          <w:szCs w:val="32"/>
          <w:lang w:val="zh-CN" w:eastAsia="zh-CN"/>
        </w:rPr>
      </w:pPr>
      <w:r>
        <w:rPr>
          <w:rFonts w:ascii="Times New Roman" w:eastAsia="楷体_GB2312" w:hAnsi="Times New Roman" w:cs="楷体_GB2312" w:hint="eastAsia"/>
          <w:b/>
          <w:snapToGrid/>
          <w:kern w:val="2"/>
          <w:sz w:val="32"/>
          <w:szCs w:val="32"/>
          <w:lang w:val="zh-CN" w:eastAsia="zh-CN"/>
        </w:rPr>
        <w:t>（三）人员概况。</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eastAsia="zh-CN"/>
        </w:rPr>
      </w:pPr>
      <w:r>
        <w:rPr>
          <w:rFonts w:ascii="Times New Roman" w:eastAsia="仿宋_GB2312" w:hAnsi="Times New Roman" w:cs="Times New Roman" w:hint="eastAsia"/>
          <w:snapToGrid/>
          <w:kern w:val="2"/>
          <w:sz w:val="32"/>
          <w:szCs w:val="32"/>
          <w:lang w:eastAsia="zh-CN"/>
        </w:rPr>
        <w:t>截至</w:t>
      </w:r>
      <w:r>
        <w:rPr>
          <w:rFonts w:ascii="Times New Roman" w:eastAsia="仿宋_GB2312" w:hAnsi="Times New Roman" w:cs="Times New Roman" w:hint="eastAsia"/>
          <w:snapToGrid/>
          <w:kern w:val="2"/>
          <w:sz w:val="32"/>
          <w:szCs w:val="32"/>
          <w:lang w:eastAsia="zh-CN"/>
        </w:rPr>
        <w:t>2025</w:t>
      </w:r>
      <w:r>
        <w:rPr>
          <w:rFonts w:ascii="Times New Roman" w:eastAsia="仿宋_GB2312" w:hAnsi="Times New Roman" w:cs="Times New Roman" w:hint="eastAsia"/>
          <w:snapToGrid/>
          <w:kern w:val="2"/>
          <w:sz w:val="32"/>
          <w:szCs w:val="32"/>
          <w:lang w:eastAsia="zh-CN"/>
        </w:rPr>
        <w:t>年末，市市场监管局部门共有编制</w:t>
      </w:r>
      <w:r>
        <w:rPr>
          <w:rFonts w:ascii="Times New Roman" w:eastAsia="仿宋_GB2312" w:hAnsi="Times New Roman" w:cs="Times New Roman" w:hint="eastAsia"/>
          <w:snapToGrid/>
          <w:kern w:val="2"/>
          <w:sz w:val="32"/>
          <w:szCs w:val="32"/>
          <w:lang w:eastAsia="zh-CN"/>
        </w:rPr>
        <w:t>308</w:t>
      </w:r>
      <w:r>
        <w:rPr>
          <w:rFonts w:ascii="Times New Roman" w:eastAsia="仿宋_GB2312" w:hAnsi="Times New Roman" w:cs="Times New Roman" w:hint="eastAsia"/>
          <w:snapToGrid/>
          <w:kern w:val="2"/>
          <w:sz w:val="32"/>
          <w:szCs w:val="32"/>
          <w:lang w:eastAsia="zh-CN"/>
        </w:rPr>
        <w:t>名，其中：公务员</w:t>
      </w:r>
      <w:r>
        <w:rPr>
          <w:rFonts w:ascii="Times New Roman" w:eastAsia="仿宋_GB2312" w:hAnsi="Times New Roman" w:cs="Times New Roman" w:hint="eastAsia"/>
          <w:snapToGrid/>
          <w:kern w:val="2"/>
          <w:sz w:val="32"/>
          <w:szCs w:val="32"/>
          <w:lang w:eastAsia="zh-CN"/>
        </w:rPr>
        <w:t>92</w:t>
      </w:r>
      <w:r>
        <w:rPr>
          <w:rFonts w:ascii="Times New Roman" w:eastAsia="仿宋_GB2312" w:hAnsi="Times New Roman" w:cs="Times New Roman" w:hint="eastAsia"/>
          <w:snapToGrid/>
          <w:kern w:val="2"/>
          <w:sz w:val="32"/>
          <w:szCs w:val="32"/>
          <w:lang w:eastAsia="zh-CN"/>
        </w:rPr>
        <w:t>名、参照公务员法管理人员</w:t>
      </w:r>
      <w:r>
        <w:rPr>
          <w:rFonts w:ascii="Times New Roman" w:eastAsia="仿宋_GB2312" w:hAnsi="Times New Roman" w:cs="Times New Roman" w:hint="eastAsia"/>
          <w:snapToGrid/>
          <w:kern w:val="2"/>
          <w:sz w:val="32"/>
          <w:szCs w:val="32"/>
          <w:lang w:eastAsia="zh-CN"/>
        </w:rPr>
        <w:t>12</w:t>
      </w:r>
      <w:r>
        <w:rPr>
          <w:rFonts w:ascii="Times New Roman" w:eastAsia="仿宋_GB2312" w:hAnsi="Times New Roman" w:cs="Times New Roman" w:hint="eastAsia"/>
          <w:snapToGrid/>
          <w:kern w:val="2"/>
          <w:sz w:val="32"/>
          <w:szCs w:val="32"/>
          <w:lang w:eastAsia="zh-CN"/>
        </w:rPr>
        <w:t>名、事业管理人员和专</w:t>
      </w:r>
      <w:r>
        <w:rPr>
          <w:rFonts w:ascii="Times New Roman" w:eastAsia="仿宋_GB2312" w:hAnsi="Times New Roman" w:cs="Times New Roman" w:hint="eastAsia"/>
          <w:snapToGrid/>
          <w:kern w:val="2"/>
          <w:sz w:val="32"/>
          <w:szCs w:val="32"/>
          <w:lang w:eastAsia="zh-CN"/>
        </w:rPr>
        <w:lastRenderedPageBreak/>
        <w:t>业技术人员</w:t>
      </w:r>
      <w:r>
        <w:rPr>
          <w:rFonts w:ascii="Times New Roman" w:eastAsia="仿宋_GB2312" w:hAnsi="Times New Roman" w:cs="Times New Roman" w:hint="eastAsia"/>
          <w:snapToGrid/>
          <w:kern w:val="2"/>
          <w:sz w:val="32"/>
          <w:szCs w:val="32"/>
          <w:lang w:eastAsia="zh-CN"/>
        </w:rPr>
        <w:t>180</w:t>
      </w:r>
      <w:r>
        <w:rPr>
          <w:rFonts w:ascii="Times New Roman" w:eastAsia="仿宋_GB2312" w:hAnsi="Times New Roman" w:cs="Times New Roman" w:hint="eastAsia"/>
          <w:snapToGrid/>
          <w:kern w:val="2"/>
          <w:sz w:val="32"/>
          <w:szCs w:val="32"/>
          <w:lang w:eastAsia="zh-CN"/>
        </w:rPr>
        <w:t>名，机关和事业工人</w:t>
      </w:r>
      <w:r>
        <w:rPr>
          <w:rFonts w:ascii="Times New Roman" w:eastAsia="仿宋_GB2312" w:hAnsi="Times New Roman" w:cs="Times New Roman" w:hint="eastAsia"/>
          <w:snapToGrid/>
          <w:kern w:val="2"/>
          <w:sz w:val="32"/>
          <w:szCs w:val="32"/>
          <w:lang w:eastAsia="zh-CN"/>
        </w:rPr>
        <w:t>24</w:t>
      </w:r>
      <w:r>
        <w:rPr>
          <w:rFonts w:ascii="Times New Roman" w:eastAsia="仿宋_GB2312" w:hAnsi="Times New Roman" w:cs="Times New Roman" w:hint="eastAsia"/>
          <w:snapToGrid/>
          <w:kern w:val="2"/>
          <w:sz w:val="32"/>
          <w:szCs w:val="32"/>
          <w:lang w:eastAsia="zh-CN"/>
        </w:rPr>
        <w:t>名。年末实有人数</w:t>
      </w:r>
      <w:r>
        <w:rPr>
          <w:rFonts w:ascii="Times New Roman" w:eastAsia="仿宋_GB2312" w:hAnsi="Times New Roman" w:cs="Times New Roman" w:hint="eastAsia"/>
          <w:snapToGrid/>
          <w:kern w:val="2"/>
          <w:sz w:val="32"/>
          <w:szCs w:val="32"/>
          <w:lang w:eastAsia="zh-CN"/>
        </w:rPr>
        <w:t>296</w:t>
      </w:r>
      <w:r>
        <w:rPr>
          <w:rFonts w:ascii="Times New Roman" w:eastAsia="仿宋_GB2312" w:hAnsi="Times New Roman" w:cs="Times New Roman" w:hint="eastAsia"/>
          <w:snapToGrid/>
          <w:kern w:val="2"/>
          <w:sz w:val="32"/>
          <w:szCs w:val="32"/>
          <w:lang w:eastAsia="zh-CN"/>
        </w:rPr>
        <w:t>名，其中：公务员</w:t>
      </w:r>
      <w:r>
        <w:rPr>
          <w:rFonts w:ascii="Times New Roman" w:eastAsia="仿宋_GB2312" w:hAnsi="Times New Roman" w:cs="Times New Roman" w:hint="eastAsia"/>
          <w:snapToGrid/>
          <w:kern w:val="2"/>
          <w:sz w:val="32"/>
          <w:szCs w:val="32"/>
          <w:lang w:eastAsia="zh-CN"/>
        </w:rPr>
        <w:t>103</w:t>
      </w:r>
      <w:r>
        <w:rPr>
          <w:rFonts w:ascii="Times New Roman" w:eastAsia="仿宋_GB2312" w:hAnsi="Times New Roman" w:cs="Times New Roman" w:hint="eastAsia"/>
          <w:snapToGrid/>
          <w:kern w:val="2"/>
          <w:sz w:val="32"/>
          <w:szCs w:val="32"/>
          <w:lang w:eastAsia="zh-CN"/>
        </w:rPr>
        <w:t>名，参照公务员法管理人员</w:t>
      </w:r>
      <w:r>
        <w:rPr>
          <w:rFonts w:ascii="Times New Roman" w:eastAsia="仿宋_GB2312" w:hAnsi="Times New Roman" w:cs="Times New Roman" w:hint="eastAsia"/>
          <w:snapToGrid/>
          <w:kern w:val="2"/>
          <w:sz w:val="32"/>
          <w:szCs w:val="32"/>
          <w:lang w:eastAsia="zh-CN"/>
        </w:rPr>
        <w:t>12</w:t>
      </w:r>
      <w:r>
        <w:rPr>
          <w:rFonts w:ascii="Times New Roman" w:eastAsia="仿宋_GB2312" w:hAnsi="Times New Roman" w:cs="Times New Roman" w:hint="eastAsia"/>
          <w:snapToGrid/>
          <w:kern w:val="2"/>
          <w:sz w:val="32"/>
          <w:szCs w:val="32"/>
          <w:lang w:eastAsia="zh-CN"/>
        </w:rPr>
        <w:t>名、事业管理人员和专业技术人员</w:t>
      </w:r>
      <w:r>
        <w:rPr>
          <w:rFonts w:ascii="Times New Roman" w:eastAsia="仿宋_GB2312" w:hAnsi="Times New Roman" w:cs="Times New Roman" w:hint="eastAsia"/>
          <w:snapToGrid/>
          <w:kern w:val="2"/>
          <w:sz w:val="32"/>
          <w:szCs w:val="32"/>
          <w:lang w:eastAsia="zh-CN"/>
        </w:rPr>
        <w:t>160</w:t>
      </w:r>
      <w:r>
        <w:rPr>
          <w:rFonts w:ascii="Times New Roman" w:eastAsia="仿宋_GB2312" w:hAnsi="Times New Roman" w:cs="Times New Roman" w:hint="eastAsia"/>
          <w:snapToGrid/>
          <w:kern w:val="2"/>
          <w:sz w:val="32"/>
          <w:szCs w:val="32"/>
          <w:lang w:eastAsia="zh-CN"/>
        </w:rPr>
        <w:t>名，机关和事业工人</w:t>
      </w:r>
      <w:r>
        <w:rPr>
          <w:rFonts w:ascii="Times New Roman" w:eastAsia="仿宋_GB2312" w:hAnsi="Times New Roman" w:cs="Times New Roman" w:hint="eastAsia"/>
          <w:snapToGrid/>
          <w:kern w:val="2"/>
          <w:sz w:val="32"/>
          <w:szCs w:val="32"/>
          <w:lang w:eastAsia="zh-CN"/>
        </w:rPr>
        <w:t>21</w:t>
      </w:r>
      <w:r>
        <w:rPr>
          <w:rFonts w:ascii="Times New Roman" w:eastAsia="仿宋_GB2312" w:hAnsi="Times New Roman" w:cs="Times New Roman" w:hint="eastAsia"/>
          <w:snapToGrid/>
          <w:kern w:val="2"/>
          <w:sz w:val="32"/>
          <w:szCs w:val="32"/>
          <w:lang w:eastAsia="zh-CN"/>
        </w:rPr>
        <w:t>名。</w:t>
      </w:r>
    </w:p>
    <w:p w:rsidR="004B0FC1" w:rsidRDefault="00A976D9">
      <w:pPr>
        <w:kinsoku/>
        <w:autoSpaceDE/>
        <w:autoSpaceDN/>
        <w:spacing w:line="578" w:lineRule="exact"/>
        <w:ind w:firstLineChars="200" w:firstLine="640"/>
        <w:contextualSpacing/>
        <w:textAlignment w:val="auto"/>
        <w:rPr>
          <w:rFonts w:ascii="Times New Roman" w:eastAsia="黑体" w:hAnsi="Times New Roman" w:cs="Times New Roman"/>
          <w:snapToGrid/>
          <w:sz w:val="32"/>
          <w:szCs w:val="32"/>
          <w:shd w:val="clear" w:color="auto" w:fill="FFFFFF"/>
          <w:lang w:val="zh-CN" w:eastAsia="zh-CN"/>
        </w:rPr>
      </w:pPr>
      <w:r>
        <w:rPr>
          <w:rFonts w:ascii="Times New Roman" w:eastAsia="黑体" w:hAnsi="Times New Roman" w:cs="Times New Roman" w:hint="eastAsia"/>
          <w:snapToGrid/>
          <w:sz w:val="32"/>
          <w:szCs w:val="32"/>
          <w:shd w:val="clear" w:color="auto" w:fill="FFFFFF"/>
          <w:lang w:val="zh-CN" w:eastAsia="zh-CN"/>
        </w:rPr>
        <w:t>二、部门资金收支情况</w:t>
      </w:r>
    </w:p>
    <w:p w:rsidR="004B0FC1" w:rsidRDefault="00A976D9" w:rsidP="0061664C">
      <w:pPr>
        <w:kinsoku/>
        <w:autoSpaceDE/>
        <w:autoSpaceDN/>
        <w:spacing w:line="578" w:lineRule="exact"/>
        <w:ind w:firstLineChars="200" w:firstLine="641"/>
        <w:contextualSpacing/>
        <w:textAlignment w:val="auto"/>
        <w:rPr>
          <w:rFonts w:ascii="Times New Roman" w:eastAsia="楷体_GB2312" w:hAnsi="Times New Roman" w:cs="楷体_GB2312"/>
          <w:b/>
          <w:snapToGrid/>
          <w:kern w:val="2"/>
          <w:sz w:val="32"/>
          <w:szCs w:val="32"/>
          <w:lang w:val="zh-CN" w:eastAsia="zh-CN"/>
        </w:rPr>
      </w:pPr>
      <w:r>
        <w:rPr>
          <w:rFonts w:ascii="Times New Roman" w:eastAsia="楷体_GB2312" w:hAnsi="Times New Roman" w:cs="楷体_GB2312" w:hint="eastAsia"/>
          <w:b/>
          <w:snapToGrid/>
          <w:kern w:val="2"/>
          <w:sz w:val="32"/>
          <w:szCs w:val="32"/>
          <w:lang w:val="zh-CN" w:eastAsia="zh-CN"/>
        </w:rPr>
        <w:t>（一）收入情况。</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eastAsia="zh-CN"/>
        </w:rPr>
      </w:pPr>
      <w:r>
        <w:rPr>
          <w:rFonts w:ascii="Times New Roman" w:eastAsia="仿宋_GB2312" w:hAnsi="Times New Roman" w:cs="Times New Roman" w:hint="eastAsia"/>
          <w:snapToGrid/>
          <w:kern w:val="2"/>
          <w:sz w:val="32"/>
          <w:szCs w:val="32"/>
          <w:lang w:eastAsia="zh-CN"/>
        </w:rPr>
        <w:t>市市场监管局部门</w:t>
      </w:r>
      <w:r>
        <w:rPr>
          <w:rFonts w:ascii="Times New Roman" w:eastAsia="仿宋_GB2312" w:hAnsi="Times New Roman" w:cs="Times New Roman" w:hint="eastAsia"/>
          <w:snapToGrid/>
          <w:kern w:val="2"/>
          <w:sz w:val="32"/>
          <w:szCs w:val="32"/>
          <w:lang w:eastAsia="zh-CN"/>
        </w:rPr>
        <w:t>2025</w:t>
      </w:r>
      <w:r>
        <w:rPr>
          <w:rFonts w:ascii="Times New Roman" w:eastAsia="仿宋_GB2312" w:hAnsi="Times New Roman" w:cs="Times New Roman" w:hint="eastAsia"/>
          <w:snapToGrid/>
          <w:kern w:val="2"/>
          <w:sz w:val="32"/>
          <w:szCs w:val="32"/>
          <w:lang w:eastAsia="zh-CN"/>
        </w:rPr>
        <w:t>年年初预算收入</w:t>
      </w:r>
      <w:r>
        <w:rPr>
          <w:rFonts w:ascii="Times New Roman" w:eastAsia="仿宋_GB2312" w:hAnsi="Times New Roman" w:cs="Times New Roman" w:hint="eastAsia"/>
          <w:snapToGrid/>
          <w:kern w:val="2"/>
          <w:sz w:val="32"/>
          <w:szCs w:val="32"/>
          <w:lang w:eastAsia="zh-CN"/>
        </w:rPr>
        <w:t>8984.21</w:t>
      </w:r>
      <w:r>
        <w:rPr>
          <w:rFonts w:ascii="Times New Roman" w:eastAsia="仿宋_GB2312" w:hAnsi="Times New Roman" w:cs="Times New Roman" w:hint="eastAsia"/>
          <w:snapToGrid/>
          <w:kern w:val="2"/>
          <w:sz w:val="32"/>
          <w:szCs w:val="32"/>
          <w:lang w:eastAsia="zh-CN"/>
        </w:rPr>
        <w:t>万元，其中</w:t>
      </w:r>
      <w:r>
        <w:rPr>
          <w:rFonts w:ascii="Times New Roman" w:eastAsia="仿宋_GB2312" w:hAnsi="Times New Roman" w:cs="Times New Roman" w:hint="eastAsia"/>
          <w:snapToGrid/>
          <w:kern w:val="2"/>
          <w:sz w:val="32"/>
          <w:szCs w:val="32"/>
          <w:lang w:eastAsia="zh-CN"/>
        </w:rPr>
        <w:t>:</w:t>
      </w:r>
      <w:r>
        <w:rPr>
          <w:rFonts w:ascii="Times New Roman" w:eastAsia="仿宋_GB2312" w:hAnsi="Times New Roman" w:cs="Times New Roman" w:hint="eastAsia"/>
          <w:snapToGrid/>
          <w:kern w:val="2"/>
          <w:sz w:val="32"/>
          <w:szCs w:val="32"/>
          <w:lang w:eastAsia="zh-CN"/>
        </w:rPr>
        <w:t>一般公共预算财政拨款收入</w:t>
      </w:r>
      <w:r>
        <w:rPr>
          <w:rFonts w:ascii="Times New Roman" w:eastAsia="仿宋_GB2312" w:hAnsi="Times New Roman" w:cs="Times New Roman" w:hint="eastAsia"/>
          <w:snapToGrid/>
          <w:kern w:val="2"/>
          <w:sz w:val="32"/>
          <w:szCs w:val="32"/>
          <w:lang w:eastAsia="zh-CN"/>
        </w:rPr>
        <w:t>6484.21</w:t>
      </w:r>
      <w:r>
        <w:rPr>
          <w:rFonts w:ascii="Times New Roman" w:eastAsia="仿宋_GB2312" w:hAnsi="Times New Roman" w:cs="Times New Roman" w:hint="eastAsia"/>
          <w:snapToGrid/>
          <w:kern w:val="2"/>
          <w:sz w:val="32"/>
          <w:szCs w:val="32"/>
          <w:lang w:eastAsia="zh-CN"/>
        </w:rPr>
        <w:t>万元，经营收入</w:t>
      </w:r>
      <w:r>
        <w:rPr>
          <w:rFonts w:ascii="Times New Roman" w:eastAsia="仿宋_GB2312" w:hAnsi="Times New Roman" w:cs="Times New Roman" w:hint="eastAsia"/>
          <w:snapToGrid/>
          <w:kern w:val="2"/>
          <w:sz w:val="32"/>
          <w:szCs w:val="32"/>
          <w:lang w:eastAsia="zh-CN"/>
        </w:rPr>
        <w:t>2500</w:t>
      </w:r>
      <w:r>
        <w:rPr>
          <w:rFonts w:ascii="Times New Roman" w:eastAsia="仿宋_GB2312" w:hAnsi="Times New Roman" w:cs="Times New Roman" w:hint="eastAsia"/>
          <w:snapToGrid/>
          <w:kern w:val="2"/>
          <w:sz w:val="32"/>
          <w:szCs w:val="32"/>
          <w:lang w:eastAsia="zh-CN"/>
        </w:rPr>
        <w:t>万元。</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eastAsia="zh-CN"/>
        </w:rPr>
      </w:pPr>
      <w:r>
        <w:rPr>
          <w:rFonts w:ascii="Times New Roman" w:eastAsia="仿宋_GB2312" w:hAnsi="Times New Roman" w:cs="Times New Roman" w:hint="eastAsia"/>
          <w:snapToGrid/>
          <w:kern w:val="2"/>
          <w:sz w:val="32"/>
          <w:szCs w:val="32"/>
          <w:lang w:eastAsia="zh-CN"/>
        </w:rPr>
        <w:t>市市场监管局部门</w:t>
      </w:r>
      <w:r>
        <w:rPr>
          <w:rFonts w:ascii="Times New Roman" w:eastAsia="仿宋_GB2312" w:hAnsi="Times New Roman" w:cs="Times New Roman" w:hint="eastAsia"/>
          <w:snapToGrid/>
          <w:kern w:val="2"/>
          <w:sz w:val="32"/>
          <w:szCs w:val="32"/>
          <w:lang w:eastAsia="zh-CN"/>
        </w:rPr>
        <w:t>2025</w:t>
      </w:r>
      <w:r>
        <w:rPr>
          <w:rFonts w:ascii="Times New Roman" w:eastAsia="仿宋_GB2312" w:hAnsi="Times New Roman" w:cs="Times New Roman" w:hint="eastAsia"/>
          <w:snapToGrid/>
          <w:kern w:val="2"/>
          <w:sz w:val="32"/>
          <w:szCs w:val="32"/>
          <w:lang w:eastAsia="zh-CN"/>
        </w:rPr>
        <w:t>年决算报表收入</w:t>
      </w:r>
      <w:r>
        <w:rPr>
          <w:rFonts w:ascii="Times New Roman" w:eastAsia="仿宋_GB2312" w:hAnsi="Times New Roman" w:cs="Times New Roman" w:hint="eastAsia"/>
          <w:snapToGrid/>
          <w:kern w:val="2"/>
          <w:sz w:val="32"/>
          <w:szCs w:val="32"/>
          <w:lang w:eastAsia="zh-CN"/>
        </w:rPr>
        <w:t>10201.1</w:t>
      </w:r>
      <w:r>
        <w:rPr>
          <w:rFonts w:ascii="Times New Roman" w:eastAsia="仿宋_GB2312" w:hAnsi="Times New Roman" w:cs="Times New Roman" w:hint="eastAsia"/>
          <w:snapToGrid/>
          <w:kern w:val="2"/>
          <w:sz w:val="32"/>
          <w:szCs w:val="32"/>
          <w:lang w:eastAsia="zh-CN"/>
        </w:rPr>
        <w:t>万元，其中</w:t>
      </w:r>
      <w:r>
        <w:rPr>
          <w:rFonts w:ascii="Times New Roman" w:eastAsia="仿宋_GB2312" w:hAnsi="Times New Roman" w:cs="Times New Roman" w:hint="eastAsia"/>
          <w:snapToGrid/>
          <w:kern w:val="2"/>
          <w:sz w:val="32"/>
          <w:szCs w:val="32"/>
          <w:lang w:eastAsia="zh-CN"/>
        </w:rPr>
        <w:t>:</w:t>
      </w:r>
      <w:r>
        <w:rPr>
          <w:rFonts w:ascii="Times New Roman" w:eastAsia="仿宋_GB2312" w:hAnsi="Times New Roman" w:cs="Times New Roman" w:hint="eastAsia"/>
          <w:snapToGrid/>
          <w:kern w:val="2"/>
          <w:sz w:val="32"/>
          <w:szCs w:val="32"/>
          <w:lang w:eastAsia="zh-CN"/>
        </w:rPr>
        <w:t>一般公共预算财政拨款收入</w:t>
      </w:r>
      <w:r>
        <w:rPr>
          <w:rFonts w:ascii="Times New Roman" w:eastAsia="仿宋_GB2312" w:hAnsi="Times New Roman" w:cs="Times New Roman" w:hint="eastAsia"/>
          <w:snapToGrid/>
          <w:kern w:val="2"/>
          <w:sz w:val="32"/>
          <w:szCs w:val="32"/>
          <w:lang w:eastAsia="zh-CN"/>
        </w:rPr>
        <w:t>7382.57</w:t>
      </w:r>
      <w:r>
        <w:rPr>
          <w:rFonts w:ascii="Times New Roman" w:eastAsia="仿宋_GB2312" w:hAnsi="Times New Roman" w:cs="Times New Roman" w:hint="eastAsia"/>
          <w:snapToGrid/>
          <w:kern w:val="2"/>
          <w:sz w:val="32"/>
          <w:szCs w:val="32"/>
          <w:lang w:eastAsia="zh-CN"/>
        </w:rPr>
        <w:t>万元，政府性基金预算财政拨款收入</w:t>
      </w:r>
      <w:r>
        <w:rPr>
          <w:rFonts w:ascii="Times New Roman" w:eastAsia="仿宋_GB2312" w:hAnsi="Times New Roman" w:cs="Times New Roman" w:hint="eastAsia"/>
          <w:snapToGrid/>
          <w:kern w:val="2"/>
          <w:sz w:val="32"/>
          <w:szCs w:val="32"/>
          <w:lang w:eastAsia="zh-CN"/>
        </w:rPr>
        <w:t>596.22</w:t>
      </w:r>
      <w:r>
        <w:rPr>
          <w:rFonts w:ascii="Times New Roman" w:eastAsia="仿宋_GB2312" w:hAnsi="Times New Roman" w:cs="Times New Roman" w:hint="eastAsia"/>
          <w:snapToGrid/>
          <w:kern w:val="2"/>
          <w:sz w:val="32"/>
          <w:szCs w:val="32"/>
          <w:lang w:eastAsia="zh-CN"/>
        </w:rPr>
        <w:t>万元，经营收入</w:t>
      </w:r>
      <w:r>
        <w:rPr>
          <w:rFonts w:ascii="Times New Roman" w:eastAsia="仿宋_GB2312" w:hAnsi="Times New Roman" w:cs="Times New Roman" w:hint="eastAsia"/>
          <w:snapToGrid/>
          <w:kern w:val="2"/>
          <w:sz w:val="32"/>
          <w:szCs w:val="32"/>
          <w:lang w:eastAsia="zh-CN"/>
        </w:rPr>
        <w:t>2232.31</w:t>
      </w:r>
      <w:r>
        <w:rPr>
          <w:rFonts w:ascii="Times New Roman" w:eastAsia="仿宋_GB2312" w:hAnsi="Times New Roman" w:cs="Times New Roman" w:hint="eastAsia"/>
          <w:snapToGrid/>
          <w:kern w:val="2"/>
          <w:sz w:val="32"/>
          <w:szCs w:val="32"/>
          <w:lang w:eastAsia="zh-CN"/>
        </w:rPr>
        <w:t>万元，其他收入</w:t>
      </w:r>
      <w:r>
        <w:rPr>
          <w:rFonts w:ascii="Times New Roman" w:eastAsia="仿宋_GB2312" w:hAnsi="Times New Roman" w:cs="Times New Roman" w:hint="eastAsia"/>
          <w:snapToGrid/>
          <w:kern w:val="2"/>
          <w:sz w:val="32"/>
          <w:szCs w:val="32"/>
          <w:lang w:eastAsia="zh-CN"/>
        </w:rPr>
        <w:t>0</w:t>
      </w:r>
      <w:r>
        <w:rPr>
          <w:rFonts w:ascii="Times New Roman" w:eastAsia="仿宋_GB2312" w:hAnsi="Times New Roman" w:cs="Times New Roman" w:hint="eastAsia"/>
          <w:snapToGrid/>
          <w:kern w:val="2"/>
          <w:sz w:val="32"/>
          <w:szCs w:val="32"/>
          <w:lang w:eastAsia="zh-CN"/>
        </w:rPr>
        <w:t>万元。</w:t>
      </w:r>
    </w:p>
    <w:p w:rsidR="004B0FC1" w:rsidRDefault="00A976D9" w:rsidP="0061664C">
      <w:pPr>
        <w:kinsoku/>
        <w:autoSpaceDE/>
        <w:autoSpaceDN/>
        <w:spacing w:line="578" w:lineRule="exact"/>
        <w:ind w:firstLineChars="200" w:firstLine="641"/>
        <w:contextualSpacing/>
        <w:textAlignment w:val="auto"/>
        <w:rPr>
          <w:rFonts w:ascii="Times New Roman" w:eastAsia="楷体_GB2312" w:hAnsi="Times New Roman" w:cs="楷体_GB2312"/>
          <w:b/>
          <w:snapToGrid/>
          <w:kern w:val="2"/>
          <w:sz w:val="32"/>
          <w:szCs w:val="32"/>
          <w:lang w:val="zh-CN" w:eastAsia="zh-CN"/>
        </w:rPr>
      </w:pPr>
      <w:r>
        <w:rPr>
          <w:rFonts w:ascii="Times New Roman" w:eastAsia="楷体_GB2312" w:hAnsi="Times New Roman" w:cs="楷体_GB2312" w:hint="eastAsia"/>
          <w:b/>
          <w:snapToGrid/>
          <w:kern w:val="2"/>
          <w:sz w:val="32"/>
          <w:szCs w:val="32"/>
          <w:lang w:val="zh-CN" w:eastAsia="zh-CN"/>
        </w:rPr>
        <w:t>（二）支出情况。</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eastAsia="zh-CN"/>
        </w:rPr>
      </w:pPr>
      <w:r>
        <w:rPr>
          <w:rFonts w:ascii="Times New Roman" w:eastAsia="仿宋_GB2312" w:hAnsi="Times New Roman" w:cs="Times New Roman" w:hint="eastAsia"/>
          <w:snapToGrid/>
          <w:kern w:val="2"/>
          <w:sz w:val="32"/>
          <w:szCs w:val="32"/>
          <w:lang w:eastAsia="zh-CN"/>
        </w:rPr>
        <w:t>市市场监管局部门</w:t>
      </w:r>
      <w:r>
        <w:rPr>
          <w:rFonts w:ascii="Times New Roman" w:eastAsia="仿宋_GB2312" w:hAnsi="Times New Roman" w:cs="Times New Roman" w:hint="eastAsia"/>
          <w:snapToGrid/>
          <w:kern w:val="2"/>
          <w:sz w:val="32"/>
          <w:szCs w:val="32"/>
          <w:lang w:eastAsia="zh-CN"/>
        </w:rPr>
        <w:t>2025</w:t>
      </w:r>
      <w:r>
        <w:rPr>
          <w:rFonts w:ascii="Times New Roman" w:eastAsia="仿宋_GB2312" w:hAnsi="Times New Roman" w:cs="Times New Roman" w:hint="eastAsia"/>
          <w:snapToGrid/>
          <w:kern w:val="2"/>
          <w:sz w:val="32"/>
          <w:szCs w:val="32"/>
          <w:lang w:eastAsia="zh-CN"/>
        </w:rPr>
        <w:t>年年初预算支出</w:t>
      </w:r>
      <w:r>
        <w:rPr>
          <w:rFonts w:ascii="Times New Roman" w:eastAsia="仿宋_GB2312" w:hAnsi="Times New Roman" w:cs="Times New Roman" w:hint="eastAsia"/>
          <w:snapToGrid/>
          <w:kern w:val="2"/>
          <w:sz w:val="32"/>
          <w:szCs w:val="32"/>
          <w:lang w:eastAsia="zh-CN"/>
        </w:rPr>
        <w:t>8984.21</w:t>
      </w:r>
      <w:r>
        <w:rPr>
          <w:rFonts w:ascii="Times New Roman" w:eastAsia="仿宋_GB2312" w:hAnsi="Times New Roman" w:cs="Times New Roman" w:hint="eastAsia"/>
          <w:snapToGrid/>
          <w:kern w:val="2"/>
          <w:sz w:val="32"/>
          <w:szCs w:val="32"/>
          <w:lang w:eastAsia="zh-CN"/>
        </w:rPr>
        <w:t>万元，其中：基本支出</w:t>
      </w:r>
      <w:r>
        <w:rPr>
          <w:rFonts w:ascii="Times New Roman" w:eastAsia="仿宋_GB2312" w:hAnsi="Times New Roman" w:cs="Times New Roman" w:hint="eastAsia"/>
          <w:snapToGrid/>
          <w:kern w:val="2"/>
          <w:sz w:val="32"/>
          <w:szCs w:val="32"/>
          <w:lang w:eastAsia="zh-CN"/>
        </w:rPr>
        <w:t>6378.12</w:t>
      </w:r>
      <w:r>
        <w:rPr>
          <w:rFonts w:ascii="Times New Roman" w:eastAsia="仿宋_GB2312" w:hAnsi="Times New Roman" w:cs="Times New Roman" w:hint="eastAsia"/>
          <w:snapToGrid/>
          <w:kern w:val="2"/>
          <w:sz w:val="32"/>
          <w:szCs w:val="32"/>
          <w:lang w:eastAsia="zh-CN"/>
        </w:rPr>
        <w:t>万元，项目支出</w:t>
      </w:r>
      <w:r>
        <w:rPr>
          <w:rFonts w:ascii="Times New Roman" w:eastAsia="仿宋_GB2312" w:hAnsi="Times New Roman" w:cs="Times New Roman" w:hint="eastAsia"/>
          <w:snapToGrid/>
          <w:kern w:val="2"/>
          <w:sz w:val="32"/>
          <w:szCs w:val="32"/>
          <w:lang w:eastAsia="zh-CN"/>
        </w:rPr>
        <w:t>106.09</w:t>
      </w:r>
      <w:r>
        <w:rPr>
          <w:rFonts w:ascii="Times New Roman" w:eastAsia="仿宋_GB2312" w:hAnsi="Times New Roman" w:cs="Times New Roman" w:hint="eastAsia"/>
          <w:snapToGrid/>
          <w:kern w:val="2"/>
          <w:sz w:val="32"/>
          <w:szCs w:val="32"/>
          <w:lang w:eastAsia="zh-CN"/>
        </w:rPr>
        <w:t>万元，经营支出</w:t>
      </w:r>
      <w:r>
        <w:rPr>
          <w:rFonts w:ascii="Times New Roman" w:eastAsia="仿宋_GB2312" w:hAnsi="Times New Roman" w:cs="Times New Roman" w:hint="eastAsia"/>
          <w:snapToGrid/>
          <w:kern w:val="2"/>
          <w:sz w:val="32"/>
          <w:szCs w:val="32"/>
          <w:lang w:eastAsia="zh-CN"/>
        </w:rPr>
        <w:t>2500</w:t>
      </w:r>
      <w:r>
        <w:rPr>
          <w:rFonts w:ascii="Times New Roman" w:eastAsia="仿宋_GB2312" w:hAnsi="Times New Roman" w:cs="Times New Roman" w:hint="eastAsia"/>
          <w:snapToGrid/>
          <w:kern w:val="2"/>
          <w:sz w:val="32"/>
          <w:szCs w:val="32"/>
          <w:lang w:eastAsia="zh-CN"/>
        </w:rPr>
        <w:t>万元。</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eastAsia="zh-CN"/>
        </w:rPr>
      </w:pPr>
      <w:r>
        <w:rPr>
          <w:rFonts w:ascii="Times New Roman" w:eastAsia="仿宋_GB2312" w:hAnsi="Times New Roman" w:cs="Times New Roman" w:hint="eastAsia"/>
          <w:snapToGrid/>
          <w:kern w:val="2"/>
          <w:sz w:val="32"/>
          <w:szCs w:val="32"/>
          <w:lang w:eastAsia="zh-CN"/>
        </w:rPr>
        <w:t>市市场监管局部门</w:t>
      </w:r>
      <w:r>
        <w:rPr>
          <w:rFonts w:ascii="Times New Roman" w:eastAsia="仿宋_GB2312" w:hAnsi="Times New Roman" w:cs="Times New Roman" w:hint="eastAsia"/>
          <w:snapToGrid/>
          <w:kern w:val="2"/>
          <w:sz w:val="32"/>
          <w:szCs w:val="32"/>
          <w:lang w:eastAsia="zh-CN"/>
        </w:rPr>
        <w:t>2025</w:t>
      </w:r>
      <w:r>
        <w:rPr>
          <w:rFonts w:ascii="Times New Roman" w:eastAsia="仿宋_GB2312" w:hAnsi="Times New Roman" w:cs="Times New Roman" w:hint="eastAsia"/>
          <w:snapToGrid/>
          <w:kern w:val="2"/>
          <w:sz w:val="32"/>
          <w:szCs w:val="32"/>
          <w:lang w:eastAsia="zh-CN"/>
        </w:rPr>
        <w:t>年决算报表支出</w:t>
      </w:r>
      <w:r>
        <w:rPr>
          <w:rFonts w:ascii="Times New Roman" w:eastAsia="仿宋_GB2312" w:hAnsi="Times New Roman" w:cs="Times New Roman" w:hint="eastAsia"/>
          <w:snapToGrid/>
          <w:kern w:val="2"/>
          <w:sz w:val="32"/>
          <w:szCs w:val="32"/>
          <w:lang w:eastAsia="zh-CN"/>
        </w:rPr>
        <w:t>10215.93</w:t>
      </w:r>
      <w:r>
        <w:rPr>
          <w:rFonts w:ascii="Times New Roman" w:eastAsia="仿宋_GB2312" w:hAnsi="Times New Roman" w:cs="Times New Roman" w:hint="eastAsia"/>
          <w:snapToGrid/>
          <w:kern w:val="2"/>
          <w:sz w:val="32"/>
          <w:szCs w:val="32"/>
          <w:lang w:eastAsia="zh-CN"/>
        </w:rPr>
        <w:t>万元，其中：基本支出</w:t>
      </w:r>
      <w:r>
        <w:rPr>
          <w:rFonts w:ascii="Times New Roman" w:eastAsia="仿宋_GB2312" w:hAnsi="Times New Roman" w:cs="Times New Roman" w:hint="eastAsia"/>
          <w:snapToGrid/>
          <w:kern w:val="2"/>
          <w:sz w:val="32"/>
          <w:szCs w:val="32"/>
          <w:lang w:eastAsia="zh-CN"/>
        </w:rPr>
        <w:t>6581.34</w:t>
      </w:r>
      <w:r>
        <w:rPr>
          <w:rFonts w:ascii="Times New Roman" w:eastAsia="仿宋_GB2312" w:hAnsi="Times New Roman" w:cs="Times New Roman" w:hint="eastAsia"/>
          <w:snapToGrid/>
          <w:kern w:val="2"/>
          <w:sz w:val="32"/>
          <w:szCs w:val="32"/>
          <w:lang w:eastAsia="zh-CN"/>
        </w:rPr>
        <w:t>万元，项目支出</w:t>
      </w:r>
      <w:r>
        <w:rPr>
          <w:rFonts w:ascii="Times New Roman" w:eastAsia="仿宋_GB2312" w:hAnsi="Times New Roman" w:cs="Times New Roman" w:hint="eastAsia"/>
          <w:snapToGrid/>
          <w:kern w:val="2"/>
          <w:sz w:val="32"/>
          <w:szCs w:val="32"/>
          <w:lang w:eastAsia="zh-CN"/>
        </w:rPr>
        <w:t>1398.99</w:t>
      </w:r>
      <w:r>
        <w:rPr>
          <w:rFonts w:ascii="Times New Roman" w:eastAsia="仿宋_GB2312" w:hAnsi="Times New Roman" w:cs="Times New Roman" w:hint="eastAsia"/>
          <w:snapToGrid/>
          <w:kern w:val="2"/>
          <w:sz w:val="32"/>
          <w:szCs w:val="32"/>
          <w:lang w:eastAsia="zh-CN"/>
        </w:rPr>
        <w:t>万元，经营支出</w:t>
      </w:r>
      <w:r>
        <w:rPr>
          <w:rFonts w:ascii="Times New Roman" w:eastAsia="仿宋_GB2312" w:hAnsi="Times New Roman" w:cs="Times New Roman" w:hint="eastAsia"/>
          <w:snapToGrid/>
          <w:kern w:val="2"/>
          <w:sz w:val="32"/>
          <w:szCs w:val="32"/>
          <w:lang w:eastAsia="zh-CN"/>
        </w:rPr>
        <w:t>2235.6</w:t>
      </w:r>
      <w:r>
        <w:rPr>
          <w:rFonts w:ascii="Times New Roman" w:eastAsia="仿宋_GB2312" w:hAnsi="Times New Roman" w:cs="Times New Roman" w:hint="eastAsia"/>
          <w:snapToGrid/>
          <w:kern w:val="2"/>
          <w:sz w:val="32"/>
          <w:szCs w:val="32"/>
          <w:lang w:eastAsia="zh-CN"/>
        </w:rPr>
        <w:t>万元。市市场监管局部门</w:t>
      </w:r>
      <w:r>
        <w:rPr>
          <w:rFonts w:ascii="Times New Roman" w:eastAsia="仿宋_GB2312" w:hAnsi="Times New Roman" w:cs="Times New Roman" w:hint="eastAsia"/>
          <w:snapToGrid/>
          <w:kern w:val="2"/>
          <w:sz w:val="32"/>
          <w:szCs w:val="32"/>
          <w:lang w:eastAsia="zh-CN"/>
        </w:rPr>
        <w:t>2025</w:t>
      </w:r>
      <w:r>
        <w:rPr>
          <w:rFonts w:ascii="Times New Roman" w:eastAsia="仿宋_GB2312" w:hAnsi="Times New Roman" w:cs="Times New Roman" w:hint="eastAsia"/>
          <w:snapToGrid/>
          <w:kern w:val="2"/>
          <w:sz w:val="32"/>
          <w:szCs w:val="32"/>
          <w:lang w:eastAsia="zh-CN"/>
        </w:rPr>
        <w:t>年支出包括财政拨款资金支出</w:t>
      </w:r>
      <w:r>
        <w:rPr>
          <w:rFonts w:ascii="Times New Roman" w:eastAsia="仿宋_GB2312" w:hAnsi="Times New Roman" w:cs="Times New Roman" w:hint="eastAsia"/>
          <w:snapToGrid/>
          <w:kern w:val="2"/>
          <w:sz w:val="32"/>
          <w:szCs w:val="32"/>
          <w:lang w:eastAsia="zh-CN"/>
        </w:rPr>
        <w:t>7978.79</w:t>
      </w:r>
      <w:r>
        <w:rPr>
          <w:rFonts w:ascii="Times New Roman" w:eastAsia="仿宋_GB2312" w:hAnsi="Times New Roman" w:cs="Times New Roman" w:hint="eastAsia"/>
          <w:snapToGrid/>
          <w:kern w:val="2"/>
          <w:sz w:val="32"/>
          <w:szCs w:val="32"/>
          <w:lang w:eastAsia="zh-CN"/>
        </w:rPr>
        <w:t>万元，经营支出</w:t>
      </w:r>
      <w:r>
        <w:rPr>
          <w:rFonts w:ascii="Times New Roman" w:eastAsia="仿宋_GB2312" w:hAnsi="Times New Roman" w:cs="Times New Roman" w:hint="eastAsia"/>
          <w:snapToGrid/>
          <w:kern w:val="2"/>
          <w:sz w:val="32"/>
          <w:szCs w:val="32"/>
          <w:lang w:eastAsia="zh-CN"/>
        </w:rPr>
        <w:t>2237.14</w:t>
      </w:r>
      <w:r>
        <w:rPr>
          <w:rFonts w:ascii="Times New Roman" w:eastAsia="仿宋_GB2312" w:hAnsi="Times New Roman" w:cs="Times New Roman" w:hint="eastAsia"/>
          <w:snapToGrid/>
          <w:kern w:val="2"/>
          <w:sz w:val="32"/>
          <w:szCs w:val="32"/>
          <w:lang w:eastAsia="zh-CN"/>
        </w:rPr>
        <w:t>万元。</w:t>
      </w:r>
    </w:p>
    <w:p w:rsidR="004B0FC1" w:rsidRDefault="00A976D9" w:rsidP="0061664C">
      <w:pPr>
        <w:kinsoku/>
        <w:autoSpaceDE/>
        <w:autoSpaceDN/>
        <w:spacing w:line="578" w:lineRule="exact"/>
        <w:ind w:firstLineChars="200" w:firstLine="641"/>
        <w:contextualSpacing/>
        <w:textAlignment w:val="auto"/>
        <w:rPr>
          <w:rFonts w:ascii="Times New Roman" w:eastAsia="楷体_GB2312" w:hAnsi="Times New Roman" w:cs="楷体_GB2312"/>
          <w:b/>
          <w:snapToGrid/>
          <w:kern w:val="2"/>
          <w:sz w:val="32"/>
          <w:szCs w:val="32"/>
          <w:lang w:val="zh-CN" w:eastAsia="zh-CN"/>
        </w:rPr>
      </w:pPr>
      <w:r>
        <w:rPr>
          <w:rFonts w:ascii="Times New Roman" w:eastAsia="楷体_GB2312" w:hAnsi="Times New Roman" w:cs="楷体_GB2312" w:hint="eastAsia"/>
          <w:b/>
          <w:snapToGrid/>
          <w:kern w:val="2"/>
          <w:sz w:val="32"/>
          <w:szCs w:val="32"/>
          <w:lang w:val="zh-CN" w:eastAsia="zh-CN"/>
        </w:rPr>
        <w:t>（三）结余分配和结转结余情况。</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eastAsia="zh-CN"/>
        </w:rPr>
      </w:pPr>
      <w:r>
        <w:rPr>
          <w:rFonts w:ascii="Times New Roman" w:eastAsia="仿宋_GB2312" w:hAnsi="Times New Roman" w:cs="Times New Roman" w:hint="eastAsia"/>
          <w:snapToGrid/>
          <w:kern w:val="2"/>
          <w:sz w:val="32"/>
          <w:szCs w:val="32"/>
          <w:lang w:eastAsia="zh-CN"/>
        </w:rPr>
        <w:t>市市场监管局部门</w:t>
      </w:r>
      <w:r>
        <w:rPr>
          <w:rFonts w:ascii="Times New Roman" w:eastAsia="仿宋_GB2312" w:hAnsi="Times New Roman" w:cs="Times New Roman" w:hint="eastAsia"/>
          <w:snapToGrid/>
          <w:kern w:val="2"/>
          <w:sz w:val="32"/>
          <w:szCs w:val="32"/>
          <w:lang w:eastAsia="zh-CN"/>
        </w:rPr>
        <w:t>2025</w:t>
      </w:r>
      <w:r>
        <w:rPr>
          <w:rFonts w:ascii="Times New Roman" w:eastAsia="仿宋_GB2312" w:hAnsi="Times New Roman" w:cs="Times New Roman" w:hint="eastAsia"/>
          <w:snapToGrid/>
          <w:kern w:val="2"/>
          <w:sz w:val="32"/>
          <w:szCs w:val="32"/>
          <w:lang w:eastAsia="zh-CN"/>
        </w:rPr>
        <w:t>年决算报表结转结余</w:t>
      </w:r>
      <w:r>
        <w:rPr>
          <w:rFonts w:ascii="Times New Roman" w:eastAsia="仿宋_GB2312" w:hAnsi="Times New Roman" w:cs="Times New Roman" w:hint="eastAsia"/>
          <w:snapToGrid/>
          <w:kern w:val="2"/>
          <w:sz w:val="32"/>
          <w:szCs w:val="32"/>
          <w:lang w:eastAsia="zh-CN"/>
        </w:rPr>
        <w:t>-404.14</w:t>
      </w:r>
      <w:r>
        <w:rPr>
          <w:rFonts w:ascii="Times New Roman" w:eastAsia="仿宋_GB2312" w:hAnsi="Times New Roman" w:cs="Times New Roman" w:hint="eastAsia"/>
          <w:snapToGrid/>
          <w:kern w:val="2"/>
          <w:sz w:val="32"/>
          <w:szCs w:val="32"/>
          <w:lang w:eastAsia="zh-CN"/>
        </w:rPr>
        <w:t>万元。</w:t>
      </w:r>
    </w:p>
    <w:p w:rsidR="004B0FC1" w:rsidRDefault="00A976D9">
      <w:pPr>
        <w:kinsoku/>
        <w:autoSpaceDE/>
        <w:autoSpaceDN/>
        <w:spacing w:line="578" w:lineRule="exact"/>
        <w:ind w:firstLineChars="200" w:firstLine="640"/>
        <w:contextualSpacing/>
        <w:textAlignment w:val="auto"/>
        <w:rPr>
          <w:rFonts w:ascii="Times New Roman" w:eastAsia="黑体" w:hAnsi="Times New Roman" w:cs="Times New Roman"/>
          <w:snapToGrid/>
          <w:sz w:val="32"/>
          <w:szCs w:val="32"/>
          <w:shd w:val="clear" w:color="auto" w:fill="FFFFFF"/>
          <w:lang w:val="zh-CN" w:eastAsia="zh-CN"/>
        </w:rPr>
      </w:pPr>
      <w:r>
        <w:rPr>
          <w:rFonts w:ascii="Times New Roman" w:eastAsia="黑体" w:hAnsi="Times New Roman" w:cs="Times New Roman" w:hint="eastAsia"/>
          <w:snapToGrid/>
          <w:sz w:val="32"/>
          <w:szCs w:val="32"/>
          <w:shd w:val="clear" w:color="auto" w:fill="FFFFFF"/>
          <w:lang w:val="zh-CN" w:eastAsia="zh-CN"/>
        </w:rPr>
        <w:t>三、部门预算绩效分析</w:t>
      </w:r>
    </w:p>
    <w:p w:rsidR="004B0FC1" w:rsidRDefault="00A976D9" w:rsidP="0061664C">
      <w:pPr>
        <w:kinsoku/>
        <w:autoSpaceDE/>
        <w:autoSpaceDN/>
        <w:spacing w:line="578" w:lineRule="exact"/>
        <w:ind w:firstLineChars="200" w:firstLine="641"/>
        <w:contextualSpacing/>
        <w:textAlignment w:val="auto"/>
        <w:rPr>
          <w:rFonts w:ascii="Times New Roman" w:eastAsia="楷体_GB2312" w:hAnsi="Times New Roman" w:cs="楷体_GB2312"/>
          <w:b/>
          <w:snapToGrid/>
          <w:kern w:val="2"/>
          <w:sz w:val="32"/>
          <w:szCs w:val="32"/>
          <w:lang w:val="zh-CN" w:eastAsia="zh-CN"/>
        </w:rPr>
      </w:pPr>
      <w:r>
        <w:rPr>
          <w:rFonts w:ascii="Times New Roman" w:eastAsia="楷体_GB2312" w:hAnsi="Times New Roman" w:cs="楷体_GB2312" w:hint="eastAsia"/>
          <w:b/>
          <w:snapToGrid/>
          <w:kern w:val="2"/>
          <w:sz w:val="32"/>
          <w:szCs w:val="32"/>
          <w:lang w:val="zh-CN" w:eastAsia="zh-CN"/>
        </w:rPr>
        <w:lastRenderedPageBreak/>
        <w:t>（一）部门预算总体绩效分析。</w:t>
      </w:r>
    </w:p>
    <w:p w:rsidR="004B0FC1" w:rsidRDefault="00A976D9">
      <w:pPr>
        <w:kinsoku/>
        <w:autoSpaceDE/>
        <w:autoSpaceDN/>
        <w:spacing w:line="578" w:lineRule="exact"/>
        <w:ind w:firstLineChars="200" w:firstLine="643"/>
        <w:contextualSpacing/>
        <w:textAlignment w:val="auto"/>
        <w:rPr>
          <w:rFonts w:ascii="Times New Roman" w:eastAsia="仿宋_GB2312" w:hAnsi="Times New Roman" w:cs="仿宋_GB2312"/>
          <w:b/>
          <w:bCs/>
          <w:snapToGrid/>
          <w:kern w:val="2"/>
          <w:sz w:val="32"/>
          <w:szCs w:val="32"/>
          <w:lang w:val="zh-CN" w:eastAsia="zh-CN"/>
        </w:rPr>
      </w:pPr>
      <w:r>
        <w:rPr>
          <w:rFonts w:ascii="Times New Roman" w:eastAsia="仿宋_GB2312" w:hAnsi="Times New Roman" w:cs="仿宋_GB2312" w:hint="eastAsia"/>
          <w:b/>
          <w:bCs/>
          <w:snapToGrid/>
          <w:kern w:val="2"/>
          <w:sz w:val="32"/>
          <w:szCs w:val="32"/>
          <w:lang w:eastAsia="zh-CN"/>
        </w:rPr>
        <w:t>1.</w:t>
      </w:r>
      <w:r>
        <w:rPr>
          <w:rFonts w:ascii="Times New Roman" w:eastAsia="仿宋_GB2312" w:hAnsi="Times New Roman" w:cs="仿宋_GB2312" w:hint="eastAsia"/>
          <w:b/>
          <w:bCs/>
          <w:snapToGrid/>
          <w:kern w:val="2"/>
          <w:sz w:val="32"/>
          <w:szCs w:val="32"/>
          <w:lang w:val="zh-CN" w:eastAsia="zh-CN"/>
        </w:rPr>
        <w:t>履职效能。</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202</w:t>
      </w:r>
      <w:r>
        <w:rPr>
          <w:rFonts w:ascii="Times New Roman" w:eastAsia="仿宋_GB2312" w:hAnsi="Times New Roman" w:cs="Times New Roman" w:hint="eastAsia"/>
          <w:snapToGrid/>
          <w:kern w:val="2"/>
          <w:sz w:val="32"/>
          <w:szCs w:val="32"/>
          <w:lang w:eastAsia="zh-CN"/>
        </w:rPr>
        <w:t>5</w:t>
      </w:r>
      <w:r>
        <w:rPr>
          <w:rFonts w:ascii="Times New Roman" w:eastAsia="仿宋_GB2312" w:hAnsi="Times New Roman" w:cs="Times New Roman" w:hint="eastAsia"/>
          <w:snapToGrid/>
          <w:kern w:val="2"/>
          <w:sz w:val="32"/>
          <w:szCs w:val="32"/>
          <w:lang w:val="zh-CN" w:eastAsia="zh-CN"/>
        </w:rPr>
        <w:t>年，在市委市政府和省市场监管局的领导下，我局推动一流营商环境建设精准有力，“质量强市”建设扎实推进，创新型知识产权强市建设加快实施，“三品一特”责任体系更加健全，民生领域监管执法有效加强，市场监管效能持续提升从整体绩效目标完成情况来看，</w:t>
      </w:r>
      <w:r>
        <w:rPr>
          <w:rFonts w:ascii="Times New Roman" w:eastAsia="仿宋_GB2312" w:hAnsi="Times New Roman" w:cs="Times New Roman" w:hint="eastAsia"/>
          <w:snapToGrid/>
          <w:kern w:val="2"/>
          <w:sz w:val="32"/>
          <w:szCs w:val="32"/>
          <w:lang w:val="zh-CN" w:eastAsia="zh-CN"/>
        </w:rPr>
        <w:t>202</w:t>
      </w:r>
      <w:r>
        <w:rPr>
          <w:rFonts w:ascii="Times New Roman" w:eastAsia="仿宋_GB2312" w:hAnsi="Times New Roman" w:cs="Times New Roman" w:hint="eastAsia"/>
          <w:snapToGrid/>
          <w:kern w:val="2"/>
          <w:sz w:val="32"/>
          <w:szCs w:val="32"/>
          <w:lang w:eastAsia="zh-CN"/>
        </w:rPr>
        <w:t>5</w:t>
      </w:r>
      <w:r>
        <w:rPr>
          <w:rFonts w:ascii="Times New Roman" w:eastAsia="仿宋_GB2312" w:hAnsi="Times New Roman" w:cs="Times New Roman" w:hint="eastAsia"/>
          <w:snapToGrid/>
          <w:kern w:val="2"/>
          <w:sz w:val="32"/>
          <w:szCs w:val="32"/>
          <w:lang w:val="zh-CN" w:eastAsia="zh-CN"/>
        </w:rPr>
        <w:t>年，主要完成配合国家食品抽检监测</w:t>
      </w:r>
      <w:r>
        <w:rPr>
          <w:rFonts w:ascii="Times New Roman" w:eastAsia="仿宋_GB2312" w:hAnsi="Times New Roman" w:cs="Times New Roman" w:hint="eastAsia"/>
          <w:snapToGrid/>
          <w:kern w:val="2"/>
          <w:sz w:val="32"/>
          <w:szCs w:val="32"/>
          <w:lang w:eastAsia="zh-CN"/>
        </w:rPr>
        <w:t>389</w:t>
      </w:r>
      <w:r>
        <w:rPr>
          <w:rFonts w:ascii="Times New Roman" w:eastAsia="仿宋_GB2312" w:hAnsi="Times New Roman" w:cs="Times New Roman" w:hint="eastAsia"/>
          <w:snapToGrid/>
          <w:kern w:val="2"/>
          <w:sz w:val="32"/>
          <w:szCs w:val="32"/>
          <w:lang w:eastAsia="zh-CN"/>
        </w:rPr>
        <w:t>批次，市县农产品抽检</w:t>
      </w:r>
      <w:r>
        <w:rPr>
          <w:rFonts w:ascii="Times New Roman" w:eastAsia="仿宋_GB2312" w:hAnsi="Times New Roman" w:cs="Times New Roman" w:hint="eastAsia"/>
          <w:snapToGrid/>
          <w:kern w:val="2"/>
          <w:sz w:val="32"/>
          <w:szCs w:val="32"/>
          <w:lang w:eastAsia="zh-CN"/>
        </w:rPr>
        <w:t>1203</w:t>
      </w:r>
      <w:r>
        <w:rPr>
          <w:rFonts w:ascii="Times New Roman" w:eastAsia="仿宋_GB2312" w:hAnsi="Times New Roman" w:cs="Times New Roman" w:hint="eastAsia"/>
          <w:snapToGrid/>
          <w:kern w:val="2"/>
          <w:sz w:val="32"/>
          <w:szCs w:val="32"/>
          <w:lang w:eastAsia="zh-CN"/>
        </w:rPr>
        <w:t>批次，市级食品抽检</w:t>
      </w:r>
      <w:r>
        <w:rPr>
          <w:rFonts w:ascii="Times New Roman" w:eastAsia="仿宋_GB2312" w:hAnsi="Times New Roman" w:cs="Times New Roman" w:hint="eastAsia"/>
          <w:snapToGrid/>
          <w:kern w:val="2"/>
          <w:sz w:val="32"/>
          <w:szCs w:val="32"/>
          <w:lang w:eastAsia="zh-CN"/>
        </w:rPr>
        <w:t>1450</w:t>
      </w:r>
      <w:r>
        <w:rPr>
          <w:rFonts w:ascii="Times New Roman" w:eastAsia="仿宋_GB2312" w:hAnsi="Times New Roman" w:cs="Times New Roman" w:hint="eastAsia"/>
          <w:snapToGrid/>
          <w:kern w:val="2"/>
          <w:sz w:val="32"/>
          <w:szCs w:val="32"/>
          <w:lang w:eastAsia="zh-CN"/>
        </w:rPr>
        <w:t>批次，省级工业产品</w:t>
      </w:r>
      <w:r>
        <w:rPr>
          <w:rFonts w:ascii="Times New Roman" w:eastAsia="仿宋_GB2312" w:hAnsi="Times New Roman" w:cs="Times New Roman" w:hint="eastAsia"/>
          <w:snapToGrid/>
          <w:kern w:val="2"/>
          <w:sz w:val="32"/>
          <w:szCs w:val="32"/>
          <w:lang w:val="zh-CN" w:eastAsia="zh-CN"/>
        </w:rPr>
        <w:t>质量安全</w:t>
      </w:r>
      <w:r>
        <w:rPr>
          <w:rFonts w:ascii="Times New Roman" w:eastAsia="仿宋_GB2312" w:hAnsi="Times New Roman" w:cs="Times New Roman" w:hint="eastAsia"/>
          <w:snapToGrid/>
          <w:kern w:val="2"/>
          <w:sz w:val="32"/>
          <w:szCs w:val="32"/>
          <w:lang w:eastAsia="zh-CN"/>
        </w:rPr>
        <w:t>抽检</w:t>
      </w:r>
      <w:r>
        <w:rPr>
          <w:rFonts w:ascii="Times New Roman" w:eastAsia="仿宋_GB2312" w:hAnsi="Times New Roman" w:cs="Times New Roman" w:hint="eastAsia"/>
          <w:snapToGrid/>
          <w:kern w:val="2"/>
          <w:sz w:val="32"/>
          <w:szCs w:val="32"/>
          <w:lang w:eastAsia="zh-CN"/>
        </w:rPr>
        <w:t>39</w:t>
      </w:r>
      <w:r>
        <w:rPr>
          <w:rFonts w:ascii="Times New Roman" w:eastAsia="仿宋_GB2312" w:hAnsi="Times New Roman" w:cs="Times New Roman" w:hint="eastAsia"/>
          <w:snapToGrid/>
          <w:kern w:val="2"/>
          <w:sz w:val="32"/>
          <w:szCs w:val="32"/>
          <w:lang w:eastAsia="zh-CN"/>
        </w:rPr>
        <w:t>批次，</w:t>
      </w:r>
      <w:r>
        <w:rPr>
          <w:rFonts w:ascii="Times New Roman" w:eastAsia="仿宋_GB2312" w:hAnsi="Times New Roman" w:cs="Times New Roman" w:hint="eastAsia"/>
          <w:snapToGrid/>
          <w:kern w:val="2"/>
          <w:sz w:val="32"/>
          <w:szCs w:val="32"/>
          <w:lang w:val="zh-CN" w:eastAsia="zh-CN"/>
        </w:rPr>
        <w:t>市级工业产品质量安全抽检</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eastAsia="zh-CN"/>
        </w:rPr>
        <w:t>2</w:t>
      </w:r>
      <w:r>
        <w:rPr>
          <w:rFonts w:ascii="Times New Roman" w:eastAsia="仿宋_GB2312" w:hAnsi="Times New Roman" w:cs="Times New Roman" w:hint="eastAsia"/>
          <w:snapToGrid/>
          <w:kern w:val="2"/>
          <w:sz w:val="32"/>
          <w:szCs w:val="32"/>
          <w:lang w:val="zh-CN" w:eastAsia="zh-CN"/>
        </w:rPr>
        <w:t xml:space="preserve">0 </w:t>
      </w:r>
      <w:r>
        <w:rPr>
          <w:rFonts w:ascii="Times New Roman" w:eastAsia="仿宋_GB2312" w:hAnsi="Times New Roman" w:cs="Times New Roman" w:hint="eastAsia"/>
          <w:snapToGrid/>
          <w:kern w:val="2"/>
          <w:sz w:val="32"/>
          <w:szCs w:val="32"/>
          <w:lang w:val="zh-CN" w:eastAsia="zh-CN"/>
        </w:rPr>
        <w:t>批次，市级药品抽检</w:t>
      </w:r>
      <w:r>
        <w:rPr>
          <w:rFonts w:ascii="Times New Roman" w:eastAsia="仿宋_GB2312" w:hAnsi="Times New Roman" w:cs="Times New Roman" w:hint="eastAsia"/>
          <w:snapToGrid/>
          <w:kern w:val="2"/>
          <w:sz w:val="32"/>
          <w:szCs w:val="32"/>
          <w:lang w:eastAsia="zh-CN"/>
        </w:rPr>
        <w:t>40</w:t>
      </w:r>
      <w:r>
        <w:rPr>
          <w:rFonts w:ascii="Times New Roman" w:eastAsia="仿宋_GB2312" w:hAnsi="Times New Roman" w:cs="Times New Roman" w:hint="eastAsia"/>
          <w:snapToGrid/>
          <w:kern w:val="2"/>
          <w:sz w:val="32"/>
          <w:szCs w:val="32"/>
          <w:lang w:eastAsia="zh-CN"/>
        </w:rPr>
        <w:t>批次，</w:t>
      </w:r>
      <w:r>
        <w:rPr>
          <w:rFonts w:ascii="Times New Roman" w:eastAsia="仿宋_GB2312" w:hAnsi="Times New Roman" w:cs="Times New Roman" w:hint="eastAsia"/>
          <w:snapToGrid/>
          <w:kern w:val="2"/>
          <w:sz w:val="32"/>
          <w:szCs w:val="32"/>
          <w:lang w:val="zh-CN" w:eastAsia="zh-CN"/>
        </w:rPr>
        <w:t>省级食品抽检监测</w:t>
      </w:r>
      <w:r>
        <w:rPr>
          <w:rFonts w:ascii="Times New Roman" w:eastAsia="仿宋_GB2312" w:hAnsi="Times New Roman" w:cs="Times New Roman" w:hint="eastAsia"/>
          <w:snapToGrid/>
          <w:kern w:val="2"/>
          <w:sz w:val="32"/>
          <w:szCs w:val="32"/>
          <w:lang w:val="zh-CN" w:eastAsia="zh-CN"/>
        </w:rPr>
        <w:t>505</w:t>
      </w:r>
      <w:r>
        <w:rPr>
          <w:rFonts w:ascii="Times New Roman" w:eastAsia="仿宋_GB2312" w:hAnsi="Times New Roman" w:cs="Times New Roman" w:hint="eastAsia"/>
          <w:snapToGrid/>
          <w:kern w:val="2"/>
          <w:sz w:val="32"/>
          <w:szCs w:val="32"/>
          <w:lang w:val="zh-CN" w:eastAsia="zh-CN"/>
        </w:rPr>
        <w:t>批次，定量包装商品净含量监督抽查</w:t>
      </w:r>
      <w:r>
        <w:rPr>
          <w:rFonts w:ascii="Times New Roman" w:eastAsia="仿宋_GB2312" w:hAnsi="Times New Roman" w:cs="Times New Roman" w:hint="eastAsia"/>
          <w:snapToGrid/>
          <w:kern w:val="2"/>
          <w:sz w:val="32"/>
          <w:szCs w:val="32"/>
          <w:lang w:eastAsia="zh-CN"/>
        </w:rPr>
        <w:t>140</w:t>
      </w:r>
      <w:r>
        <w:rPr>
          <w:rFonts w:ascii="Times New Roman" w:eastAsia="仿宋_GB2312" w:hAnsi="Times New Roman" w:cs="Times New Roman" w:hint="eastAsia"/>
          <w:snapToGrid/>
          <w:kern w:val="2"/>
          <w:sz w:val="32"/>
          <w:szCs w:val="32"/>
          <w:lang w:eastAsia="zh-CN"/>
        </w:rPr>
        <w:t>批次，</w:t>
      </w:r>
      <w:r>
        <w:rPr>
          <w:rFonts w:ascii="Times New Roman" w:eastAsia="仿宋_GB2312" w:hAnsi="Times New Roman" w:cs="Times New Roman" w:hint="eastAsia"/>
          <w:snapToGrid/>
          <w:kern w:val="2"/>
          <w:sz w:val="32"/>
          <w:szCs w:val="32"/>
          <w:lang w:val="zh-CN" w:eastAsia="zh-CN"/>
        </w:rPr>
        <w:t>省级药品抽检</w:t>
      </w:r>
      <w:r>
        <w:rPr>
          <w:rFonts w:ascii="Times New Roman" w:eastAsia="仿宋_GB2312" w:hAnsi="Times New Roman" w:cs="Times New Roman" w:hint="eastAsia"/>
          <w:snapToGrid/>
          <w:kern w:val="2"/>
          <w:sz w:val="32"/>
          <w:szCs w:val="32"/>
          <w:lang w:eastAsia="zh-CN"/>
        </w:rPr>
        <w:t>262</w:t>
      </w:r>
      <w:r>
        <w:rPr>
          <w:rFonts w:ascii="Times New Roman" w:eastAsia="仿宋_GB2312" w:hAnsi="Times New Roman" w:cs="Times New Roman" w:hint="eastAsia"/>
          <w:snapToGrid/>
          <w:kern w:val="2"/>
          <w:sz w:val="32"/>
          <w:szCs w:val="32"/>
          <w:lang w:val="zh-CN" w:eastAsia="zh-CN"/>
        </w:rPr>
        <w:t>批次、化妆品抽样</w:t>
      </w:r>
      <w:r>
        <w:rPr>
          <w:rFonts w:ascii="Times New Roman" w:eastAsia="仿宋_GB2312" w:hAnsi="Times New Roman" w:cs="Times New Roman" w:hint="eastAsia"/>
          <w:snapToGrid/>
          <w:kern w:val="2"/>
          <w:sz w:val="32"/>
          <w:szCs w:val="32"/>
          <w:lang w:val="zh-CN" w:eastAsia="zh-CN"/>
        </w:rPr>
        <w:t>50</w:t>
      </w:r>
      <w:r>
        <w:rPr>
          <w:rFonts w:ascii="Times New Roman" w:eastAsia="仿宋_GB2312" w:hAnsi="Times New Roman" w:cs="Times New Roman" w:hint="eastAsia"/>
          <w:snapToGrid/>
          <w:kern w:val="2"/>
          <w:sz w:val="32"/>
          <w:szCs w:val="32"/>
          <w:lang w:val="zh-CN" w:eastAsia="zh-CN"/>
        </w:rPr>
        <w:t>批次、医疗器械抽样</w:t>
      </w:r>
      <w:r>
        <w:rPr>
          <w:rFonts w:ascii="Times New Roman" w:eastAsia="仿宋_GB2312" w:hAnsi="Times New Roman" w:cs="Times New Roman" w:hint="eastAsia"/>
          <w:snapToGrid/>
          <w:kern w:val="2"/>
          <w:sz w:val="32"/>
          <w:szCs w:val="32"/>
          <w:lang w:eastAsia="zh-CN"/>
        </w:rPr>
        <w:t>25</w:t>
      </w:r>
      <w:r>
        <w:rPr>
          <w:rFonts w:ascii="Times New Roman" w:eastAsia="仿宋_GB2312" w:hAnsi="Times New Roman" w:cs="Times New Roman" w:hint="eastAsia"/>
          <w:snapToGrid/>
          <w:kern w:val="2"/>
          <w:sz w:val="32"/>
          <w:szCs w:val="32"/>
          <w:lang w:val="zh-CN" w:eastAsia="zh-CN"/>
        </w:rPr>
        <w:t>批次，“小个专”党建工作指导站</w:t>
      </w:r>
      <w:r>
        <w:rPr>
          <w:rFonts w:ascii="Times New Roman" w:eastAsia="仿宋_GB2312" w:hAnsi="Times New Roman" w:cs="Times New Roman" w:hint="eastAsia"/>
          <w:snapToGrid/>
          <w:kern w:val="2"/>
          <w:sz w:val="32"/>
          <w:szCs w:val="32"/>
          <w:lang w:eastAsia="zh-CN"/>
        </w:rPr>
        <w:t>24</w:t>
      </w:r>
      <w:r>
        <w:rPr>
          <w:rFonts w:ascii="Times New Roman" w:eastAsia="仿宋_GB2312" w:hAnsi="Times New Roman" w:cs="Times New Roman" w:hint="eastAsia"/>
          <w:snapToGrid/>
          <w:kern w:val="2"/>
          <w:sz w:val="32"/>
          <w:szCs w:val="32"/>
          <w:lang w:eastAsia="zh-CN"/>
        </w:rPr>
        <w:t>个，</w:t>
      </w:r>
      <w:r>
        <w:rPr>
          <w:rFonts w:ascii="Times New Roman" w:eastAsia="仿宋_GB2312" w:hAnsi="Times New Roman" w:cs="Times New Roman" w:hint="eastAsia"/>
          <w:snapToGrid/>
          <w:kern w:val="2"/>
          <w:sz w:val="32"/>
          <w:szCs w:val="32"/>
          <w:lang w:val="zh-CN" w:eastAsia="zh-CN"/>
        </w:rPr>
        <w:t>四川省动态汽车</w:t>
      </w:r>
      <w:proofErr w:type="gramStart"/>
      <w:r>
        <w:rPr>
          <w:rFonts w:ascii="Times New Roman" w:eastAsia="仿宋_GB2312" w:hAnsi="Times New Roman" w:cs="Times New Roman" w:hint="eastAsia"/>
          <w:snapToGrid/>
          <w:kern w:val="2"/>
          <w:sz w:val="32"/>
          <w:szCs w:val="32"/>
          <w:lang w:val="zh-CN" w:eastAsia="zh-CN"/>
        </w:rPr>
        <w:t>衡</w:t>
      </w:r>
      <w:proofErr w:type="gramEnd"/>
      <w:r>
        <w:rPr>
          <w:rFonts w:ascii="Times New Roman" w:eastAsia="仿宋_GB2312" w:hAnsi="Times New Roman" w:cs="Times New Roman" w:hint="eastAsia"/>
          <w:snapToGrid/>
          <w:kern w:val="2"/>
          <w:sz w:val="32"/>
          <w:szCs w:val="32"/>
          <w:lang w:val="zh-CN" w:eastAsia="zh-CN"/>
        </w:rPr>
        <w:t>计量监督检查</w:t>
      </w:r>
      <w:r>
        <w:rPr>
          <w:rFonts w:ascii="Times New Roman" w:eastAsia="仿宋_GB2312" w:hAnsi="Times New Roman" w:cs="Times New Roman" w:hint="eastAsia"/>
          <w:snapToGrid/>
          <w:kern w:val="2"/>
          <w:sz w:val="32"/>
          <w:szCs w:val="32"/>
          <w:lang w:eastAsia="zh-CN"/>
        </w:rPr>
        <w:t>10</w:t>
      </w:r>
      <w:r>
        <w:rPr>
          <w:rFonts w:ascii="Times New Roman" w:eastAsia="仿宋_GB2312" w:hAnsi="Times New Roman" w:cs="Times New Roman" w:hint="eastAsia"/>
          <w:snapToGrid/>
          <w:kern w:val="2"/>
          <w:sz w:val="32"/>
          <w:szCs w:val="32"/>
          <w:lang w:eastAsia="zh-CN"/>
        </w:rPr>
        <w:t>台，</w:t>
      </w:r>
      <w:r>
        <w:rPr>
          <w:rFonts w:ascii="Times New Roman" w:eastAsia="仿宋_GB2312" w:hAnsi="Times New Roman" w:cs="Times New Roman" w:hint="eastAsia"/>
          <w:snapToGrid/>
          <w:kern w:val="2"/>
          <w:sz w:val="32"/>
          <w:szCs w:val="32"/>
          <w:lang w:val="zh-CN" w:eastAsia="zh-CN"/>
        </w:rPr>
        <w:t>基层市场监管局（所）标准化规范化建设</w:t>
      </w:r>
      <w:r>
        <w:rPr>
          <w:rFonts w:ascii="Times New Roman" w:eastAsia="仿宋_GB2312" w:hAnsi="Times New Roman" w:cs="Times New Roman" w:hint="eastAsia"/>
          <w:snapToGrid/>
          <w:kern w:val="2"/>
          <w:sz w:val="32"/>
          <w:szCs w:val="32"/>
          <w:lang w:eastAsia="zh-CN"/>
        </w:rPr>
        <w:t>6</w:t>
      </w:r>
      <w:r>
        <w:rPr>
          <w:rFonts w:ascii="Times New Roman" w:eastAsia="仿宋_GB2312" w:hAnsi="Times New Roman" w:cs="Times New Roman" w:hint="eastAsia"/>
          <w:snapToGrid/>
          <w:kern w:val="2"/>
          <w:sz w:val="32"/>
          <w:szCs w:val="32"/>
          <w:lang w:eastAsia="zh-CN"/>
        </w:rPr>
        <w:t>个，</w:t>
      </w:r>
      <w:r>
        <w:rPr>
          <w:rFonts w:ascii="Times New Roman" w:eastAsia="仿宋_GB2312" w:hAnsi="Times New Roman" w:cs="Times New Roman" w:hint="eastAsia"/>
          <w:snapToGrid/>
          <w:kern w:val="2"/>
          <w:sz w:val="32"/>
          <w:szCs w:val="32"/>
          <w:lang w:val="zh-CN" w:eastAsia="zh-CN"/>
        </w:rPr>
        <w:t>化工企业特种设备规范化管理</w:t>
      </w:r>
      <w:r>
        <w:rPr>
          <w:rFonts w:ascii="Times New Roman" w:eastAsia="仿宋_GB2312" w:hAnsi="Times New Roman" w:cs="Times New Roman" w:hint="eastAsia"/>
          <w:snapToGrid/>
          <w:kern w:val="2"/>
          <w:sz w:val="32"/>
          <w:szCs w:val="32"/>
          <w:lang w:eastAsia="zh-CN"/>
        </w:rPr>
        <w:t>20</w:t>
      </w:r>
      <w:r>
        <w:rPr>
          <w:rFonts w:ascii="Times New Roman" w:eastAsia="仿宋_GB2312" w:hAnsi="Times New Roman" w:cs="Times New Roman" w:hint="eastAsia"/>
          <w:snapToGrid/>
          <w:kern w:val="2"/>
          <w:sz w:val="32"/>
          <w:szCs w:val="32"/>
          <w:lang w:eastAsia="zh-CN"/>
        </w:rPr>
        <w:t>家，</w:t>
      </w:r>
      <w:r>
        <w:rPr>
          <w:rFonts w:ascii="Times New Roman" w:eastAsia="仿宋_GB2312" w:hAnsi="Times New Roman" w:cs="Times New Roman" w:hint="eastAsia"/>
          <w:snapToGrid/>
          <w:kern w:val="2"/>
          <w:sz w:val="32"/>
          <w:szCs w:val="32"/>
          <w:lang w:val="zh-CN" w:eastAsia="zh-CN"/>
        </w:rPr>
        <w:t>“名特优新”宣传</w:t>
      </w:r>
      <w:r>
        <w:rPr>
          <w:rFonts w:ascii="Times New Roman" w:eastAsia="仿宋_GB2312" w:hAnsi="Times New Roman" w:cs="Times New Roman" w:hint="eastAsia"/>
          <w:snapToGrid/>
          <w:kern w:val="2"/>
          <w:sz w:val="32"/>
          <w:szCs w:val="32"/>
          <w:lang w:eastAsia="zh-CN"/>
        </w:rPr>
        <w:t>198</w:t>
      </w:r>
      <w:r>
        <w:rPr>
          <w:rFonts w:ascii="Times New Roman" w:eastAsia="仿宋_GB2312" w:hAnsi="Times New Roman" w:cs="Times New Roman" w:hint="eastAsia"/>
          <w:snapToGrid/>
          <w:kern w:val="2"/>
          <w:sz w:val="32"/>
          <w:szCs w:val="32"/>
          <w:lang w:eastAsia="zh-CN"/>
        </w:rPr>
        <w:t>户，</w:t>
      </w:r>
      <w:r>
        <w:rPr>
          <w:rFonts w:ascii="Times New Roman" w:eastAsia="仿宋_GB2312" w:hAnsi="Times New Roman" w:cs="Times New Roman" w:hint="eastAsia"/>
          <w:snapToGrid/>
          <w:kern w:val="2"/>
          <w:sz w:val="32"/>
          <w:szCs w:val="32"/>
          <w:lang w:val="zh-CN" w:eastAsia="zh-CN"/>
        </w:rPr>
        <w:t>“春雷行动”全省覆盖率</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，辖区发生重大及以上药品安全事故数</w:t>
      </w:r>
      <w:r>
        <w:rPr>
          <w:rFonts w:ascii="Times New Roman" w:eastAsia="仿宋_GB2312" w:hAnsi="Times New Roman" w:cs="Times New Roman" w:hint="eastAsia"/>
          <w:snapToGrid/>
          <w:kern w:val="2"/>
          <w:sz w:val="32"/>
          <w:szCs w:val="32"/>
          <w:lang w:eastAsia="zh-CN"/>
        </w:rPr>
        <w:t>0</w:t>
      </w:r>
      <w:r>
        <w:rPr>
          <w:rFonts w:ascii="Times New Roman" w:eastAsia="仿宋_GB2312" w:hAnsi="Times New Roman" w:cs="Times New Roman" w:hint="eastAsia"/>
          <w:snapToGrid/>
          <w:kern w:val="2"/>
          <w:sz w:val="32"/>
          <w:szCs w:val="32"/>
          <w:lang w:val="zh-CN" w:eastAsia="zh-CN"/>
        </w:rPr>
        <w:t>次，不合格药品检验报告处置率</w:t>
      </w:r>
      <w:r>
        <w:rPr>
          <w:rFonts w:ascii="Times New Roman" w:eastAsia="仿宋_GB2312" w:hAnsi="Times New Roman" w:cs="Times New Roman" w:hint="eastAsia"/>
          <w:snapToGrid/>
          <w:kern w:val="2"/>
          <w:sz w:val="32"/>
          <w:szCs w:val="32"/>
          <w:lang w:eastAsia="zh-CN"/>
        </w:rPr>
        <w:t>100%</w:t>
      </w:r>
      <w:r>
        <w:rPr>
          <w:rFonts w:ascii="Times New Roman" w:eastAsia="仿宋_GB2312" w:hAnsi="Times New Roman" w:cs="Times New Roman" w:hint="eastAsia"/>
          <w:snapToGrid/>
          <w:kern w:val="2"/>
          <w:sz w:val="32"/>
          <w:szCs w:val="32"/>
          <w:lang w:eastAsia="zh-CN"/>
        </w:rPr>
        <w:t>，监督检查发现风险隐患处置率</w:t>
      </w:r>
      <w:r>
        <w:rPr>
          <w:rFonts w:ascii="Times New Roman" w:eastAsia="仿宋_GB2312" w:hAnsi="Times New Roman" w:cs="Times New Roman" w:hint="eastAsia"/>
          <w:snapToGrid/>
          <w:kern w:val="2"/>
          <w:sz w:val="32"/>
          <w:szCs w:val="32"/>
          <w:lang w:eastAsia="zh-CN"/>
        </w:rPr>
        <w:t>100%</w:t>
      </w:r>
      <w:r>
        <w:rPr>
          <w:rFonts w:ascii="Times New Roman" w:eastAsia="仿宋_GB2312" w:hAnsi="Times New Roman" w:cs="Times New Roman" w:hint="eastAsia"/>
          <w:snapToGrid/>
          <w:kern w:val="2"/>
          <w:sz w:val="32"/>
          <w:szCs w:val="32"/>
          <w:lang w:eastAsia="zh-CN"/>
        </w:rPr>
        <w:t>，</w:t>
      </w:r>
      <w:r>
        <w:rPr>
          <w:rFonts w:ascii="Times New Roman" w:eastAsia="仿宋_GB2312" w:hAnsi="Times New Roman" w:cs="Times New Roman" w:hint="eastAsia"/>
          <w:snapToGrid/>
          <w:kern w:val="2"/>
          <w:sz w:val="32"/>
          <w:szCs w:val="32"/>
          <w:lang w:val="zh-CN" w:eastAsia="zh-CN"/>
        </w:rPr>
        <w:t>抽检不合格食品核查处置率</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，生产环节抽查合格率大于</w:t>
      </w:r>
      <w:r>
        <w:rPr>
          <w:rFonts w:ascii="Times New Roman" w:eastAsia="仿宋_GB2312" w:hAnsi="Times New Roman" w:cs="Times New Roman" w:hint="eastAsia"/>
          <w:snapToGrid/>
          <w:kern w:val="2"/>
          <w:sz w:val="32"/>
          <w:szCs w:val="32"/>
          <w:lang w:val="zh-CN" w:eastAsia="zh-CN"/>
        </w:rPr>
        <w:t>90%</w:t>
      </w:r>
      <w:r>
        <w:rPr>
          <w:rFonts w:ascii="Times New Roman" w:eastAsia="仿宋_GB2312" w:hAnsi="Times New Roman" w:cs="Times New Roman" w:hint="eastAsia"/>
          <w:snapToGrid/>
          <w:kern w:val="2"/>
          <w:sz w:val="32"/>
          <w:szCs w:val="32"/>
          <w:lang w:val="zh-CN" w:eastAsia="zh-CN"/>
        </w:rPr>
        <w:t>，食品抽检应公布信息公布率</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w:t>
      </w:r>
    </w:p>
    <w:p w:rsidR="004B0FC1" w:rsidRDefault="00A976D9">
      <w:pPr>
        <w:kinsoku/>
        <w:autoSpaceDE/>
        <w:autoSpaceDN/>
        <w:spacing w:line="578" w:lineRule="exact"/>
        <w:ind w:firstLineChars="200" w:firstLine="643"/>
        <w:contextualSpacing/>
        <w:textAlignment w:val="auto"/>
        <w:rPr>
          <w:rFonts w:ascii="Times New Roman" w:eastAsia="仿宋_GB2312" w:hAnsi="Times New Roman" w:cs="仿宋_GB2312"/>
          <w:b/>
          <w:bCs/>
          <w:snapToGrid/>
          <w:kern w:val="2"/>
          <w:sz w:val="32"/>
          <w:szCs w:val="32"/>
          <w:lang w:val="zh-CN" w:eastAsia="zh-CN"/>
        </w:rPr>
      </w:pPr>
      <w:r>
        <w:rPr>
          <w:rFonts w:ascii="Times New Roman" w:eastAsia="仿宋_GB2312" w:hAnsi="Times New Roman" w:cs="仿宋_GB2312" w:hint="eastAsia"/>
          <w:b/>
          <w:bCs/>
          <w:snapToGrid/>
          <w:kern w:val="2"/>
          <w:sz w:val="32"/>
          <w:szCs w:val="32"/>
          <w:lang w:val="zh-CN" w:eastAsia="zh-CN"/>
        </w:rPr>
        <w:t>2.</w:t>
      </w:r>
      <w:r>
        <w:rPr>
          <w:rFonts w:ascii="Times New Roman" w:eastAsia="仿宋_GB2312" w:hAnsi="Times New Roman" w:cs="仿宋_GB2312" w:hint="eastAsia"/>
          <w:b/>
          <w:bCs/>
          <w:snapToGrid/>
          <w:kern w:val="2"/>
          <w:sz w:val="32"/>
          <w:szCs w:val="32"/>
          <w:lang w:val="zh-CN" w:eastAsia="zh-CN"/>
        </w:rPr>
        <w:t>预算管理。</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市市场监管局预算编制科学规范、依据充分、测算较为精准，与年度重点工作任务高度衔接；收入统筹合理有序，依法依规组织各项收入，资金保障能力持续增强；支出执行进度均</w:t>
      </w:r>
      <w:r>
        <w:rPr>
          <w:rFonts w:ascii="Times New Roman" w:eastAsia="仿宋_GB2312" w:hAnsi="Times New Roman" w:cs="Times New Roman" w:hint="eastAsia"/>
          <w:snapToGrid/>
          <w:kern w:val="2"/>
          <w:sz w:val="32"/>
          <w:szCs w:val="32"/>
          <w:lang w:val="zh-CN" w:eastAsia="zh-CN"/>
        </w:rPr>
        <w:lastRenderedPageBreak/>
        <w:t>衡高效，重点支出保障到位，有效提升资金使用效率；预算年终结余控制合理，存量资金盘活到位，无长期沉淀闲置现象；严格落实过紧日子要求，从严管控一般性支出，切实优化支出结构，整体预算管理规范高效，较好完成预算管理各项目标任务。</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市市场监管局部</w:t>
      </w:r>
      <w:proofErr w:type="gramStart"/>
      <w:r>
        <w:rPr>
          <w:rFonts w:ascii="Times New Roman" w:eastAsia="仿宋_GB2312" w:hAnsi="Times New Roman" w:cs="Times New Roman" w:hint="eastAsia"/>
          <w:snapToGrid/>
          <w:kern w:val="2"/>
          <w:sz w:val="32"/>
          <w:szCs w:val="32"/>
          <w:lang w:val="zh-CN" w:eastAsia="zh-CN"/>
        </w:rPr>
        <w:t>门财政</w:t>
      </w:r>
      <w:proofErr w:type="gramEnd"/>
      <w:r>
        <w:rPr>
          <w:rFonts w:ascii="Times New Roman" w:eastAsia="仿宋_GB2312" w:hAnsi="Times New Roman" w:cs="Times New Roman" w:hint="eastAsia"/>
          <w:snapToGrid/>
          <w:kern w:val="2"/>
          <w:sz w:val="32"/>
          <w:szCs w:val="32"/>
          <w:lang w:val="zh-CN" w:eastAsia="zh-CN"/>
        </w:rPr>
        <w:t>拨款年</w:t>
      </w:r>
      <w:proofErr w:type="gramStart"/>
      <w:r>
        <w:rPr>
          <w:rFonts w:ascii="Times New Roman" w:eastAsia="仿宋_GB2312" w:hAnsi="Times New Roman" w:cs="Times New Roman" w:hint="eastAsia"/>
          <w:snapToGrid/>
          <w:kern w:val="2"/>
          <w:sz w:val="32"/>
          <w:szCs w:val="32"/>
          <w:lang w:val="zh-CN" w:eastAsia="zh-CN"/>
        </w:rPr>
        <w:t>末决</w:t>
      </w:r>
      <w:proofErr w:type="gramEnd"/>
      <w:r>
        <w:rPr>
          <w:rFonts w:ascii="Times New Roman" w:eastAsia="仿宋_GB2312" w:hAnsi="Times New Roman" w:cs="Times New Roman" w:hint="eastAsia"/>
          <w:snapToGrid/>
          <w:kern w:val="2"/>
          <w:sz w:val="32"/>
          <w:szCs w:val="32"/>
          <w:lang w:val="zh-CN" w:eastAsia="zh-CN"/>
        </w:rPr>
        <w:t>算数比年初预算增加</w:t>
      </w:r>
      <w:r>
        <w:rPr>
          <w:rFonts w:ascii="Times New Roman" w:eastAsia="仿宋_GB2312" w:hAnsi="Times New Roman" w:cs="Times New Roman" w:hint="eastAsia"/>
          <w:snapToGrid/>
          <w:kern w:val="2"/>
          <w:sz w:val="32"/>
          <w:szCs w:val="32"/>
          <w:lang w:val="zh-CN" w:eastAsia="zh-CN"/>
        </w:rPr>
        <w:t>18.4%</w:t>
      </w:r>
      <w:r>
        <w:rPr>
          <w:rFonts w:ascii="Times New Roman" w:eastAsia="仿宋_GB2312" w:hAnsi="Times New Roman" w:cs="Times New Roman" w:hint="eastAsia"/>
          <w:snapToGrid/>
          <w:kern w:val="2"/>
          <w:sz w:val="32"/>
          <w:szCs w:val="32"/>
          <w:lang w:val="zh-CN" w:eastAsia="zh-CN"/>
        </w:rPr>
        <w:t>，存在偏差的主要原因为中期下达中央、省、市三级专项预算</w:t>
      </w:r>
      <w:r>
        <w:rPr>
          <w:rFonts w:ascii="Times New Roman" w:eastAsia="仿宋_GB2312" w:hAnsi="Times New Roman" w:cs="Times New Roman" w:hint="eastAsia"/>
          <w:snapToGrid/>
          <w:kern w:val="2"/>
          <w:sz w:val="32"/>
          <w:szCs w:val="32"/>
          <w:lang w:val="zh-CN" w:eastAsia="zh-CN"/>
        </w:rPr>
        <w:t>639</w:t>
      </w:r>
      <w:r>
        <w:rPr>
          <w:rFonts w:ascii="Times New Roman" w:eastAsia="仿宋_GB2312" w:hAnsi="Times New Roman" w:cs="Times New Roman" w:hint="eastAsia"/>
          <w:snapToGrid/>
          <w:kern w:val="2"/>
          <w:sz w:val="32"/>
          <w:szCs w:val="32"/>
          <w:lang w:val="zh-CN" w:eastAsia="zh-CN"/>
        </w:rPr>
        <w:t>万元，主要用于完成食品、药品、工业产品等抽检监测及检验检测设备购置等专项工作任务。我局</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至</w:t>
      </w:r>
      <w:r>
        <w:rPr>
          <w:rFonts w:ascii="Times New Roman" w:eastAsia="仿宋_GB2312" w:hAnsi="Times New Roman" w:cs="Times New Roman" w:hint="eastAsia"/>
          <w:snapToGrid/>
          <w:kern w:val="2"/>
          <w:sz w:val="32"/>
          <w:szCs w:val="32"/>
          <w:lang w:val="zh-CN" w:eastAsia="zh-CN"/>
        </w:rPr>
        <w:t>6</w:t>
      </w:r>
      <w:r>
        <w:rPr>
          <w:rFonts w:ascii="Times New Roman" w:eastAsia="仿宋_GB2312" w:hAnsi="Times New Roman" w:cs="Times New Roman" w:hint="eastAsia"/>
          <w:snapToGrid/>
          <w:kern w:val="2"/>
          <w:sz w:val="32"/>
          <w:szCs w:val="32"/>
          <w:lang w:val="zh-CN" w:eastAsia="zh-CN"/>
        </w:rPr>
        <w:t>月、</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至</w:t>
      </w:r>
      <w:r>
        <w:rPr>
          <w:rFonts w:ascii="Times New Roman" w:eastAsia="仿宋_GB2312" w:hAnsi="Times New Roman" w:cs="Times New Roman" w:hint="eastAsia"/>
          <w:snapToGrid/>
          <w:kern w:val="2"/>
          <w:sz w:val="32"/>
          <w:szCs w:val="32"/>
          <w:lang w:val="zh-CN" w:eastAsia="zh-CN"/>
        </w:rPr>
        <w:t>10</w:t>
      </w:r>
      <w:r>
        <w:rPr>
          <w:rFonts w:ascii="Times New Roman" w:eastAsia="仿宋_GB2312" w:hAnsi="Times New Roman" w:cs="Times New Roman" w:hint="eastAsia"/>
          <w:snapToGrid/>
          <w:kern w:val="2"/>
          <w:sz w:val="32"/>
          <w:szCs w:val="32"/>
          <w:lang w:val="zh-CN" w:eastAsia="zh-CN"/>
        </w:rPr>
        <w:t>月、</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至</w:t>
      </w:r>
      <w:r>
        <w:rPr>
          <w:rFonts w:ascii="Times New Roman" w:eastAsia="仿宋_GB2312" w:hAnsi="Times New Roman" w:cs="Times New Roman" w:hint="eastAsia"/>
          <w:snapToGrid/>
          <w:kern w:val="2"/>
          <w:sz w:val="32"/>
          <w:szCs w:val="32"/>
          <w:lang w:val="zh-CN" w:eastAsia="zh-CN"/>
        </w:rPr>
        <w:t>12</w:t>
      </w:r>
      <w:r>
        <w:rPr>
          <w:rFonts w:ascii="Times New Roman" w:eastAsia="仿宋_GB2312" w:hAnsi="Times New Roman" w:cs="Times New Roman" w:hint="eastAsia"/>
          <w:snapToGrid/>
          <w:kern w:val="2"/>
          <w:sz w:val="32"/>
          <w:szCs w:val="32"/>
          <w:lang w:val="zh-CN" w:eastAsia="zh-CN"/>
        </w:rPr>
        <w:t>月预算执行进度分别为</w:t>
      </w:r>
      <w:r>
        <w:rPr>
          <w:rFonts w:ascii="Times New Roman" w:eastAsia="仿宋_GB2312" w:hAnsi="Times New Roman" w:cs="Times New Roman" w:hint="eastAsia"/>
          <w:snapToGrid/>
          <w:kern w:val="2"/>
          <w:sz w:val="32"/>
          <w:szCs w:val="32"/>
          <w:lang w:val="zh-CN" w:eastAsia="zh-CN"/>
        </w:rPr>
        <w:t>45.6%</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70.8%</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87.</w:t>
      </w:r>
      <w:r>
        <w:rPr>
          <w:rFonts w:ascii="Times New Roman" w:eastAsia="仿宋_GB2312" w:hAnsi="Times New Roman" w:cs="Times New Roman" w:hint="eastAsia"/>
          <w:snapToGrid/>
          <w:kern w:val="2"/>
          <w:sz w:val="32"/>
          <w:szCs w:val="32"/>
          <w:lang w:eastAsia="zh-CN"/>
        </w:rPr>
        <w:t>5</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年部门整体年终预算结余率</w:t>
      </w:r>
      <w:r>
        <w:rPr>
          <w:rFonts w:ascii="Times New Roman" w:eastAsia="仿宋_GB2312" w:hAnsi="Times New Roman" w:cs="Times New Roman" w:hint="eastAsia"/>
          <w:snapToGrid/>
          <w:kern w:val="2"/>
          <w:sz w:val="32"/>
          <w:szCs w:val="32"/>
          <w:lang w:eastAsia="zh-CN"/>
        </w:rPr>
        <w:t>4</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w:t>
      </w:r>
    </w:p>
    <w:p w:rsidR="004B0FC1" w:rsidRDefault="00A976D9">
      <w:pPr>
        <w:kinsoku/>
        <w:autoSpaceDE/>
        <w:autoSpaceDN/>
        <w:spacing w:line="578" w:lineRule="exact"/>
        <w:ind w:firstLineChars="200" w:firstLine="643"/>
        <w:contextualSpacing/>
        <w:textAlignment w:val="auto"/>
        <w:rPr>
          <w:rFonts w:ascii="Times New Roman" w:eastAsia="仿宋_GB2312" w:hAnsi="Times New Roman" w:cs="仿宋_GB2312"/>
          <w:b/>
          <w:bCs/>
          <w:snapToGrid/>
          <w:kern w:val="2"/>
          <w:sz w:val="32"/>
          <w:szCs w:val="32"/>
          <w:lang w:val="zh-CN" w:eastAsia="zh-CN"/>
        </w:rPr>
      </w:pPr>
      <w:r>
        <w:rPr>
          <w:rFonts w:ascii="Times New Roman" w:eastAsia="仿宋_GB2312" w:hAnsi="Times New Roman" w:cs="仿宋_GB2312" w:hint="eastAsia"/>
          <w:b/>
          <w:bCs/>
          <w:snapToGrid/>
          <w:kern w:val="2"/>
          <w:sz w:val="32"/>
          <w:szCs w:val="32"/>
          <w:lang w:eastAsia="zh-CN"/>
        </w:rPr>
        <w:t>3.</w:t>
      </w:r>
      <w:r>
        <w:rPr>
          <w:rFonts w:ascii="Times New Roman" w:eastAsia="仿宋_GB2312" w:hAnsi="Times New Roman" w:cs="仿宋_GB2312" w:hint="eastAsia"/>
          <w:b/>
          <w:bCs/>
          <w:snapToGrid/>
          <w:kern w:val="2"/>
          <w:sz w:val="32"/>
          <w:szCs w:val="32"/>
          <w:lang w:val="zh-CN" w:eastAsia="zh-CN"/>
        </w:rPr>
        <w:t>财务管理。</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市市场监管局建立健全并严格执行政府采购、差旅费、培训费、会议费、公务接待费等各项财务管理制度，内控流程较完善、审批程序规范；财务岗位设置合理，落实不相容岗位分离要求，职责清晰、人员配备到位，财务人员专业能力较强；资金使用合法合</w:t>
      </w:r>
      <w:proofErr w:type="gramStart"/>
      <w:r>
        <w:rPr>
          <w:rFonts w:ascii="Times New Roman" w:eastAsia="仿宋_GB2312" w:hAnsi="Times New Roman" w:cs="Times New Roman" w:hint="eastAsia"/>
          <w:snapToGrid/>
          <w:kern w:val="2"/>
          <w:sz w:val="32"/>
          <w:szCs w:val="32"/>
          <w:lang w:val="zh-CN" w:eastAsia="zh-CN"/>
        </w:rPr>
        <w:t>规</w:t>
      </w:r>
      <w:proofErr w:type="gramEnd"/>
      <w:r>
        <w:rPr>
          <w:rFonts w:ascii="Times New Roman" w:eastAsia="仿宋_GB2312" w:hAnsi="Times New Roman" w:cs="Times New Roman" w:hint="eastAsia"/>
          <w:snapToGrid/>
          <w:kern w:val="2"/>
          <w:sz w:val="32"/>
          <w:szCs w:val="32"/>
          <w:lang w:val="zh-CN" w:eastAsia="zh-CN"/>
        </w:rPr>
        <w:t>，严格按照预算和规定用途拨付使用，会计核算规范准确，无挤占、挪用、违规开支等情况，财务管理运行规范、管控有力，资金安全和使用效益得到有效保障。</w:t>
      </w:r>
    </w:p>
    <w:p w:rsidR="004B0FC1" w:rsidRDefault="00A976D9">
      <w:pPr>
        <w:kinsoku/>
        <w:autoSpaceDE/>
        <w:autoSpaceDN/>
        <w:spacing w:line="578" w:lineRule="exact"/>
        <w:ind w:firstLineChars="200" w:firstLine="643"/>
        <w:contextualSpacing/>
        <w:textAlignment w:val="auto"/>
        <w:rPr>
          <w:rFonts w:ascii="Times New Roman" w:eastAsia="仿宋_GB2312" w:hAnsi="Times New Roman" w:cs="仿宋_GB2312"/>
          <w:b/>
          <w:bCs/>
          <w:snapToGrid/>
          <w:kern w:val="2"/>
          <w:sz w:val="32"/>
          <w:szCs w:val="32"/>
          <w:lang w:val="zh-CN" w:eastAsia="zh-CN"/>
        </w:rPr>
      </w:pPr>
      <w:r>
        <w:rPr>
          <w:rFonts w:ascii="Times New Roman" w:eastAsia="仿宋_GB2312" w:hAnsi="Times New Roman" w:cs="仿宋_GB2312" w:hint="eastAsia"/>
          <w:b/>
          <w:bCs/>
          <w:snapToGrid/>
          <w:kern w:val="2"/>
          <w:sz w:val="32"/>
          <w:szCs w:val="32"/>
          <w:lang w:eastAsia="zh-CN"/>
        </w:rPr>
        <w:t>4.</w:t>
      </w:r>
      <w:r>
        <w:rPr>
          <w:rFonts w:ascii="Times New Roman" w:eastAsia="仿宋_GB2312" w:hAnsi="Times New Roman" w:cs="仿宋_GB2312" w:hint="eastAsia"/>
          <w:b/>
          <w:bCs/>
          <w:snapToGrid/>
          <w:kern w:val="2"/>
          <w:sz w:val="32"/>
          <w:szCs w:val="32"/>
          <w:lang w:val="zh-CN" w:eastAsia="zh-CN"/>
        </w:rPr>
        <w:t>资产管理。</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年，我局人均资产增长率为</w:t>
      </w:r>
      <w:r>
        <w:rPr>
          <w:rFonts w:ascii="Times New Roman" w:eastAsia="仿宋_GB2312" w:hAnsi="Times New Roman" w:cs="Times New Roman" w:hint="eastAsia"/>
          <w:snapToGrid/>
          <w:kern w:val="2"/>
          <w:sz w:val="32"/>
          <w:szCs w:val="32"/>
          <w:lang w:val="zh-CN" w:eastAsia="zh-CN"/>
        </w:rPr>
        <w:t>50.</w:t>
      </w:r>
      <w:r>
        <w:rPr>
          <w:rFonts w:ascii="Times New Roman" w:eastAsia="仿宋_GB2312" w:hAnsi="Times New Roman" w:cs="Times New Roman" w:hint="eastAsia"/>
          <w:snapToGrid/>
          <w:kern w:val="2"/>
          <w:sz w:val="32"/>
          <w:szCs w:val="32"/>
          <w:lang w:eastAsia="zh-CN"/>
        </w:rPr>
        <w:t>7</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，主要原因是本年购置设备和攀西钒钛检验检测院在建工程转固定资产。</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年处置过期、闲置资产</w:t>
      </w:r>
      <w:r>
        <w:rPr>
          <w:rFonts w:ascii="Times New Roman" w:eastAsia="仿宋_GB2312" w:hAnsi="Times New Roman" w:cs="Times New Roman" w:hint="eastAsia"/>
          <w:snapToGrid/>
          <w:kern w:val="2"/>
          <w:sz w:val="32"/>
          <w:szCs w:val="32"/>
          <w:lang w:val="zh-CN" w:eastAsia="zh-CN"/>
        </w:rPr>
        <w:t>135.49</w:t>
      </w:r>
      <w:r>
        <w:rPr>
          <w:rFonts w:ascii="Times New Roman" w:eastAsia="仿宋_GB2312" w:hAnsi="Times New Roman" w:cs="Times New Roman" w:hint="eastAsia"/>
          <w:snapToGrid/>
          <w:kern w:val="2"/>
          <w:sz w:val="32"/>
          <w:szCs w:val="32"/>
          <w:lang w:val="zh-CN" w:eastAsia="zh-CN"/>
        </w:rPr>
        <w:t>万元。部门办公</w:t>
      </w:r>
      <w:proofErr w:type="gramStart"/>
      <w:r>
        <w:rPr>
          <w:rFonts w:ascii="Times New Roman" w:eastAsia="仿宋_GB2312" w:hAnsi="Times New Roman" w:cs="Times New Roman" w:hint="eastAsia"/>
          <w:snapToGrid/>
          <w:kern w:val="2"/>
          <w:sz w:val="32"/>
          <w:szCs w:val="32"/>
          <w:lang w:val="zh-CN" w:eastAsia="zh-CN"/>
        </w:rPr>
        <w:t>家具超</w:t>
      </w:r>
      <w:proofErr w:type="gramEnd"/>
      <w:r>
        <w:rPr>
          <w:rFonts w:ascii="Times New Roman" w:eastAsia="仿宋_GB2312" w:hAnsi="Times New Roman" w:cs="Times New Roman" w:hint="eastAsia"/>
          <w:snapToGrid/>
          <w:kern w:val="2"/>
          <w:sz w:val="32"/>
          <w:szCs w:val="32"/>
          <w:lang w:val="zh-CN" w:eastAsia="zh-CN"/>
        </w:rPr>
        <w:t>最低使用年</w:t>
      </w:r>
      <w:r>
        <w:rPr>
          <w:rFonts w:ascii="Times New Roman" w:eastAsia="仿宋_GB2312" w:hAnsi="Times New Roman" w:cs="Times New Roman" w:hint="eastAsia"/>
          <w:snapToGrid/>
          <w:kern w:val="2"/>
          <w:sz w:val="32"/>
          <w:szCs w:val="32"/>
          <w:lang w:val="zh-CN" w:eastAsia="zh-CN"/>
        </w:rPr>
        <w:lastRenderedPageBreak/>
        <w:t>限资产利用率</w:t>
      </w:r>
      <w:r>
        <w:rPr>
          <w:rFonts w:ascii="Times New Roman" w:eastAsia="仿宋_GB2312" w:hAnsi="Times New Roman" w:cs="Times New Roman" w:hint="eastAsia"/>
          <w:snapToGrid/>
          <w:kern w:val="2"/>
          <w:sz w:val="32"/>
          <w:szCs w:val="32"/>
          <w:lang w:val="zh-CN" w:eastAsia="zh-CN"/>
        </w:rPr>
        <w:t>93%</w:t>
      </w:r>
      <w:r>
        <w:rPr>
          <w:rFonts w:ascii="Times New Roman" w:eastAsia="仿宋_GB2312" w:hAnsi="Times New Roman" w:cs="Times New Roman" w:hint="eastAsia"/>
          <w:snapToGrid/>
          <w:kern w:val="2"/>
          <w:sz w:val="32"/>
          <w:szCs w:val="32"/>
          <w:lang w:val="zh-CN" w:eastAsia="zh-CN"/>
        </w:rPr>
        <w:t>。办公</w:t>
      </w:r>
      <w:proofErr w:type="gramStart"/>
      <w:r>
        <w:rPr>
          <w:rFonts w:ascii="Times New Roman" w:eastAsia="仿宋_GB2312" w:hAnsi="Times New Roman" w:cs="Times New Roman" w:hint="eastAsia"/>
          <w:snapToGrid/>
          <w:kern w:val="2"/>
          <w:sz w:val="32"/>
          <w:szCs w:val="32"/>
          <w:lang w:val="zh-CN" w:eastAsia="zh-CN"/>
        </w:rPr>
        <w:t>设备超</w:t>
      </w:r>
      <w:proofErr w:type="gramEnd"/>
      <w:r>
        <w:rPr>
          <w:rFonts w:ascii="Times New Roman" w:eastAsia="仿宋_GB2312" w:hAnsi="Times New Roman" w:cs="Times New Roman" w:hint="eastAsia"/>
          <w:snapToGrid/>
          <w:kern w:val="2"/>
          <w:sz w:val="32"/>
          <w:szCs w:val="32"/>
          <w:lang w:val="zh-CN" w:eastAsia="zh-CN"/>
        </w:rPr>
        <w:t>最低使用年限资产利用率</w:t>
      </w:r>
      <w:r>
        <w:rPr>
          <w:rFonts w:ascii="Times New Roman" w:eastAsia="仿宋_GB2312" w:hAnsi="Times New Roman" w:cs="Times New Roman" w:hint="eastAsia"/>
          <w:snapToGrid/>
          <w:kern w:val="2"/>
          <w:sz w:val="32"/>
          <w:szCs w:val="32"/>
          <w:lang w:val="zh-CN" w:eastAsia="zh-CN"/>
        </w:rPr>
        <w:t>63%</w:t>
      </w:r>
      <w:r>
        <w:rPr>
          <w:rFonts w:ascii="Times New Roman" w:eastAsia="仿宋_GB2312" w:hAnsi="Times New Roman" w:cs="Times New Roman" w:hint="eastAsia"/>
          <w:snapToGrid/>
          <w:kern w:val="2"/>
          <w:sz w:val="32"/>
          <w:szCs w:val="32"/>
          <w:lang w:val="zh-CN" w:eastAsia="zh-CN"/>
        </w:rPr>
        <w:t>。</w:t>
      </w:r>
    </w:p>
    <w:p w:rsidR="004B0FC1" w:rsidRDefault="00A976D9">
      <w:pPr>
        <w:kinsoku/>
        <w:autoSpaceDE/>
        <w:autoSpaceDN/>
        <w:spacing w:line="578" w:lineRule="exact"/>
        <w:ind w:firstLineChars="200" w:firstLine="643"/>
        <w:contextualSpacing/>
        <w:textAlignment w:val="auto"/>
        <w:rPr>
          <w:rFonts w:ascii="Times New Roman" w:eastAsia="仿宋_GB2312" w:hAnsi="Times New Roman" w:cs="仿宋_GB2312"/>
          <w:b/>
          <w:bCs/>
          <w:snapToGrid/>
          <w:kern w:val="2"/>
          <w:sz w:val="32"/>
          <w:szCs w:val="32"/>
          <w:lang w:val="zh-CN" w:eastAsia="zh-CN"/>
        </w:rPr>
      </w:pPr>
      <w:r>
        <w:rPr>
          <w:rFonts w:ascii="Times New Roman" w:eastAsia="仿宋_GB2312" w:hAnsi="Times New Roman" w:cs="仿宋_GB2312" w:hint="eastAsia"/>
          <w:b/>
          <w:bCs/>
          <w:snapToGrid/>
          <w:kern w:val="2"/>
          <w:sz w:val="32"/>
          <w:szCs w:val="32"/>
          <w:lang w:eastAsia="zh-CN"/>
        </w:rPr>
        <w:t>5.</w:t>
      </w:r>
      <w:r>
        <w:rPr>
          <w:rFonts w:ascii="Times New Roman" w:eastAsia="仿宋_GB2312" w:hAnsi="Times New Roman" w:cs="仿宋_GB2312" w:hint="eastAsia"/>
          <w:b/>
          <w:bCs/>
          <w:snapToGrid/>
          <w:kern w:val="2"/>
          <w:sz w:val="32"/>
          <w:szCs w:val="32"/>
          <w:lang w:val="zh-CN" w:eastAsia="zh-CN"/>
        </w:rPr>
        <w:t>采购管理。</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年政府采购金额</w:t>
      </w:r>
      <w:r>
        <w:rPr>
          <w:rFonts w:ascii="Times New Roman" w:eastAsia="仿宋_GB2312" w:hAnsi="Times New Roman" w:cs="Times New Roman" w:hint="eastAsia"/>
          <w:snapToGrid/>
          <w:kern w:val="2"/>
          <w:sz w:val="32"/>
          <w:szCs w:val="32"/>
          <w:lang w:val="zh-CN" w:eastAsia="zh-CN"/>
        </w:rPr>
        <w:t>764.41</w:t>
      </w:r>
      <w:r>
        <w:rPr>
          <w:rFonts w:ascii="Times New Roman" w:eastAsia="仿宋_GB2312" w:hAnsi="Times New Roman" w:cs="Times New Roman" w:hint="eastAsia"/>
          <w:snapToGrid/>
          <w:kern w:val="2"/>
          <w:sz w:val="32"/>
          <w:szCs w:val="32"/>
          <w:lang w:val="zh-CN" w:eastAsia="zh-CN"/>
        </w:rPr>
        <w:t>万元，其中：政府采购货物支出</w:t>
      </w:r>
      <w:r>
        <w:rPr>
          <w:rFonts w:ascii="Times New Roman" w:eastAsia="仿宋_GB2312" w:hAnsi="Times New Roman" w:cs="Times New Roman" w:hint="eastAsia"/>
          <w:snapToGrid/>
          <w:kern w:val="2"/>
          <w:sz w:val="32"/>
          <w:szCs w:val="32"/>
          <w:lang w:val="zh-CN" w:eastAsia="zh-CN"/>
        </w:rPr>
        <w:t>671.41</w:t>
      </w:r>
      <w:r>
        <w:rPr>
          <w:rFonts w:ascii="Times New Roman" w:eastAsia="仿宋_GB2312" w:hAnsi="Times New Roman" w:cs="Times New Roman" w:hint="eastAsia"/>
          <w:snapToGrid/>
          <w:kern w:val="2"/>
          <w:sz w:val="32"/>
          <w:szCs w:val="32"/>
          <w:lang w:val="zh-CN" w:eastAsia="zh-CN"/>
        </w:rPr>
        <w:t>万元，政府采购服务支出</w:t>
      </w:r>
      <w:r>
        <w:rPr>
          <w:rFonts w:ascii="Times New Roman" w:eastAsia="仿宋_GB2312" w:hAnsi="Times New Roman" w:cs="Times New Roman" w:hint="eastAsia"/>
          <w:snapToGrid/>
          <w:kern w:val="2"/>
          <w:sz w:val="32"/>
          <w:szCs w:val="32"/>
          <w:lang w:val="zh-CN" w:eastAsia="zh-CN"/>
        </w:rPr>
        <w:t>93</w:t>
      </w:r>
      <w:r>
        <w:rPr>
          <w:rFonts w:ascii="Times New Roman" w:eastAsia="仿宋_GB2312" w:hAnsi="Times New Roman" w:cs="Times New Roman" w:hint="eastAsia"/>
          <w:snapToGrid/>
          <w:kern w:val="2"/>
          <w:sz w:val="32"/>
          <w:szCs w:val="32"/>
          <w:lang w:val="zh-CN" w:eastAsia="zh-CN"/>
        </w:rPr>
        <w:t>万元。对中小企业实施采购金额为</w:t>
      </w:r>
      <w:r>
        <w:rPr>
          <w:rFonts w:ascii="Times New Roman" w:eastAsia="仿宋_GB2312" w:hAnsi="Times New Roman" w:cs="Times New Roman" w:hint="eastAsia"/>
          <w:snapToGrid/>
          <w:kern w:val="2"/>
          <w:sz w:val="32"/>
          <w:szCs w:val="32"/>
          <w:lang w:val="zh-CN" w:eastAsia="zh-CN"/>
        </w:rPr>
        <w:t>656.9</w:t>
      </w:r>
      <w:r>
        <w:rPr>
          <w:rFonts w:ascii="Times New Roman" w:eastAsia="仿宋_GB2312" w:hAnsi="Times New Roman" w:cs="Times New Roman" w:hint="eastAsia"/>
          <w:snapToGrid/>
          <w:kern w:val="2"/>
          <w:sz w:val="32"/>
          <w:szCs w:val="32"/>
          <w:lang w:val="zh-CN" w:eastAsia="zh-CN"/>
        </w:rPr>
        <w:t>万元。</w:t>
      </w:r>
    </w:p>
    <w:p w:rsidR="004B0FC1" w:rsidRDefault="00A976D9" w:rsidP="0061664C">
      <w:pPr>
        <w:kinsoku/>
        <w:autoSpaceDE/>
        <w:autoSpaceDN/>
        <w:spacing w:line="578" w:lineRule="exact"/>
        <w:ind w:firstLineChars="200" w:firstLine="641"/>
        <w:contextualSpacing/>
        <w:textAlignment w:val="auto"/>
        <w:rPr>
          <w:rFonts w:ascii="Times New Roman" w:eastAsia="楷体_GB2312" w:hAnsi="Times New Roman" w:cs="楷体_GB2312"/>
          <w:b/>
          <w:snapToGrid/>
          <w:kern w:val="2"/>
          <w:sz w:val="32"/>
          <w:szCs w:val="32"/>
          <w:lang w:val="zh-CN" w:eastAsia="zh-CN"/>
        </w:rPr>
      </w:pPr>
      <w:r>
        <w:rPr>
          <w:rFonts w:ascii="Times New Roman" w:eastAsia="楷体_GB2312" w:hAnsi="Times New Roman" w:cs="楷体_GB2312" w:hint="eastAsia"/>
          <w:b/>
          <w:snapToGrid/>
          <w:kern w:val="2"/>
          <w:sz w:val="32"/>
          <w:szCs w:val="32"/>
          <w:lang w:val="zh-CN" w:eastAsia="zh-CN"/>
        </w:rPr>
        <w:t>（二）部门预算项目绩效分析。</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常年项目绩效分析。该类项目总数</w:t>
      </w:r>
      <w:r>
        <w:rPr>
          <w:rFonts w:ascii="Times New Roman" w:eastAsia="仿宋_GB2312" w:hAnsi="Times New Roman" w:cs="Times New Roman" w:hint="eastAsia"/>
          <w:snapToGrid/>
          <w:kern w:val="2"/>
          <w:sz w:val="32"/>
          <w:szCs w:val="32"/>
          <w:lang w:val="zh-CN" w:eastAsia="zh-CN"/>
        </w:rPr>
        <w:t>13</w:t>
      </w:r>
      <w:r>
        <w:rPr>
          <w:rFonts w:ascii="Times New Roman" w:eastAsia="仿宋_GB2312" w:hAnsi="Times New Roman" w:cs="Times New Roman" w:hint="eastAsia"/>
          <w:snapToGrid/>
          <w:kern w:val="2"/>
          <w:sz w:val="32"/>
          <w:szCs w:val="32"/>
          <w:lang w:val="zh-CN" w:eastAsia="zh-CN"/>
        </w:rPr>
        <w:t>个，涉及预算总金额</w:t>
      </w:r>
      <w:r>
        <w:rPr>
          <w:rFonts w:ascii="Times New Roman" w:eastAsia="仿宋_GB2312" w:hAnsi="Times New Roman" w:cs="Times New Roman" w:hint="eastAsia"/>
          <w:snapToGrid/>
          <w:kern w:val="2"/>
          <w:sz w:val="32"/>
          <w:szCs w:val="32"/>
          <w:lang w:val="zh-CN" w:eastAsia="zh-CN"/>
        </w:rPr>
        <w:t>362.03</w:t>
      </w:r>
      <w:r>
        <w:rPr>
          <w:rFonts w:ascii="Times New Roman" w:eastAsia="仿宋_GB2312" w:hAnsi="Times New Roman" w:cs="Times New Roman" w:hint="eastAsia"/>
          <w:snapToGrid/>
          <w:kern w:val="2"/>
          <w:sz w:val="32"/>
          <w:szCs w:val="32"/>
          <w:lang w:val="zh-CN" w:eastAsia="zh-CN"/>
        </w:rPr>
        <w:t>万元，</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12</w:t>
      </w:r>
      <w:r>
        <w:rPr>
          <w:rFonts w:ascii="Times New Roman" w:eastAsia="仿宋_GB2312" w:hAnsi="Times New Roman" w:cs="Times New Roman" w:hint="eastAsia"/>
          <w:snapToGrid/>
          <w:kern w:val="2"/>
          <w:sz w:val="32"/>
          <w:szCs w:val="32"/>
          <w:lang w:val="zh-CN" w:eastAsia="zh-CN"/>
        </w:rPr>
        <w:t>月预算执行总体进度为</w:t>
      </w:r>
      <w:r>
        <w:rPr>
          <w:rFonts w:ascii="Times New Roman" w:eastAsia="仿宋_GB2312" w:hAnsi="Times New Roman" w:cs="Times New Roman" w:hint="eastAsia"/>
          <w:snapToGrid/>
          <w:kern w:val="2"/>
          <w:sz w:val="32"/>
          <w:szCs w:val="32"/>
          <w:lang w:val="zh-CN" w:eastAsia="zh-CN"/>
        </w:rPr>
        <w:t>71.4%</w:t>
      </w:r>
      <w:r>
        <w:rPr>
          <w:rFonts w:ascii="Times New Roman" w:eastAsia="仿宋_GB2312" w:hAnsi="Times New Roman" w:cs="Times New Roman" w:hint="eastAsia"/>
          <w:snapToGrid/>
          <w:kern w:val="2"/>
          <w:sz w:val="32"/>
          <w:szCs w:val="32"/>
          <w:lang w:val="zh-CN" w:eastAsia="zh-CN"/>
        </w:rPr>
        <w:t>，其中：预算结余率大于</w:t>
      </w:r>
      <w:r>
        <w:rPr>
          <w:rFonts w:ascii="Times New Roman" w:eastAsia="仿宋_GB2312" w:hAnsi="Times New Roman" w:cs="Times New Roman" w:hint="eastAsia"/>
          <w:snapToGrid/>
          <w:kern w:val="2"/>
          <w:sz w:val="32"/>
          <w:szCs w:val="32"/>
          <w:lang w:val="zh-CN" w:eastAsia="zh-CN"/>
        </w:rPr>
        <w:t>10%</w:t>
      </w:r>
      <w:r>
        <w:rPr>
          <w:rFonts w:ascii="Times New Roman" w:eastAsia="仿宋_GB2312" w:hAnsi="Times New Roman" w:cs="Times New Roman" w:hint="eastAsia"/>
          <w:snapToGrid/>
          <w:kern w:val="2"/>
          <w:sz w:val="32"/>
          <w:szCs w:val="32"/>
          <w:lang w:val="zh-CN" w:eastAsia="zh-CN"/>
        </w:rPr>
        <w:t>的项目共计</w:t>
      </w:r>
      <w:r>
        <w:rPr>
          <w:rFonts w:ascii="Times New Roman" w:eastAsia="仿宋_GB2312" w:hAnsi="Times New Roman" w:cs="Times New Roman" w:hint="eastAsia"/>
          <w:snapToGrid/>
          <w:kern w:val="2"/>
          <w:sz w:val="32"/>
          <w:szCs w:val="32"/>
          <w:lang w:val="zh-CN" w:eastAsia="zh-CN"/>
        </w:rPr>
        <w:t>5</w:t>
      </w:r>
      <w:r>
        <w:rPr>
          <w:rFonts w:ascii="Times New Roman" w:eastAsia="仿宋_GB2312" w:hAnsi="Times New Roman" w:cs="Times New Roman" w:hint="eastAsia"/>
          <w:snapToGrid/>
          <w:kern w:val="2"/>
          <w:sz w:val="32"/>
          <w:szCs w:val="32"/>
          <w:lang w:val="zh-CN" w:eastAsia="zh-CN"/>
        </w:rPr>
        <w:t>个。</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阶段（含一次性）项目绩效分析。该类项目总数</w:t>
      </w:r>
      <w:r>
        <w:rPr>
          <w:rFonts w:ascii="Times New Roman" w:eastAsia="仿宋_GB2312" w:hAnsi="Times New Roman" w:cs="Times New Roman" w:hint="eastAsia"/>
          <w:snapToGrid/>
          <w:kern w:val="2"/>
          <w:sz w:val="32"/>
          <w:szCs w:val="32"/>
          <w:lang w:val="zh-CN" w:eastAsia="zh-CN"/>
        </w:rPr>
        <w:t>25</w:t>
      </w:r>
      <w:r>
        <w:rPr>
          <w:rFonts w:ascii="Times New Roman" w:eastAsia="仿宋_GB2312" w:hAnsi="Times New Roman" w:cs="Times New Roman" w:hint="eastAsia"/>
          <w:snapToGrid/>
          <w:kern w:val="2"/>
          <w:sz w:val="32"/>
          <w:szCs w:val="32"/>
          <w:lang w:val="zh-CN" w:eastAsia="zh-CN"/>
        </w:rPr>
        <w:t>个，涉及预算总金额</w:t>
      </w:r>
      <w:r>
        <w:rPr>
          <w:rFonts w:ascii="Times New Roman" w:eastAsia="仿宋_GB2312" w:hAnsi="Times New Roman" w:cs="Times New Roman" w:hint="eastAsia"/>
          <w:snapToGrid/>
          <w:kern w:val="2"/>
          <w:sz w:val="32"/>
          <w:szCs w:val="32"/>
          <w:lang w:val="zh-CN" w:eastAsia="zh-CN"/>
        </w:rPr>
        <w:t>1524.01</w:t>
      </w:r>
      <w:r>
        <w:rPr>
          <w:rFonts w:ascii="Times New Roman" w:eastAsia="仿宋_GB2312" w:hAnsi="Times New Roman" w:cs="Times New Roman" w:hint="eastAsia"/>
          <w:snapToGrid/>
          <w:kern w:val="2"/>
          <w:sz w:val="32"/>
          <w:szCs w:val="32"/>
          <w:lang w:val="zh-CN" w:eastAsia="zh-CN"/>
        </w:rPr>
        <w:t>万元，</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12</w:t>
      </w:r>
      <w:r>
        <w:rPr>
          <w:rFonts w:ascii="Times New Roman" w:eastAsia="仿宋_GB2312" w:hAnsi="Times New Roman" w:cs="Times New Roman" w:hint="eastAsia"/>
          <w:snapToGrid/>
          <w:kern w:val="2"/>
          <w:sz w:val="32"/>
          <w:szCs w:val="32"/>
          <w:lang w:val="zh-CN" w:eastAsia="zh-CN"/>
        </w:rPr>
        <w:t>月预算执行总体进度为</w:t>
      </w:r>
      <w:r>
        <w:rPr>
          <w:rFonts w:ascii="Times New Roman" w:eastAsia="仿宋_GB2312" w:hAnsi="Times New Roman" w:cs="Times New Roman" w:hint="eastAsia"/>
          <w:snapToGrid/>
          <w:kern w:val="2"/>
          <w:sz w:val="32"/>
          <w:szCs w:val="32"/>
          <w:lang w:val="zh-CN" w:eastAsia="zh-CN"/>
        </w:rPr>
        <w:t>81.</w:t>
      </w:r>
      <w:r>
        <w:rPr>
          <w:rFonts w:ascii="Times New Roman" w:eastAsia="仿宋_GB2312" w:hAnsi="Times New Roman" w:cs="Times New Roman" w:hint="eastAsia"/>
          <w:snapToGrid/>
          <w:kern w:val="2"/>
          <w:sz w:val="32"/>
          <w:szCs w:val="32"/>
          <w:lang w:eastAsia="zh-CN"/>
        </w:rPr>
        <w:t>1</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，其中：预算结余率大于</w:t>
      </w:r>
      <w:r>
        <w:rPr>
          <w:rFonts w:ascii="Times New Roman" w:eastAsia="仿宋_GB2312" w:hAnsi="Times New Roman" w:cs="Times New Roman" w:hint="eastAsia"/>
          <w:snapToGrid/>
          <w:kern w:val="2"/>
          <w:sz w:val="32"/>
          <w:szCs w:val="32"/>
          <w:lang w:val="zh-CN" w:eastAsia="zh-CN"/>
        </w:rPr>
        <w:t>10%</w:t>
      </w:r>
      <w:r>
        <w:rPr>
          <w:rFonts w:ascii="Times New Roman" w:eastAsia="仿宋_GB2312" w:hAnsi="Times New Roman" w:cs="Times New Roman" w:hint="eastAsia"/>
          <w:snapToGrid/>
          <w:kern w:val="2"/>
          <w:sz w:val="32"/>
          <w:szCs w:val="32"/>
          <w:lang w:val="zh-CN" w:eastAsia="zh-CN"/>
        </w:rPr>
        <w:t>的项目共计</w:t>
      </w:r>
      <w:r>
        <w:rPr>
          <w:rFonts w:ascii="Times New Roman" w:eastAsia="仿宋_GB2312" w:hAnsi="Times New Roman" w:cs="Times New Roman" w:hint="eastAsia"/>
          <w:snapToGrid/>
          <w:kern w:val="2"/>
          <w:sz w:val="32"/>
          <w:szCs w:val="32"/>
          <w:lang w:val="zh-CN" w:eastAsia="zh-CN"/>
        </w:rPr>
        <w:t>13</w:t>
      </w:r>
      <w:r>
        <w:rPr>
          <w:rFonts w:ascii="Times New Roman" w:eastAsia="仿宋_GB2312" w:hAnsi="Times New Roman" w:cs="Times New Roman" w:hint="eastAsia"/>
          <w:snapToGrid/>
          <w:kern w:val="2"/>
          <w:sz w:val="32"/>
          <w:szCs w:val="32"/>
          <w:lang w:val="zh-CN" w:eastAsia="zh-CN"/>
        </w:rPr>
        <w:t>个。</w:t>
      </w:r>
    </w:p>
    <w:p w:rsidR="004B0FC1" w:rsidRDefault="00A976D9">
      <w:pPr>
        <w:kinsoku/>
        <w:autoSpaceDE/>
        <w:autoSpaceDN/>
        <w:spacing w:line="578" w:lineRule="exact"/>
        <w:ind w:firstLineChars="200" w:firstLine="643"/>
        <w:contextualSpacing/>
        <w:textAlignment w:val="auto"/>
        <w:rPr>
          <w:rFonts w:ascii="Times New Roman" w:eastAsia="仿宋_GB2312" w:hAnsi="Times New Roman" w:cs="仿宋_GB2312"/>
          <w:b/>
          <w:bCs/>
          <w:snapToGrid/>
          <w:kern w:val="2"/>
          <w:sz w:val="32"/>
          <w:szCs w:val="32"/>
          <w:lang w:val="zh-CN" w:eastAsia="zh-CN"/>
        </w:rPr>
      </w:pPr>
      <w:r>
        <w:rPr>
          <w:rFonts w:ascii="Times New Roman" w:eastAsia="仿宋_GB2312" w:hAnsi="Times New Roman" w:cs="仿宋_GB2312" w:hint="eastAsia"/>
          <w:b/>
          <w:bCs/>
          <w:snapToGrid/>
          <w:kern w:val="2"/>
          <w:sz w:val="32"/>
          <w:szCs w:val="32"/>
          <w:lang w:eastAsia="zh-CN"/>
        </w:rPr>
        <w:t>1.</w:t>
      </w:r>
      <w:r>
        <w:rPr>
          <w:rFonts w:ascii="Times New Roman" w:eastAsia="仿宋_GB2312" w:hAnsi="Times New Roman" w:cs="仿宋_GB2312" w:hint="eastAsia"/>
          <w:b/>
          <w:bCs/>
          <w:snapToGrid/>
          <w:kern w:val="2"/>
          <w:sz w:val="32"/>
          <w:szCs w:val="32"/>
          <w:lang w:val="zh-CN" w:eastAsia="zh-CN"/>
        </w:rPr>
        <w:t>项目决策。</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年，我局及时在规定时间内完成预算项目入库，对</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个符合条件的项目进行事前绩效评估，科学合理、细化量化设置绩效目标并与预算匹配。</w:t>
      </w:r>
    </w:p>
    <w:p w:rsidR="004B0FC1" w:rsidRDefault="00A976D9">
      <w:pPr>
        <w:kinsoku/>
        <w:autoSpaceDE/>
        <w:autoSpaceDN/>
        <w:spacing w:line="578" w:lineRule="exact"/>
        <w:ind w:firstLineChars="200" w:firstLine="643"/>
        <w:contextualSpacing/>
        <w:textAlignment w:val="auto"/>
        <w:rPr>
          <w:rFonts w:ascii="Times New Roman" w:eastAsia="仿宋_GB2312" w:hAnsi="Times New Roman" w:cs="仿宋_GB2312"/>
          <w:b/>
          <w:bCs/>
          <w:snapToGrid/>
          <w:kern w:val="2"/>
          <w:sz w:val="32"/>
          <w:szCs w:val="32"/>
          <w:lang w:val="zh-CN" w:eastAsia="zh-CN"/>
        </w:rPr>
      </w:pPr>
      <w:r>
        <w:rPr>
          <w:rFonts w:ascii="Times New Roman" w:eastAsia="仿宋_GB2312" w:hAnsi="Times New Roman" w:cs="仿宋_GB2312" w:hint="eastAsia"/>
          <w:b/>
          <w:bCs/>
          <w:snapToGrid/>
          <w:kern w:val="2"/>
          <w:sz w:val="32"/>
          <w:szCs w:val="32"/>
          <w:lang w:eastAsia="zh-CN"/>
        </w:rPr>
        <w:t>2.</w:t>
      </w:r>
      <w:r>
        <w:rPr>
          <w:rFonts w:ascii="Times New Roman" w:eastAsia="仿宋_GB2312" w:hAnsi="Times New Roman" w:cs="仿宋_GB2312" w:hint="eastAsia"/>
          <w:b/>
          <w:bCs/>
          <w:snapToGrid/>
          <w:kern w:val="2"/>
          <w:sz w:val="32"/>
          <w:szCs w:val="32"/>
          <w:lang w:eastAsia="zh-CN"/>
        </w:rPr>
        <w:t>项目执行</w:t>
      </w:r>
      <w:r>
        <w:rPr>
          <w:rFonts w:ascii="Times New Roman" w:eastAsia="仿宋_GB2312" w:hAnsi="Times New Roman" w:cs="仿宋_GB2312" w:hint="eastAsia"/>
          <w:b/>
          <w:bCs/>
          <w:snapToGrid/>
          <w:kern w:val="2"/>
          <w:sz w:val="32"/>
          <w:szCs w:val="32"/>
          <w:lang w:val="zh-CN" w:eastAsia="zh-CN"/>
        </w:rPr>
        <w:t>。</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年本部门资金使用与项目进度、绩效目标保持同频同步，做到专款专用、支出合</w:t>
      </w:r>
      <w:proofErr w:type="gramStart"/>
      <w:r>
        <w:rPr>
          <w:rFonts w:ascii="Times New Roman" w:eastAsia="仿宋_GB2312" w:hAnsi="Times New Roman" w:cs="Times New Roman" w:hint="eastAsia"/>
          <w:snapToGrid/>
          <w:kern w:val="2"/>
          <w:sz w:val="32"/>
          <w:szCs w:val="32"/>
          <w:lang w:val="zh-CN" w:eastAsia="zh-CN"/>
        </w:rPr>
        <w:t>规</w:t>
      </w:r>
      <w:proofErr w:type="gramEnd"/>
      <w:r>
        <w:rPr>
          <w:rFonts w:ascii="Times New Roman" w:eastAsia="仿宋_GB2312" w:hAnsi="Times New Roman" w:cs="Times New Roman" w:hint="eastAsia"/>
          <w:snapToGrid/>
          <w:kern w:val="2"/>
          <w:sz w:val="32"/>
          <w:szCs w:val="32"/>
          <w:lang w:val="zh-CN" w:eastAsia="zh-CN"/>
        </w:rPr>
        <w:t>，无资金违规使用情况；通过绩效中期监控发现预算执行率较低的情况，及时与项目执行单位和相关业务科室沟通，加快资金执行进度。项目最终按计划完成既定目标任务，实际执行结果与预期绩效目标基本一致，有效达成阶段性工作成效，为部门整体绩效目标实现提供了坚实</w:t>
      </w:r>
      <w:r>
        <w:rPr>
          <w:rFonts w:ascii="Times New Roman" w:eastAsia="仿宋_GB2312" w:hAnsi="Times New Roman" w:cs="Times New Roman" w:hint="eastAsia"/>
          <w:snapToGrid/>
          <w:kern w:val="2"/>
          <w:sz w:val="32"/>
          <w:szCs w:val="32"/>
          <w:lang w:val="zh-CN" w:eastAsia="zh-CN"/>
        </w:rPr>
        <w:lastRenderedPageBreak/>
        <w:t>支撑。</w:t>
      </w:r>
    </w:p>
    <w:p w:rsidR="004B0FC1" w:rsidRDefault="00A976D9">
      <w:pPr>
        <w:kinsoku/>
        <w:autoSpaceDE/>
        <w:autoSpaceDN/>
        <w:spacing w:line="578" w:lineRule="exact"/>
        <w:ind w:firstLineChars="200" w:firstLine="643"/>
        <w:contextualSpacing/>
        <w:textAlignment w:val="auto"/>
        <w:rPr>
          <w:rFonts w:ascii="Times New Roman" w:eastAsia="仿宋_GB2312" w:hAnsi="Times New Roman" w:cs="仿宋_GB2312"/>
          <w:b/>
          <w:bCs/>
          <w:snapToGrid/>
          <w:kern w:val="2"/>
          <w:sz w:val="32"/>
          <w:szCs w:val="32"/>
          <w:lang w:val="zh-CN" w:eastAsia="zh-CN"/>
        </w:rPr>
      </w:pPr>
      <w:r>
        <w:rPr>
          <w:rFonts w:ascii="Times New Roman" w:eastAsia="仿宋_GB2312" w:hAnsi="Times New Roman" w:cs="仿宋_GB2312" w:hint="eastAsia"/>
          <w:b/>
          <w:bCs/>
          <w:snapToGrid/>
          <w:kern w:val="2"/>
          <w:sz w:val="32"/>
          <w:szCs w:val="32"/>
          <w:lang w:eastAsia="zh-CN"/>
        </w:rPr>
        <w:t>3.</w:t>
      </w:r>
      <w:r>
        <w:rPr>
          <w:rFonts w:ascii="Times New Roman" w:eastAsia="仿宋_GB2312" w:hAnsi="Times New Roman" w:cs="仿宋_GB2312" w:hint="eastAsia"/>
          <w:b/>
          <w:bCs/>
          <w:snapToGrid/>
          <w:kern w:val="2"/>
          <w:sz w:val="32"/>
          <w:szCs w:val="32"/>
          <w:lang w:val="zh-CN" w:eastAsia="zh-CN"/>
        </w:rPr>
        <w:t>目标实现。</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年完成</w:t>
      </w:r>
      <w:r>
        <w:rPr>
          <w:rFonts w:ascii="Times New Roman" w:eastAsia="仿宋_GB2312" w:hAnsi="Times New Roman" w:cs="Times New Roman" w:hint="eastAsia"/>
          <w:snapToGrid/>
          <w:kern w:val="2"/>
          <w:sz w:val="32"/>
          <w:szCs w:val="32"/>
          <w:lang w:val="zh-CN" w:eastAsia="zh-CN"/>
        </w:rPr>
        <w:t>13</w:t>
      </w:r>
      <w:r>
        <w:rPr>
          <w:rFonts w:ascii="Times New Roman" w:eastAsia="仿宋_GB2312" w:hAnsi="Times New Roman" w:cs="Times New Roman" w:hint="eastAsia"/>
          <w:snapToGrid/>
          <w:kern w:val="2"/>
          <w:sz w:val="32"/>
          <w:szCs w:val="32"/>
          <w:lang w:val="zh-CN" w:eastAsia="zh-CN"/>
        </w:rPr>
        <w:t>个部门常年性项目及</w:t>
      </w:r>
      <w:r>
        <w:rPr>
          <w:rFonts w:ascii="Times New Roman" w:eastAsia="仿宋_GB2312" w:hAnsi="Times New Roman" w:cs="Times New Roman" w:hint="eastAsia"/>
          <w:snapToGrid/>
          <w:kern w:val="2"/>
          <w:sz w:val="32"/>
          <w:szCs w:val="32"/>
          <w:lang w:val="zh-CN" w:eastAsia="zh-CN"/>
        </w:rPr>
        <w:t>25</w:t>
      </w:r>
      <w:r>
        <w:rPr>
          <w:rFonts w:ascii="Times New Roman" w:eastAsia="仿宋_GB2312" w:hAnsi="Times New Roman" w:cs="Times New Roman" w:hint="eastAsia"/>
          <w:snapToGrid/>
          <w:kern w:val="2"/>
          <w:sz w:val="32"/>
          <w:szCs w:val="32"/>
          <w:lang w:val="zh-CN" w:eastAsia="zh-CN"/>
        </w:rPr>
        <w:t>个预算阶段（一次性）项目，基本实现预期目标。</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本部门围绕</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度绩效目标完成、目标偏离及实现效果开展全面绩效分析，对一般公共预算、政府性基金预算、经营收入预算安排的常年项目、阶段项目，以及政府购买服务等情况逐一梳理。年度绩效目标总体按计划推进，大部分常年项目稳定实施、阶段项目按期落地，项目产出、效益及服务对象满意度基本达到预期。整体来看，各类预算资金绩效目标实现良好，资金使用与项目实施取得预期经济社会效益。</w:t>
      </w:r>
    </w:p>
    <w:p w:rsidR="004B0FC1" w:rsidRDefault="00A976D9" w:rsidP="0061664C">
      <w:pPr>
        <w:kinsoku/>
        <w:autoSpaceDE/>
        <w:autoSpaceDN/>
        <w:spacing w:line="578" w:lineRule="exact"/>
        <w:ind w:firstLineChars="200" w:firstLine="641"/>
        <w:contextualSpacing/>
        <w:textAlignment w:val="auto"/>
        <w:rPr>
          <w:rFonts w:ascii="Times New Roman" w:eastAsia="楷体_GB2312" w:hAnsi="Times New Roman" w:cs="楷体_GB2312"/>
          <w:b/>
          <w:snapToGrid/>
          <w:kern w:val="2"/>
          <w:sz w:val="32"/>
          <w:szCs w:val="32"/>
          <w:lang w:val="zh-CN" w:eastAsia="zh-CN"/>
        </w:rPr>
      </w:pPr>
      <w:r>
        <w:rPr>
          <w:rFonts w:ascii="Times New Roman" w:eastAsia="楷体_GB2312" w:hAnsi="Times New Roman" w:cs="楷体_GB2312" w:hint="eastAsia"/>
          <w:b/>
          <w:snapToGrid/>
          <w:kern w:val="2"/>
          <w:sz w:val="32"/>
          <w:szCs w:val="32"/>
          <w:lang w:val="zh-CN" w:eastAsia="zh-CN"/>
        </w:rPr>
        <w:t>（三）绩效结果应用情况。</w:t>
      </w:r>
    </w:p>
    <w:p w:rsidR="004B0FC1" w:rsidRDefault="00A976D9">
      <w:pPr>
        <w:kinsoku/>
        <w:autoSpaceDE/>
        <w:autoSpaceDN/>
        <w:spacing w:line="578" w:lineRule="exact"/>
        <w:ind w:firstLineChars="200" w:firstLine="643"/>
        <w:contextualSpacing/>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仿宋_GB2312" w:hint="eastAsia"/>
          <w:b/>
          <w:bCs/>
          <w:snapToGrid/>
          <w:kern w:val="2"/>
          <w:sz w:val="32"/>
          <w:szCs w:val="32"/>
          <w:lang w:eastAsia="zh-CN"/>
        </w:rPr>
        <w:t>1.</w:t>
      </w:r>
      <w:r>
        <w:rPr>
          <w:rFonts w:ascii="Times New Roman" w:eastAsia="仿宋_GB2312" w:hAnsi="Times New Roman" w:cs="仿宋_GB2312" w:hint="eastAsia"/>
          <w:b/>
          <w:bCs/>
          <w:snapToGrid/>
          <w:kern w:val="2"/>
          <w:sz w:val="32"/>
          <w:szCs w:val="32"/>
          <w:lang w:eastAsia="zh-CN"/>
        </w:rPr>
        <w:t>内部应用情况。</w:t>
      </w:r>
      <w:r>
        <w:rPr>
          <w:rFonts w:ascii="Times New Roman" w:eastAsia="仿宋_GB2312" w:hAnsi="Times New Roman" w:cs="Times New Roman" w:hint="eastAsia"/>
          <w:snapToGrid/>
          <w:kern w:val="2"/>
          <w:sz w:val="32"/>
          <w:szCs w:val="32"/>
          <w:lang w:val="zh-CN" w:eastAsia="zh-CN"/>
        </w:rPr>
        <w:t>我局高度重视绩效评价结果的应用，将其作为重要抓手，着力开展部门内部绩效结果与预算挂钩。充分运用自评结果，将绩效自评结果作为下年安排支出资金的重要依据，为预算编制提供参考。在安排下一年度预算时根据上一年度项目预算执行情况酌情调整申报预算，促进财政资金的合理分配与有效使用，对评价效果不好的项目绩效目标进行调整或者细化，进一步完善我局部门预算项目指标体系。</w:t>
      </w:r>
    </w:p>
    <w:p w:rsidR="004B0FC1" w:rsidRDefault="00A976D9">
      <w:pPr>
        <w:kinsoku/>
        <w:autoSpaceDE/>
        <w:autoSpaceDN/>
        <w:spacing w:line="578" w:lineRule="exact"/>
        <w:ind w:firstLineChars="200" w:firstLine="643"/>
        <w:contextualSpacing/>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仿宋_GB2312" w:hint="eastAsia"/>
          <w:b/>
          <w:bCs/>
          <w:snapToGrid/>
          <w:kern w:val="2"/>
          <w:sz w:val="32"/>
          <w:szCs w:val="32"/>
          <w:lang w:eastAsia="zh-CN"/>
        </w:rPr>
        <w:t>2.</w:t>
      </w:r>
      <w:r>
        <w:rPr>
          <w:rFonts w:ascii="Times New Roman" w:eastAsia="仿宋_GB2312" w:hAnsi="Times New Roman" w:cs="仿宋_GB2312" w:hint="eastAsia"/>
          <w:b/>
          <w:bCs/>
          <w:snapToGrid/>
          <w:kern w:val="2"/>
          <w:sz w:val="32"/>
          <w:szCs w:val="32"/>
          <w:lang w:eastAsia="zh-CN"/>
        </w:rPr>
        <w:t>信息公开情况。</w:t>
      </w:r>
      <w:r>
        <w:rPr>
          <w:rFonts w:ascii="Times New Roman" w:eastAsia="仿宋_GB2312" w:hAnsi="Times New Roman" w:cs="Times New Roman" w:hint="eastAsia"/>
          <w:snapToGrid/>
          <w:kern w:val="2"/>
          <w:sz w:val="32"/>
          <w:szCs w:val="32"/>
          <w:lang w:val="zh-CN" w:eastAsia="zh-CN"/>
        </w:rPr>
        <w:t>我局按照自评公开的要求，于</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w:t>
      </w:r>
      <w:r>
        <w:rPr>
          <w:rFonts w:ascii="Times New Roman" w:eastAsia="仿宋_GB2312" w:hAnsi="Times New Roman" w:cs="Times New Roman" w:hint="eastAsia"/>
          <w:snapToGrid/>
          <w:kern w:val="2"/>
          <w:sz w:val="32"/>
          <w:szCs w:val="32"/>
          <w:lang w:val="zh-CN" w:eastAsia="zh-CN"/>
        </w:rPr>
        <w:t>9</w:t>
      </w:r>
      <w:r>
        <w:rPr>
          <w:rFonts w:ascii="Times New Roman" w:eastAsia="仿宋_GB2312" w:hAnsi="Times New Roman" w:cs="Times New Roman" w:hint="eastAsia"/>
          <w:snapToGrid/>
          <w:kern w:val="2"/>
          <w:sz w:val="32"/>
          <w:szCs w:val="32"/>
          <w:lang w:val="zh-CN" w:eastAsia="zh-CN"/>
        </w:rPr>
        <w:t>月</w:t>
      </w:r>
      <w:r>
        <w:rPr>
          <w:rFonts w:ascii="Times New Roman" w:eastAsia="仿宋_GB2312" w:hAnsi="Times New Roman" w:cs="Times New Roman" w:hint="eastAsia"/>
          <w:snapToGrid/>
          <w:kern w:val="2"/>
          <w:sz w:val="32"/>
          <w:szCs w:val="32"/>
          <w:lang w:val="zh-CN" w:eastAsia="zh-CN"/>
        </w:rPr>
        <w:t>16</w:t>
      </w:r>
      <w:r>
        <w:rPr>
          <w:rFonts w:ascii="Times New Roman" w:eastAsia="仿宋_GB2312" w:hAnsi="Times New Roman" w:cs="Times New Roman" w:hint="eastAsia"/>
          <w:snapToGrid/>
          <w:kern w:val="2"/>
          <w:sz w:val="32"/>
          <w:szCs w:val="32"/>
          <w:lang w:val="zh-CN" w:eastAsia="zh-CN"/>
        </w:rPr>
        <w:t>日在市市场监管局网站按要求将相关绩效信息及时随同决算公开，主动接受社会监督，保障公众知情权与监督权。</w:t>
      </w:r>
    </w:p>
    <w:p w:rsidR="004B0FC1" w:rsidRDefault="00A976D9">
      <w:pPr>
        <w:kinsoku/>
        <w:autoSpaceDE/>
        <w:autoSpaceDN/>
        <w:spacing w:line="578" w:lineRule="exact"/>
        <w:ind w:firstLineChars="200" w:firstLine="643"/>
        <w:contextualSpacing/>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仿宋_GB2312" w:hint="eastAsia"/>
          <w:b/>
          <w:bCs/>
          <w:snapToGrid/>
          <w:kern w:val="2"/>
          <w:sz w:val="32"/>
          <w:szCs w:val="32"/>
          <w:lang w:eastAsia="zh-CN"/>
        </w:rPr>
        <w:lastRenderedPageBreak/>
        <w:t>3.</w:t>
      </w:r>
      <w:r>
        <w:rPr>
          <w:rFonts w:ascii="Times New Roman" w:eastAsia="仿宋_GB2312" w:hAnsi="Times New Roman" w:cs="仿宋_GB2312" w:hint="eastAsia"/>
          <w:b/>
          <w:bCs/>
          <w:snapToGrid/>
          <w:kern w:val="2"/>
          <w:sz w:val="32"/>
          <w:szCs w:val="32"/>
          <w:lang w:eastAsia="zh-CN"/>
        </w:rPr>
        <w:t>整改反馈情况。</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年，接受省财政厅重点绩效评价，对重点评价反馈中发现的问题逐一梳理归类，明确整改责任主体、整改措施和完成时限，实行</w:t>
      </w:r>
      <w:proofErr w:type="gramStart"/>
      <w:r>
        <w:rPr>
          <w:rFonts w:ascii="Times New Roman" w:eastAsia="仿宋_GB2312" w:hAnsi="Times New Roman" w:cs="Times New Roman" w:hint="eastAsia"/>
          <w:snapToGrid/>
          <w:kern w:val="2"/>
          <w:sz w:val="32"/>
          <w:szCs w:val="32"/>
          <w:lang w:val="zh-CN" w:eastAsia="zh-CN"/>
        </w:rPr>
        <w:t>台账式管理</w:t>
      </w:r>
      <w:proofErr w:type="gramEnd"/>
      <w:r>
        <w:rPr>
          <w:rFonts w:ascii="Times New Roman" w:eastAsia="仿宋_GB2312" w:hAnsi="Times New Roman" w:cs="Times New Roman" w:hint="eastAsia"/>
          <w:snapToGrid/>
          <w:kern w:val="2"/>
          <w:sz w:val="32"/>
          <w:szCs w:val="32"/>
          <w:lang w:val="zh-CN" w:eastAsia="zh-CN"/>
        </w:rPr>
        <w:t>、销号式落实。针对预算执行、资金使用、项目管理等方面存在的薄弱环节，及时开展原因分析，强化制度完善与流程优化，确保问题整改到位、</w:t>
      </w:r>
      <w:proofErr w:type="gramStart"/>
      <w:r>
        <w:rPr>
          <w:rFonts w:ascii="Times New Roman" w:eastAsia="仿宋_GB2312" w:hAnsi="Times New Roman" w:cs="Times New Roman" w:hint="eastAsia"/>
          <w:snapToGrid/>
          <w:kern w:val="2"/>
          <w:sz w:val="32"/>
          <w:szCs w:val="32"/>
          <w:lang w:val="zh-CN" w:eastAsia="zh-CN"/>
        </w:rPr>
        <w:t>不</w:t>
      </w:r>
      <w:proofErr w:type="gramEnd"/>
      <w:r>
        <w:rPr>
          <w:rFonts w:ascii="Times New Roman" w:eastAsia="仿宋_GB2312" w:hAnsi="Times New Roman" w:cs="Times New Roman" w:hint="eastAsia"/>
          <w:snapToGrid/>
          <w:kern w:val="2"/>
          <w:sz w:val="32"/>
          <w:szCs w:val="32"/>
          <w:lang w:val="zh-CN" w:eastAsia="zh-CN"/>
        </w:rPr>
        <w:t>反弹。同时，按要求及时向上级主管部门和财政部门报送整改情况及绩效改进成效，做到反馈及时、整改有力、跟踪到位、效果可查，切实以整改促规范、以整改提绩效，推动部门绩效管理水平持续提升。</w:t>
      </w:r>
    </w:p>
    <w:p w:rsidR="004B0FC1" w:rsidRDefault="00A976D9">
      <w:pPr>
        <w:kinsoku/>
        <w:autoSpaceDE/>
        <w:autoSpaceDN/>
        <w:spacing w:line="578" w:lineRule="exact"/>
        <w:ind w:firstLineChars="200" w:firstLine="640"/>
        <w:contextualSpacing/>
        <w:textAlignment w:val="auto"/>
        <w:rPr>
          <w:rFonts w:ascii="Times New Roman" w:eastAsia="黑体" w:hAnsi="Times New Roman" w:cs="Times New Roman"/>
          <w:snapToGrid/>
          <w:sz w:val="32"/>
          <w:szCs w:val="32"/>
          <w:shd w:val="clear" w:color="auto" w:fill="FFFFFF"/>
          <w:lang w:val="zh-CN" w:eastAsia="zh-CN"/>
        </w:rPr>
      </w:pPr>
      <w:r>
        <w:rPr>
          <w:rFonts w:ascii="Times New Roman" w:eastAsia="黑体" w:hAnsi="Times New Roman" w:cs="Times New Roman" w:hint="eastAsia"/>
          <w:snapToGrid/>
          <w:sz w:val="32"/>
          <w:szCs w:val="32"/>
          <w:shd w:val="clear" w:color="auto" w:fill="FFFFFF"/>
          <w:lang w:val="zh-CN" w:eastAsia="zh-CN"/>
        </w:rPr>
        <w:t>四、评价结论及建议</w:t>
      </w:r>
    </w:p>
    <w:p w:rsidR="004B0FC1" w:rsidRDefault="00A976D9" w:rsidP="0061664C">
      <w:pPr>
        <w:kinsoku/>
        <w:autoSpaceDE/>
        <w:autoSpaceDN/>
        <w:spacing w:line="578" w:lineRule="exact"/>
        <w:ind w:firstLineChars="200" w:firstLine="641"/>
        <w:contextualSpacing/>
        <w:textAlignment w:val="auto"/>
        <w:rPr>
          <w:rFonts w:ascii="Times New Roman" w:eastAsia="楷体_GB2312" w:hAnsi="Times New Roman" w:cs="楷体_GB2312"/>
          <w:b/>
          <w:snapToGrid/>
          <w:kern w:val="2"/>
          <w:sz w:val="32"/>
          <w:szCs w:val="32"/>
          <w:lang w:val="zh-CN" w:eastAsia="zh-CN"/>
        </w:rPr>
      </w:pPr>
      <w:r>
        <w:rPr>
          <w:rFonts w:ascii="Times New Roman" w:eastAsia="楷体_GB2312" w:hAnsi="Times New Roman" w:cs="楷体_GB2312" w:hint="eastAsia"/>
          <w:b/>
          <w:snapToGrid/>
          <w:kern w:val="2"/>
          <w:sz w:val="32"/>
          <w:szCs w:val="32"/>
          <w:lang w:val="zh-CN" w:eastAsia="zh-CN"/>
        </w:rPr>
        <w:t>（一）评价结论。</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度，攀枝花市市场监管部门紧紧围绕优化营商环境、维护市场秩序、守住安全底线、服务高质量发展等核心职能，全面落实年度绩效目标任务，扎实推进市场主体培育、公平竞争审查、食品药品安全监管、特种设备安全监察、知识产权保护、消费维权等重点工作，各项任务均按计划完成，履职效能持续提升。预算编制较为科学精准、执行进度均衡有序，严格落实过紧日子要求，从严控制一般性支出，财政资金使用效率明显提高。财务管理制度健全、岗位设置规范、内控机制完善，资金使用全程合</w:t>
      </w:r>
      <w:proofErr w:type="gramStart"/>
      <w:r>
        <w:rPr>
          <w:rFonts w:ascii="Times New Roman" w:eastAsia="仿宋_GB2312" w:hAnsi="Times New Roman" w:cs="Times New Roman" w:hint="eastAsia"/>
          <w:snapToGrid/>
          <w:kern w:val="2"/>
          <w:sz w:val="32"/>
          <w:szCs w:val="32"/>
          <w:lang w:val="zh-CN" w:eastAsia="zh-CN"/>
        </w:rPr>
        <w:t>规</w:t>
      </w:r>
      <w:proofErr w:type="gramEnd"/>
      <w:r>
        <w:rPr>
          <w:rFonts w:ascii="Times New Roman" w:eastAsia="仿宋_GB2312" w:hAnsi="Times New Roman" w:cs="Times New Roman" w:hint="eastAsia"/>
          <w:snapToGrid/>
          <w:kern w:val="2"/>
          <w:sz w:val="32"/>
          <w:szCs w:val="32"/>
          <w:lang w:val="zh-CN" w:eastAsia="zh-CN"/>
        </w:rPr>
        <w:t>、监管有力；政府采购程序合法，积极支持中小企业发展，各项管理工作规范有序。</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对照部门整体绩效评价指标体系，经逐项自评打分，综合评定自评得分</w:t>
      </w:r>
      <w:r>
        <w:rPr>
          <w:rFonts w:ascii="Times New Roman" w:eastAsia="仿宋_GB2312" w:hAnsi="Times New Roman" w:cs="Times New Roman" w:hint="eastAsia"/>
          <w:snapToGrid/>
          <w:kern w:val="2"/>
          <w:sz w:val="32"/>
          <w:szCs w:val="32"/>
          <w:lang w:val="zh-CN" w:eastAsia="zh-CN"/>
        </w:rPr>
        <w:t>93.1</w:t>
      </w:r>
      <w:r>
        <w:rPr>
          <w:rFonts w:ascii="Times New Roman" w:eastAsia="仿宋_GB2312" w:hAnsi="Times New Roman" w:cs="Times New Roman" w:hint="eastAsia"/>
          <w:snapToGrid/>
          <w:kern w:val="2"/>
          <w:sz w:val="32"/>
          <w:szCs w:val="32"/>
          <w:lang w:val="zh-CN" w:eastAsia="zh-CN"/>
        </w:rPr>
        <w:t>分。年度绩效目标总体完成良好，未发生重</w:t>
      </w:r>
      <w:r>
        <w:rPr>
          <w:rFonts w:ascii="Times New Roman" w:eastAsia="仿宋_GB2312" w:hAnsi="Times New Roman" w:cs="Times New Roman" w:hint="eastAsia"/>
          <w:snapToGrid/>
          <w:kern w:val="2"/>
          <w:sz w:val="32"/>
          <w:szCs w:val="32"/>
          <w:lang w:val="zh-CN" w:eastAsia="zh-CN"/>
        </w:rPr>
        <w:lastRenderedPageBreak/>
        <w:t>大安全责任事故和系统性风险，市场监管治理能力和服务水平持续增强。</w:t>
      </w:r>
    </w:p>
    <w:p w:rsidR="004B0FC1" w:rsidRDefault="00A976D9" w:rsidP="0061664C">
      <w:pPr>
        <w:kinsoku/>
        <w:autoSpaceDE/>
        <w:autoSpaceDN/>
        <w:spacing w:line="578" w:lineRule="exact"/>
        <w:ind w:firstLineChars="200" w:firstLine="641"/>
        <w:contextualSpacing/>
        <w:textAlignment w:val="auto"/>
        <w:rPr>
          <w:rFonts w:ascii="Times New Roman" w:eastAsia="楷体_GB2312" w:hAnsi="Times New Roman" w:cs="楷体_GB2312"/>
          <w:b/>
          <w:snapToGrid/>
          <w:kern w:val="2"/>
          <w:sz w:val="32"/>
          <w:szCs w:val="32"/>
          <w:lang w:val="zh-CN" w:eastAsia="zh-CN"/>
        </w:rPr>
      </w:pPr>
      <w:r>
        <w:rPr>
          <w:rFonts w:ascii="Times New Roman" w:eastAsia="楷体_GB2312" w:hAnsi="Times New Roman" w:cs="楷体_GB2312" w:hint="eastAsia"/>
          <w:b/>
          <w:snapToGrid/>
          <w:kern w:val="2"/>
          <w:sz w:val="32"/>
          <w:szCs w:val="32"/>
          <w:lang w:val="zh-CN" w:eastAsia="zh-CN"/>
        </w:rPr>
        <w:t>（二）存在问题。</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年预算支出虽已达到年初设定目标值，但个别项目存在资金执行率不高的情况，需进一步加强与各部门之间的沟通协同，加快项目资金执行进度，提高资金使用效益。</w:t>
      </w:r>
    </w:p>
    <w:p w:rsidR="004B0FC1" w:rsidRDefault="00A976D9" w:rsidP="0061664C">
      <w:pPr>
        <w:kinsoku/>
        <w:autoSpaceDE/>
        <w:autoSpaceDN/>
        <w:spacing w:line="578" w:lineRule="exact"/>
        <w:ind w:firstLineChars="200" w:firstLine="641"/>
        <w:contextualSpacing/>
        <w:textAlignment w:val="auto"/>
        <w:rPr>
          <w:rFonts w:ascii="Times New Roman" w:eastAsia="楷体_GB2312" w:hAnsi="Times New Roman" w:cs="楷体_GB2312"/>
          <w:b/>
          <w:snapToGrid/>
          <w:kern w:val="2"/>
          <w:sz w:val="32"/>
          <w:szCs w:val="32"/>
          <w:lang w:val="zh-CN" w:eastAsia="zh-CN"/>
        </w:rPr>
      </w:pPr>
      <w:r>
        <w:rPr>
          <w:rFonts w:ascii="Times New Roman" w:eastAsia="楷体_GB2312" w:hAnsi="Times New Roman" w:cs="楷体_GB2312" w:hint="eastAsia"/>
          <w:b/>
          <w:snapToGrid/>
          <w:kern w:val="2"/>
          <w:sz w:val="32"/>
          <w:szCs w:val="32"/>
          <w:lang w:val="zh-CN" w:eastAsia="zh-CN"/>
        </w:rPr>
        <w:t>（三）改进建议。</w:t>
      </w:r>
    </w:p>
    <w:p w:rsidR="004B0FC1" w:rsidRDefault="00A976D9">
      <w:pPr>
        <w:widowControl w:val="0"/>
        <w:kinsoku/>
        <w:autoSpaceDE/>
        <w:autoSpaceDN/>
        <w:adjustRightInd/>
        <w:snapToGrid/>
        <w:spacing w:line="600" w:lineRule="exact"/>
        <w:ind w:firstLineChars="200" w:firstLine="64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一是强化预算执行统筹管理，建立项目实施与资金支付同步推进机制，细化任务清单和时间节点，实行按月调度、动态监控，切实加快支出进度。二是加强跨部门沟通协同，健全常态化对接协调机制，提前做好项目前期准备、流程衔接和手续办理，减少因环节不畅、联动不足造成的资金滞留。三是压实项目管理责任，明确责任科室和责任人，将执行进度与绩效评价、预算安排挂钩，提升项目推进效率。四是优化资金拨付流程，在合</w:t>
      </w:r>
      <w:proofErr w:type="gramStart"/>
      <w:r>
        <w:rPr>
          <w:rFonts w:ascii="Times New Roman" w:eastAsia="仿宋_GB2312" w:hAnsi="Times New Roman" w:cs="Times New Roman" w:hint="eastAsia"/>
          <w:snapToGrid/>
          <w:kern w:val="2"/>
          <w:sz w:val="32"/>
          <w:szCs w:val="32"/>
          <w:lang w:val="zh-CN" w:eastAsia="zh-CN"/>
        </w:rPr>
        <w:t>规</w:t>
      </w:r>
      <w:proofErr w:type="gramEnd"/>
      <w:r>
        <w:rPr>
          <w:rFonts w:ascii="Times New Roman" w:eastAsia="仿宋_GB2312" w:hAnsi="Times New Roman" w:cs="Times New Roman" w:hint="eastAsia"/>
          <w:snapToGrid/>
          <w:kern w:val="2"/>
          <w:sz w:val="32"/>
          <w:szCs w:val="32"/>
          <w:lang w:val="zh-CN" w:eastAsia="zh-CN"/>
        </w:rPr>
        <w:t>前提下简化内部审核环节，做到应拨尽拨、及时支付，进一步提高财政资金使用效益和运行效率。</w:t>
      </w:r>
    </w:p>
    <w:p w:rsidR="004B0FC1" w:rsidRDefault="004B0FC1">
      <w:pPr>
        <w:pStyle w:val="a0"/>
        <w:rPr>
          <w:sz w:val="32"/>
          <w:szCs w:val="32"/>
          <w:lang w:val="zh-CN" w:eastAsia="zh-CN"/>
        </w:rPr>
      </w:pPr>
    </w:p>
    <w:p w:rsidR="004B0FC1" w:rsidRDefault="00A976D9">
      <w:pPr>
        <w:pStyle w:val="20"/>
        <w:spacing w:line="560" w:lineRule="exact"/>
        <w:ind w:leftChars="0" w:left="0" w:firstLine="640"/>
        <w:rPr>
          <w:rFonts w:ascii="Times New Roman" w:eastAsia="仿宋_GB2312"/>
          <w:sz w:val="32"/>
          <w:lang w:val="zh-CN" w:eastAsia="zh-CN" w:bidi="ar"/>
        </w:rPr>
      </w:pPr>
      <w:r>
        <w:rPr>
          <w:rFonts w:ascii="Times New Roman" w:eastAsia="仿宋_GB2312" w:hAnsi="Times New Roman" w:cs="Times New Roman" w:hint="eastAsia"/>
          <w:snapToGrid/>
          <w:kern w:val="2"/>
          <w:sz w:val="32"/>
          <w:lang w:val="zh-CN" w:eastAsia="zh-CN"/>
        </w:rPr>
        <w:t>附表：</w:t>
      </w:r>
      <w:r>
        <w:rPr>
          <w:rFonts w:ascii="Times New Roman" w:eastAsia="仿宋_GB2312" w:hAnsi="Times New Roman" w:cs="Times New Roman" w:hint="eastAsia"/>
          <w:snapToGrid/>
          <w:kern w:val="2"/>
          <w:sz w:val="32"/>
          <w:lang w:eastAsia="zh-CN"/>
        </w:rPr>
        <w:t>部门预算项目支出绩效自评表（</w:t>
      </w:r>
      <w:r>
        <w:rPr>
          <w:rFonts w:ascii="Times New Roman" w:eastAsia="仿宋_GB2312" w:hAnsi="Times New Roman" w:cs="Times New Roman" w:hint="eastAsia"/>
          <w:snapToGrid/>
          <w:kern w:val="2"/>
          <w:sz w:val="32"/>
          <w:lang w:eastAsia="zh-CN"/>
        </w:rPr>
        <w:t>2025</w:t>
      </w:r>
      <w:r>
        <w:rPr>
          <w:rFonts w:ascii="Times New Roman" w:eastAsia="仿宋_GB2312" w:hAnsi="Times New Roman" w:cs="Times New Roman" w:hint="eastAsia"/>
          <w:snapToGrid/>
          <w:kern w:val="2"/>
          <w:sz w:val="32"/>
          <w:lang w:eastAsia="zh-CN"/>
        </w:rPr>
        <w:t>年度）</w:t>
      </w:r>
    </w:p>
    <w:p w:rsidR="004B0FC1" w:rsidRDefault="004B0FC1">
      <w:pPr>
        <w:kinsoku/>
        <w:autoSpaceDE/>
        <w:autoSpaceDN/>
        <w:spacing w:line="578" w:lineRule="exact"/>
        <w:ind w:firstLineChars="200" w:firstLine="640"/>
        <w:contextualSpacing/>
        <w:textAlignment w:val="auto"/>
        <w:rPr>
          <w:rFonts w:ascii="Times New Roman" w:eastAsia="仿宋_GB2312" w:hAnsi="Times New Roman" w:cs="仿宋_GB2312"/>
          <w:snapToGrid/>
          <w:kern w:val="2"/>
          <w:sz w:val="32"/>
          <w:szCs w:val="32"/>
          <w:lang w:val="zh-CN" w:eastAsia="zh-CN"/>
        </w:rPr>
        <w:sectPr w:rsidR="004B0FC1">
          <w:footerReference w:type="default" r:id="rId21"/>
          <w:pgSz w:w="11906" w:h="16838"/>
          <w:pgMar w:top="1431" w:right="1415" w:bottom="1435" w:left="1560" w:header="0" w:footer="1159" w:gutter="0"/>
          <w:cols w:space="720"/>
        </w:sectPr>
      </w:pPr>
    </w:p>
    <w:p w:rsidR="004B0FC1" w:rsidRDefault="00A976D9">
      <w:pPr>
        <w:spacing w:before="101" w:line="360" w:lineRule="auto"/>
        <w:ind w:left="25"/>
        <w:rPr>
          <w:rFonts w:ascii="黑体" w:eastAsia="黑体" w:hAnsi="黑体" w:cs="黑体"/>
          <w:sz w:val="31"/>
          <w:szCs w:val="31"/>
          <w:lang w:eastAsia="zh-CN"/>
        </w:rPr>
      </w:pPr>
      <w:r>
        <w:rPr>
          <w:rFonts w:ascii="黑体" w:eastAsia="黑体" w:hAnsi="黑体" w:cs="黑体"/>
          <w:spacing w:val="-2"/>
          <w:sz w:val="31"/>
          <w:szCs w:val="31"/>
          <w:lang w:eastAsia="zh-CN"/>
        </w:rPr>
        <w:lastRenderedPageBreak/>
        <w:t>附件2-1</w:t>
      </w:r>
    </w:p>
    <w:p w:rsidR="004B0FC1" w:rsidRDefault="00A976D9">
      <w:pPr>
        <w:widowControl w:val="0"/>
        <w:kinsoku/>
        <w:autoSpaceDE/>
        <w:autoSpaceDN/>
        <w:adjustRightInd/>
        <w:snapToGrid/>
        <w:spacing w:line="600" w:lineRule="exact"/>
        <w:jc w:val="center"/>
        <w:textAlignment w:val="auto"/>
        <w:rPr>
          <w:rFonts w:ascii="Times New Roman" w:eastAsia="方正小标宋简体" w:hAnsi="Times New Roman" w:cs="方正小标宋简体"/>
          <w:snapToGrid/>
          <w:color w:val="auto"/>
          <w:kern w:val="2"/>
          <w:sz w:val="44"/>
          <w:szCs w:val="44"/>
          <w:lang w:val="zh-CN" w:eastAsia="zh-CN"/>
        </w:rPr>
      </w:pPr>
      <w:r>
        <w:rPr>
          <w:rFonts w:ascii="Times New Roman" w:eastAsia="方正小标宋简体" w:hAnsi="Times New Roman" w:cs="方正小标宋简体" w:hint="eastAsia"/>
          <w:snapToGrid/>
          <w:color w:val="auto"/>
          <w:kern w:val="2"/>
          <w:sz w:val="44"/>
          <w:szCs w:val="44"/>
          <w:lang w:val="zh-CN" w:eastAsia="zh-CN"/>
        </w:rPr>
        <w:t>攀枝花市市场监督管理局</w:t>
      </w:r>
    </w:p>
    <w:p w:rsidR="004B0FC1" w:rsidRDefault="00A976D9">
      <w:pPr>
        <w:widowControl w:val="0"/>
        <w:kinsoku/>
        <w:autoSpaceDE/>
        <w:autoSpaceDN/>
        <w:adjustRightInd/>
        <w:snapToGrid/>
        <w:spacing w:line="600" w:lineRule="exact"/>
        <w:jc w:val="center"/>
        <w:textAlignment w:val="auto"/>
        <w:rPr>
          <w:rFonts w:ascii="Times New Roman" w:eastAsia="方正小标宋简体" w:hAnsi="Times New Roman" w:cs="方正小标宋简体"/>
          <w:snapToGrid/>
          <w:color w:val="auto"/>
          <w:kern w:val="2"/>
          <w:sz w:val="44"/>
          <w:szCs w:val="44"/>
          <w:lang w:val="zh-CN" w:eastAsia="zh-CN"/>
        </w:rPr>
      </w:pPr>
      <w:r>
        <w:rPr>
          <w:rFonts w:ascii="Times New Roman" w:eastAsia="方正小标宋简体" w:hAnsi="Times New Roman" w:cs="方正小标宋简体" w:hint="eastAsia"/>
          <w:snapToGrid/>
          <w:color w:val="auto"/>
          <w:kern w:val="2"/>
          <w:sz w:val="44"/>
          <w:szCs w:val="44"/>
          <w:lang w:val="zh-CN" w:eastAsia="zh-CN"/>
        </w:rPr>
        <w:t>2025</w:t>
      </w:r>
      <w:r>
        <w:rPr>
          <w:rFonts w:ascii="Times New Roman" w:eastAsia="方正小标宋简体" w:hAnsi="Times New Roman" w:cs="方正小标宋简体" w:hint="eastAsia"/>
          <w:snapToGrid/>
          <w:color w:val="auto"/>
          <w:kern w:val="2"/>
          <w:sz w:val="44"/>
          <w:szCs w:val="44"/>
          <w:lang w:val="zh-CN" w:eastAsia="zh-CN"/>
        </w:rPr>
        <w:t>年度中央财政食品监管补助资金区域</w:t>
      </w:r>
    </w:p>
    <w:p w:rsidR="004B0FC1" w:rsidRDefault="00A976D9">
      <w:pPr>
        <w:widowControl w:val="0"/>
        <w:kinsoku/>
        <w:autoSpaceDE/>
        <w:autoSpaceDN/>
        <w:adjustRightInd/>
        <w:snapToGrid/>
        <w:spacing w:line="600" w:lineRule="exact"/>
        <w:jc w:val="center"/>
        <w:textAlignment w:val="auto"/>
        <w:rPr>
          <w:rFonts w:ascii="Times New Roman" w:eastAsia="方正小标宋简体" w:hAnsi="Times New Roman" w:cs="方正小标宋简体"/>
          <w:snapToGrid/>
          <w:color w:val="auto"/>
          <w:kern w:val="2"/>
          <w:sz w:val="44"/>
          <w:szCs w:val="44"/>
          <w:lang w:val="zh-CN" w:eastAsia="zh-CN"/>
        </w:rPr>
      </w:pPr>
      <w:r>
        <w:rPr>
          <w:rFonts w:ascii="Times New Roman" w:eastAsia="方正小标宋简体" w:hAnsi="Times New Roman" w:cs="方正小标宋简体" w:hint="eastAsia"/>
          <w:snapToGrid/>
          <w:color w:val="auto"/>
          <w:kern w:val="2"/>
          <w:sz w:val="44"/>
          <w:szCs w:val="44"/>
          <w:lang w:val="zh-CN" w:eastAsia="zh-CN"/>
        </w:rPr>
        <w:t>绩效自评报告</w:t>
      </w:r>
    </w:p>
    <w:p w:rsidR="004B0FC1" w:rsidRDefault="004B0FC1">
      <w:pPr>
        <w:spacing w:line="560" w:lineRule="exact"/>
        <w:jc w:val="center"/>
        <w:rPr>
          <w:rFonts w:ascii="方正小标宋简体" w:eastAsia="方正小标宋简体" w:hAnsi="华文楷体"/>
          <w:sz w:val="36"/>
          <w:szCs w:val="36"/>
          <w:lang w:eastAsia="zh-CN"/>
        </w:rPr>
      </w:pPr>
    </w:p>
    <w:p w:rsidR="004B0FC1" w:rsidRDefault="00A976D9">
      <w:pPr>
        <w:widowControl w:val="0"/>
        <w:kinsoku/>
        <w:autoSpaceDE/>
        <w:autoSpaceDN/>
        <w:spacing w:line="578" w:lineRule="exact"/>
        <w:ind w:firstLineChars="200" w:firstLine="632"/>
        <w:jc w:val="both"/>
        <w:textAlignment w:val="auto"/>
        <w:rPr>
          <w:rFonts w:ascii="Times New Roman" w:eastAsia="黑体" w:hAnsi="Times New Roman" w:cs="Times New Roman"/>
          <w:snapToGrid/>
          <w:color w:val="auto"/>
          <w:kern w:val="2"/>
          <w:sz w:val="32"/>
          <w:szCs w:val="32"/>
          <w:lang w:eastAsia="zh-CN"/>
        </w:rPr>
      </w:pPr>
      <w:r>
        <w:rPr>
          <w:rFonts w:ascii="Times New Roman" w:eastAsia="黑体" w:hAnsi="Times New Roman" w:cs="Times New Roman" w:hint="eastAsia"/>
          <w:snapToGrid/>
          <w:color w:val="auto"/>
          <w:kern w:val="2"/>
          <w:sz w:val="32"/>
          <w:szCs w:val="32"/>
          <w:lang w:eastAsia="zh-CN"/>
        </w:rPr>
        <w:t>一、项目概况</w:t>
      </w:r>
    </w:p>
    <w:p w:rsidR="004B0FC1" w:rsidRDefault="00A976D9">
      <w:pPr>
        <w:kinsoku/>
        <w:autoSpaceDE/>
        <w:autoSpaceDN/>
        <w:spacing w:line="578" w:lineRule="exact"/>
        <w:ind w:firstLineChars="200" w:firstLine="632"/>
        <w:contextualSpacing/>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（一）项目基本情况</w:t>
      </w:r>
    </w:p>
    <w:p w:rsidR="004B0FC1" w:rsidRDefault="00A976D9">
      <w:pPr>
        <w:widowControl w:val="0"/>
        <w:kinsoku/>
        <w:autoSpaceDE/>
        <w:autoSpaceDN/>
        <w:adjustRightInd/>
        <w:snapToGrid/>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仿宋_GB2312" w:hint="eastAsia"/>
          <w:b/>
          <w:bCs/>
          <w:snapToGrid/>
          <w:kern w:val="2"/>
          <w:sz w:val="32"/>
          <w:szCs w:val="32"/>
          <w:lang w:eastAsia="zh-CN"/>
        </w:rPr>
        <w:t>1.</w:t>
      </w:r>
      <w:r>
        <w:rPr>
          <w:rFonts w:ascii="Times New Roman" w:eastAsia="仿宋_GB2312" w:hAnsi="Times New Roman" w:cs="仿宋_GB2312" w:hint="eastAsia"/>
          <w:b/>
          <w:bCs/>
          <w:snapToGrid/>
          <w:kern w:val="2"/>
          <w:sz w:val="32"/>
          <w:szCs w:val="32"/>
          <w:lang w:eastAsia="zh-CN"/>
        </w:rPr>
        <w:t>政策情况。</w:t>
      </w:r>
      <w:r>
        <w:rPr>
          <w:rFonts w:ascii="Times New Roman" w:eastAsia="仿宋_GB2312" w:hAnsi="Times New Roman" w:cs="Times New Roman" w:hint="eastAsia"/>
          <w:snapToGrid/>
          <w:kern w:val="2"/>
          <w:sz w:val="32"/>
          <w:szCs w:val="32"/>
          <w:lang w:val="zh-CN" w:eastAsia="zh-CN"/>
        </w:rPr>
        <w:t>本年度中央食品监管补助资金严格依据《四川省财政厅</w:t>
      </w:r>
      <w:r>
        <w:rPr>
          <w:rFonts w:ascii="Times New Roman" w:eastAsia="仿宋_GB2312" w:hAnsi="Times New Roman" w:cs="Times New Roman" w:hint="eastAsia"/>
          <w:snapToGrid/>
          <w:kern w:val="2"/>
          <w:sz w:val="32"/>
          <w:szCs w:val="32"/>
          <w:lang w:val="zh-CN" w:eastAsia="zh-CN"/>
        </w:rPr>
        <w:t xml:space="preserve"> </w:t>
      </w:r>
      <w:r>
        <w:rPr>
          <w:rFonts w:ascii="Times New Roman" w:eastAsia="仿宋_GB2312" w:hAnsi="Times New Roman" w:cs="Times New Roman" w:hint="eastAsia"/>
          <w:snapToGrid/>
          <w:kern w:val="2"/>
          <w:sz w:val="32"/>
          <w:szCs w:val="32"/>
          <w:lang w:val="zh-CN" w:eastAsia="zh-CN"/>
        </w:rPr>
        <w:t>四川省市场监督管理局关于提前通知</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年中央财政食品监管补助资金预算的通知》（</w:t>
      </w:r>
      <w:proofErr w:type="gramStart"/>
      <w:r>
        <w:rPr>
          <w:rFonts w:ascii="Times New Roman" w:eastAsia="仿宋_GB2312" w:hAnsi="Times New Roman" w:cs="Times New Roman" w:hint="eastAsia"/>
          <w:snapToGrid/>
          <w:kern w:val="2"/>
          <w:sz w:val="32"/>
          <w:szCs w:val="32"/>
          <w:lang w:val="zh-CN" w:eastAsia="zh-CN"/>
        </w:rPr>
        <w:t>川财行</w:t>
      </w:r>
      <w:proofErr w:type="gramEnd"/>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2024</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144</w:t>
      </w:r>
      <w:r>
        <w:rPr>
          <w:rFonts w:ascii="Times New Roman" w:eastAsia="仿宋_GB2312" w:hAnsi="Times New Roman" w:cs="Times New Roman" w:hint="eastAsia"/>
          <w:snapToGrid/>
          <w:kern w:val="2"/>
          <w:sz w:val="32"/>
          <w:szCs w:val="32"/>
          <w:lang w:val="zh-CN" w:eastAsia="zh-CN"/>
        </w:rPr>
        <w:t>号）及《四川省财政厅</w:t>
      </w:r>
      <w:r>
        <w:rPr>
          <w:rFonts w:ascii="Times New Roman" w:eastAsia="仿宋_GB2312" w:hAnsi="Times New Roman" w:cs="Times New Roman" w:hint="eastAsia"/>
          <w:snapToGrid/>
          <w:kern w:val="2"/>
          <w:sz w:val="32"/>
          <w:szCs w:val="32"/>
          <w:lang w:val="zh-CN" w:eastAsia="zh-CN"/>
        </w:rPr>
        <w:t xml:space="preserve"> </w:t>
      </w:r>
      <w:r>
        <w:rPr>
          <w:rFonts w:ascii="Times New Roman" w:eastAsia="仿宋_GB2312" w:hAnsi="Times New Roman" w:cs="Times New Roman" w:hint="eastAsia"/>
          <w:snapToGrid/>
          <w:kern w:val="2"/>
          <w:sz w:val="32"/>
          <w:szCs w:val="32"/>
          <w:lang w:val="zh-CN" w:eastAsia="zh-CN"/>
        </w:rPr>
        <w:t>四川省市场监督管理局关于下达</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年中央食品监管补助资金预算的通知》（</w:t>
      </w:r>
      <w:proofErr w:type="gramStart"/>
      <w:r>
        <w:rPr>
          <w:rFonts w:ascii="Times New Roman" w:eastAsia="仿宋_GB2312" w:hAnsi="Times New Roman" w:cs="Times New Roman" w:hint="eastAsia"/>
          <w:snapToGrid/>
          <w:kern w:val="2"/>
          <w:sz w:val="32"/>
          <w:szCs w:val="32"/>
          <w:lang w:val="zh-CN" w:eastAsia="zh-CN"/>
        </w:rPr>
        <w:t>川财行</w:t>
      </w:r>
      <w:proofErr w:type="gramEnd"/>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53</w:t>
      </w:r>
      <w:r>
        <w:rPr>
          <w:rFonts w:ascii="Times New Roman" w:eastAsia="仿宋_GB2312" w:hAnsi="Times New Roman" w:cs="Times New Roman" w:hint="eastAsia"/>
          <w:snapToGrid/>
          <w:kern w:val="2"/>
          <w:sz w:val="32"/>
          <w:szCs w:val="32"/>
          <w:lang w:val="zh-CN" w:eastAsia="zh-CN"/>
        </w:rPr>
        <w:t>号）及《四川省市场监督管理局办公室关于印发</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年中央食品监管补助资金实施方案的通知》（川市监办〔</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14</w:t>
      </w:r>
      <w:r>
        <w:rPr>
          <w:rFonts w:ascii="Times New Roman" w:eastAsia="仿宋_GB2312" w:hAnsi="Times New Roman" w:cs="Times New Roman" w:hint="eastAsia"/>
          <w:snapToGrid/>
          <w:kern w:val="2"/>
          <w:sz w:val="32"/>
          <w:szCs w:val="32"/>
          <w:lang w:val="zh-CN" w:eastAsia="zh-CN"/>
        </w:rPr>
        <w:t>号）进行管理与使用。本辖区</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年度中央食品监管补助资金主要用于通过组织</w:t>
      </w:r>
      <w:proofErr w:type="gramStart"/>
      <w:r>
        <w:rPr>
          <w:rFonts w:ascii="Times New Roman" w:eastAsia="仿宋_GB2312" w:hAnsi="Times New Roman" w:cs="Times New Roman" w:hint="eastAsia"/>
          <w:snapToGrid/>
          <w:kern w:val="2"/>
          <w:sz w:val="32"/>
          <w:szCs w:val="32"/>
          <w:lang w:val="zh-CN" w:eastAsia="zh-CN"/>
        </w:rPr>
        <w:t>实施省</w:t>
      </w:r>
      <w:proofErr w:type="gramEnd"/>
      <w:r>
        <w:rPr>
          <w:rFonts w:ascii="Times New Roman" w:eastAsia="仿宋_GB2312" w:hAnsi="Times New Roman" w:cs="Times New Roman" w:hint="eastAsia"/>
          <w:snapToGrid/>
          <w:kern w:val="2"/>
          <w:sz w:val="32"/>
          <w:szCs w:val="32"/>
          <w:lang w:val="zh-CN" w:eastAsia="zh-CN"/>
        </w:rPr>
        <w:t>市场监管局下达的食品安全抽检监测任务，深入开展食品风险隐患排查治理、食品安全监管等相关工作，提升食品监管能力，防范化解食品安全风险，筑牢食品安全防线；加强基层监管人员能力建设工作培训，提高监管人员专业水平和综合素质。</w:t>
      </w:r>
    </w:p>
    <w:p w:rsidR="004B0FC1" w:rsidRDefault="00A976D9">
      <w:pPr>
        <w:widowControl w:val="0"/>
        <w:kinsoku/>
        <w:autoSpaceDE/>
        <w:autoSpaceDN/>
        <w:adjustRightInd/>
        <w:snapToGrid/>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仿宋_GB2312" w:hint="eastAsia"/>
          <w:b/>
          <w:bCs/>
          <w:snapToGrid/>
          <w:kern w:val="2"/>
          <w:sz w:val="32"/>
          <w:szCs w:val="32"/>
          <w:lang w:eastAsia="zh-CN"/>
        </w:rPr>
        <w:t>2.</w:t>
      </w:r>
      <w:r>
        <w:rPr>
          <w:rFonts w:ascii="Times New Roman" w:eastAsia="仿宋_GB2312" w:hAnsi="Times New Roman" w:cs="仿宋_GB2312" w:hint="eastAsia"/>
          <w:b/>
          <w:bCs/>
          <w:snapToGrid/>
          <w:kern w:val="2"/>
          <w:sz w:val="32"/>
          <w:szCs w:val="32"/>
          <w:lang w:eastAsia="zh-CN"/>
        </w:rPr>
        <w:t>资金情况</w:t>
      </w:r>
      <w:r>
        <w:rPr>
          <w:rFonts w:ascii="Times New Roman" w:eastAsia="仿宋_GB2312" w:hAnsi="Times New Roman" w:cs="仿宋_GB2312" w:hint="eastAsia"/>
          <w:snapToGrid/>
          <w:kern w:val="2"/>
          <w:sz w:val="32"/>
          <w:szCs w:val="32"/>
          <w:lang w:eastAsia="zh-CN"/>
        </w:rPr>
        <w:t>。</w:t>
      </w:r>
      <w:r>
        <w:rPr>
          <w:rFonts w:ascii="Times New Roman" w:eastAsia="仿宋_GB2312" w:hAnsi="Times New Roman" w:cs="Times New Roman" w:hint="eastAsia"/>
          <w:snapToGrid/>
          <w:kern w:val="2"/>
          <w:sz w:val="32"/>
          <w:szCs w:val="32"/>
          <w:lang w:val="zh-CN" w:eastAsia="zh-CN"/>
        </w:rPr>
        <w:t>攀枝花市结合本地食品安全监管工作实际，</w:t>
      </w:r>
      <w:r>
        <w:rPr>
          <w:rFonts w:ascii="Times New Roman" w:eastAsia="仿宋_GB2312" w:hAnsi="Times New Roman" w:cs="Times New Roman" w:hint="eastAsia"/>
          <w:snapToGrid/>
          <w:kern w:val="2"/>
          <w:sz w:val="32"/>
          <w:szCs w:val="32"/>
          <w:lang w:val="zh-CN" w:eastAsia="zh-CN"/>
        </w:rPr>
        <w:lastRenderedPageBreak/>
        <w:t>按照专项资金管理办法，由相关业务科室按照省市场监管局下达的专项实施方案及绩效目标任务，综合考虑专项工作任务、年度重点工作安排、食品生产企业监管户数、</w:t>
      </w:r>
      <w:proofErr w:type="gramStart"/>
      <w:r>
        <w:rPr>
          <w:rFonts w:ascii="Times New Roman" w:eastAsia="仿宋_GB2312" w:hAnsi="Times New Roman" w:cs="Times New Roman" w:hint="eastAsia"/>
          <w:snapToGrid/>
          <w:kern w:val="2"/>
          <w:sz w:val="32"/>
          <w:szCs w:val="32"/>
          <w:lang w:val="zh-CN" w:eastAsia="zh-CN"/>
        </w:rPr>
        <w:t>国抽配合</w:t>
      </w:r>
      <w:proofErr w:type="gramEnd"/>
      <w:r>
        <w:rPr>
          <w:rFonts w:ascii="Times New Roman" w:eastAsia="仿宋_GB2312" w:hAnsi="Times New Roman" w:cs="Times New Roman" w:hint="eastAsia"/>
          <w:snapToGrid/>
          <w:kern w:val="2"/>
          <w:sz w:val="32"/>
          <w:szCs w:val="32"/>
          <w:lang w:val="zh-CN" w:eastAsia="zh-CN"/>
        </w:rPr>
        <w:t>抽检批次等因素确定资金分配方案，局财务科汇总形成中央食品监管专项资金分配建议方案，经局党组会议研究审议通过，</w:t>
      </w:r>
      <w:proofErr w:type="gramStart"/>
      <w:r>
        <w:rPr>
          <w:rFonts w:ascii="Times New Roman" w:eastAsia="仿宋_GB2312" w:hAnsi="Times New Roman" w:cs="Times New Roman" w:hint="eastAsia"/>
          <w:snapToGrid/>
          <w:kern w:val="2"/>
          <w:sz w:val="32"/>
          <w:szCs w:val="32"/>
          <w:lang w:val="zh-CN" w:eastAsia="zh-CN"/>
        </w:rPr>
        <w:t>会商市</w:t>
      </w:r>
      <w:proofErr w:type="gramEnd"/>
      <w:r>
        <w:rPr>
          <w:rFonts w:ascii="Times New Roman" w:eastAsia="仿宋_GB2312" w:hAnsi="Times New Roman" w:cs="Times New Roman" w:hint="eastAsia"/>
          <w:snapToGrid/>
          <w:kern w:val="2"/>
          <w:sz w:val="32"/>
          <w:szCs w:val="32"/>
          <w:lang w:val="zh-CN" w:eastAsia="zh-CN"/>
        </w:rPr>
        <w:t>财政局联合发文报市政府同意后，由攀枝花市财政局下达资金</w:t>
      </w:r>
      <w:r>
        <w:rPr>
          <w:rFonts w:ascii="Times New Roman" w:eastAsia="仿宋_GB2312" w:hAnsi="Times New Roman" w:cs="Times New Roman" w:hint="eastAsia"/>
          <w:snapToGrid/>
          <w:kern w:val="2"/>
          <w:sz w:val="32"/>
          <w:szCs w:val="32"/>
          <w:lang w:val="zh-CN" w:eastAsia="zh-CN"/>
        </w:rPr>
        <w:t>21</w:t>
      </w:r>
      <w:r>
        <w:rPr>
          <w:rFonts w:ascii="Times New Roman" w:eastAsia="仿宋_GB2312" w:hAnsi="Times New Roman" w:cs="Times New Roman" w:hint="eastAsia"/>
          <w:snapToGrid/>
          <w:kern w:val="2"/>
          <w:sz w:val="32"/>
          <w:szCs w:val="32"/>
          <w:lang w:val="zh-CN" w:eastAsia="zh-CN"/>
        </w:rPr>
        <w:t>万元，到位率</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。按照《攀枝花市市场监督管理局关于印发</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年中央食品监管补助资金项目实施方案和绩效目标的通知》，专项预算、绩效目标及项目工作任务分解落实到项目实施单位，明确项目目标、项目内容、完成时限、验收标准。资金分配具体情况如下：</w:t>
      </w:r>
    </w:p>
    <w:p w:rsidR="004B0FC1" w:rsidRDefault="00A976D9">
      <w:pPr>
        <w:jc w:val="center"/>
        <w:rPr>
          <w:rFonts w:eastAsia="方正黑体简体"/>
          <w:sz w:val="30"/>
          <w:szCs w:val="30"/>
          <w:lang w:eastAsia="zh-CN"/>
        </w:rPr>
      </w:pPr>
      <w:r>
        <w:rPr>
          <w:rFonts w:eastAsia="方正黑体简体"/>
          <w:sz w:val="30"/>
          <w:szCs w:val="30"/>
          <w:lang w:eastAsia="zh-CN"/>
        </w:rPr>
        <w:t>2025</w:t>
      </w:r>
      <w:r>
        <w:rPr>
          <w:rFonts w:eastAsia="方正黑体简体"/>
          <w:sz w:val="30"/>
          <w:szCs w:val="30"/>
          <w:lang w:eastAsia="zh-CN"/>
        </w:rPr>
        <w:t>年中央食品监管补助资金分配明细表</w:t>
      </w:r>
    </w:p>
    <w:p w:rsidR="004B0FC1" w:rsidRDefault="00A976D9">
      <w:pPr>
        <w:jc w:val="right"/>
        <w:rPr>
          <w:rFonts w:eastAsia="仿宋"/>
          <w:sz w:val="30"/>
          <w:szCs w:val="30"/>
        </w:rPr>
      </w:pPr>
      <w:r>
        <w:rPr>
          <w:rFonts w:eastAsia="仿宋"/>
          <w:sz w:val="30"/>
          <w:szCs w:val="30"/>
          <w:lang w:eastAsia="zh-CN"/>
        </w:rPr>
        <w:t xml:space="preserve">                               </w:t>
      </w:r>
      <w:r>
        <w:rPr>
          <w:rFonts w:eastAsia="仿宋"/>
          <w:sz w:val="30"/>
          <w:szCs w:val="30"/>
        </w:rPr>
        <w:t>金额单位：万元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6"/>
        <w:gridCol w:w="833"/>
        <w:gridCol w:w="968"/>
        <w:gridCol w:w="953"/>
        <w:gridCol w:w="982"/>
        <w:gridCol w:w="817"/>
        <w:gridCol w:w="1133"/>
        <w:gridCol w:w="1149"/>
      </w:tblGrid>
      <w:tr w:rsidR="004B0FC1">
        <w:trPr>
          <w:trHeight w:val="907"/>
        </w:trPr>
        <w:tc>
          <w:tcPr>
            <w:tcW w:w="1233" w:type="pct"/>
            <w:vMerge w:val="restart"/>
            <w:vAlign w:val="center"/>
          </w:tcPr>
          <w:p w:rsidR="004B0FC1" w:rsidRDefault="00A976D9">
            <w:pPr>
              <w:jc w:val="center"/>
              <w:rPr>
                <w:rFonts w:eastAsia="仿宋"/>
                <w:kern w:val="2"/>
                <w:sz w:val="28"/>
                <w:szCs w:val="22"/>
              </w:rPr>
            </w:pPr>
            <w:r>
              <w:rPr>
                <w:rFonts w:eastAsia="仿宋"/>
                <w:kern w:val="2"/>
                <w:sz w:val="28"/>
                <w:szCs w:val="22"/>
              </w:rPr>
              <w:t>单位</w:t>
            </w:r>
          </w:p>
        </w:tc>
        <w:tc>
          <w:tcPr>
            <w:tcW w:w="464" w:type="pct"/>
            <w:vMerge w:val="restart"/>
            <w:vAlign w:val="center"/>
          </w:tcPr>
          <w:p w:rsidR="004B0FC1" w:rsidRDefault="00A976D9">
            <w:pPr>
              <w:jc w:val="center"/>
              <w:rPr>
                <w:rFonts w:eastAsia="仿宋"/>
                <w:kern w:val="2"/>
                <w:sz w:val="24"/>
                <w:szCs w:val="22"/>
              </w:rPr>
            </w:pPr>
            <w:r>
              <w:rPr>
                <w:rFonts w:eastAsia="仿宋"/>
                <w:kern w:val="2"/>
                <w:sz w:val="28"/>
                <w:szCs w:val="22"/>
              </w:rPr>
              <w:t>合计</w:t>
            </w:r>
          </w:p>
        </w:tc>
        <w:tc>
          <w:tcPr>
            <w:tcW w:w="1614" w:type="pct"/>
            <w:gridSpan w:val="3"/>
            <w:vAlign w:val="center"/>
          </w:tcPr>
          <w:p w:rsidR="004B0FC1" w:rsidRDefault="00A976D9">
            <w:pPr>
              <w:jc w:val="center"/>
              <w:rPr>
                <w:rFonts w:eastAsia="仿宋"/>
                <w:kern w:val="2"/>
                <w:sz w:val="24"/>
                <w:szCs w:val="22"/>
              </w:rPr>
            </w:pPr>
            <w:r>
              <w:rPr>
                <w:rFonts w:eastAsia="仿宋"/>
                <w:kern w:val="2"/>
                <w:sz w:val="24"/>
                <w:szCs w:val="22"/>
              </w:rPr>
              <w:t>食品安全综合监管</w:t>
            </w:r>
          </w:p>
        </w:tc>
        <w:tc>
          <w:tcPr>
            <w:tcW w:w="1689" w:type="pct"/>
            <w:gridSpan w:val="3"/>
            <w:vAlign w:val="center"/>
          </w:tcPr>
          <w:p w:rsidR="004B0FC1" w:rsidRDefault="00A976D9">
            <w:pPr>
              <w:jc w:val="center"/>
              <w:rPr>
                <w:rFonts w:eastAsia="仿宋"/>
                <w:kern w:val="2"/>
                <w:sz w:val="24"/>
                <w:szCs w:val="22"/>
              </w:rPr>
            </w:pPr>
            <w:r>
              <w:rPr>
                <w:rFonts w:eastAsia="仿宋"/>
                <w:kern w:val="2"/>
                <w:sz w:val="24"/>
                <w:szCs w:val="22"/>
              </w:rPr>
              <w:t>抽检任务</w:t>
            </w:r>
          </w:p>
        </w:tc>
      </w:tr>
      <w:tr w:rsidR="004B0FC1">
        <w:trPr>
          <w:trHeight w:val="861"/>
        </w:trPr>
        <w:tc>
          <w:tcPr>
            <w:tcW w:w="1233" w:type="pct"/>
            <w:vMerge/>
            <w:vAlign w:val="center"/>
          </w:tcPr>
          <w:p w:rsidR="004B0FC1" w:rsidRDefault="004B0FC1">
            <w:pPr>
              <w:rPr>
                <w:rFonts w:eastAsia="仿宋"/>
                <w:kern w:val="2"/>
                <w:szCs w:val="22"/>
              </w:rPr>
            </w:pPr>
          </w:p>
        </w:tc>
        <w:tc>
          <w:tcPr>
            <w:tcW w:w="464" w:type="pct"/>
            <w:vMerge/>
          </w:tcPr>
          <w:p w:rsidR="004B0FC1" w:rsidRDefault="004B0FC1">
            <w:pPr>
              <w:rPr>
                <w:rFonts w:eastAsia="仿宋"/>
                <w:kern w:val="2"/>
                <w:szCs w:val="22"/>
              </w:rPr>
            </w:pPr>
          </w:p>
        </w:tc>
        <w:tc>
          <w:tcPr>
            <w:tcW w:w="538" w:type="pct"/>
            <w:vAlign w:val="center"/>
          </w:tcPr>
          <w:p w:rsidR="004B0FC1" w:rsidRDefault="00A976D9">
            <w:pPr>
              <w:jc w:val="center"/>
              <w:rPr>
                <w:rFonts w:eastAsia="仿宋"/>
                <w:kern w:val="2"/>
                <w:sz w:val="24"/>
                <w:szCs w:val="22"/>
              </w:rPr>
            </w:pPr>
            <w:r>
              <w:rPr>
                <w:rFonts w:eastAsia="仿宋"/>
                <w:kern w:val="2"/>
                <w:sz w:val="24"/>
                <w:szCs w:val="22"/>
              </w:rPr>
              <w:t>金额</w:t>
            </w:r>
          </w:p>
        </w:tc>
        <w:tc>
          <w:tcPr>
            <w:tcW w:w="530" w:type="pct"/>
            <w:vAlign w:val="center"/>
          </w:tcPr>
          <w:p w:rsidR="004B0FC1" w:rsidRDefault="00A976D9">
            <w:pPr>
              <w:jc w:val="center"/>
              <w:rPr>
                <w:rFonts w:eastAsia="仿宋"/>
                <w:kern w:val="2"/>
                <w:sz w:val="24"/>
                <w:szCs w:val="22"/>
                <w:lang w:eastAsia="zh-CN"/>
              </w:rPr>
            </w:pPr>
            <w:r>
              <w:rPr>
                <w:rFonts w:eastAsia="仿宋"/>
                <w:kern w:val="2"/>
                <w:sz w:val="24"/>
                <w:szCs w:val="22"/>
                <w:lang w:eastAsia="zh-CN"/>
              </w:rPr>
              <w:t>食品生产企业监管户数</w:t>
            </w:r>
          </w:p>
        </w:tc>
        <w:tc>
          <w:tcPr>
            <w:tcW w:w="546" w:type="pct"/>
            <w:vAlign w:val="center"/>
          </w:tcPr>
          <w:p w:rsidR="004B0FC1" w:rsidRDefault="00A976D9">
            <w:pPr>
              <w:jc w:val="center"/>
              <w:rPr>
                <w:rFonts w:eastAsia="仿宋"/>
                <w:kern w:val="2"/>
                <w:sz w:val="24"/>
                <w:szCs w:val="22"/>
              </w:rPr>
            </w:pPr>
            <w:r>
              <w:rPr>
                <w:rFonts w:eastAsia="仿宋"/>
                <w:kern w:val="2"/>
                <w:sz w:val="24"/>
                <w:szCs w:val="22"/>
              </w:rPr>
              <w:t>食品小作坊监管户数</w:t>
            </w:r>
          </w:p>
        </w:tc>
        <w:tc>
          <w:tcPr>
            <w:tcW w:w="422" w:type="pct"/>
            <w:vAlign w:val="center"/>
          </w:tcPr>
          <w:p w:rsidR="004B0FC1" w:rsidRDefault="00A976D9">
            <w:pPr>
              <w:jc w:val="center"/>
              <w:rPr>
                <w:rFonts w:eastAsia="仿宋"/>
                <w:kern w:val="2"/>
                <w:sz w:val="24"/>
                <w:szCs w:val="22"/>
              </w:rPr>
            </w:pPr>
            <w:r>
              <w:rPr>
                <w:rFonts w:eastAsia="仿宋"/>
                <w:kern w:val="2"/>
                <w:sz w:val="24"/>
                <w:szCs w:val="22"/>
              </w:rPr>
              <w:t>金额</w:t>
            </w:r>
          </w:p>
        </w:tc>
        <w:tc>
          <w:tcPr>
            <w:tcW w:w="629" w:type="pct"/>
            <w:vAlign w:val="center"/>
          </w:tcPr>
          <w:p w:rsidR="004B0FC1" w:rsidRDefault="00A976D9">
            <w:pPr>
              <w:jc w:val="center"/>
              <w:rPr>
                <w:rFonts w:eastAsia="仿宋"/>
                <w:kern w:val="2"/>
                <w:sz w:val="24"/>
                <w:szCs w:val="22"/>
                <w:lang w:eastAsia="zh-CN"/>
              </w:rPr>
            </w:pPr>
            <w:proofErr w:type="gramStart"/>
            <w:r>
              <w:rPr>
                <w:rFonts w:eastAsia="仿宋"/>
                <w:kern w:val="2"/>
                <w:sz w:val="24"/>
                <w:szCs w:val="22"/>
                <w:lang w:eastAsia="zh-CN"/>
              </w:rPr>
              <w:t>国抽配合</w:t>
            </w:r>
            <w:proofErr w:type="gramEnd"/>
            <w:r>
              <w:rPr>
                <w:rFonts w:eastAsia="仿宋"/>
                <w:kern w:val="2"/>
                <w:sz w:val="24"/>
                <w:szCs w:val="22"/>
                <w:lang w:eastAsia="zh-CN"/>
              </w:rPr>
              <w:t>抽检</w:t>
            </w:r>
            <w:r>
              <w:rPr>
                <w:rFonts w:eastAsia="仿宋"/>
                <w:kern w:val="2"/>
                <w:sz w:val="24"/>
                <w:szCs w:val="22"/>
                <w:lang w:eastAsia="zh-CN"/>
              </w:rPr>
              <w:t xml:space="preserve">   </w:t>
            </w:r>
            <w:r>
              <w:rPr>
                <w:rFonts w:eastAsia="仿宋"/>
                <w:kern w:val="2"/>
                <w:sz w:val="24"/>
                <w:szCs w:val="22"/>
                <w:lang w:eastAsia="zh-CN"/>
              </w:rPr>
              <w:t>（批次）</w:t>
            </w:r>
          </w:p>
        </w:tc>
        <w:tc>
          <w:tcPr>
            <w:tcW w:w="637" w:type="pct"/>
            <w:vAlign w:val="center"/>
          </w:tcPr>
          <w:p w:rsidR="004B0FC1" w:rsidRDefault="00A976D9">
            <w:pPr>
              <w:jc w:val="center"/>
              <w:rPr>
                <w:rFonts w:eastAsia="仿宋"/>
                <w:kern w:val="2"/>
                <w:sz w:val="24"/>
                <w:szCs w:val="22"/>
                <w:lang w:eastAsia="zh-CN"/>
              </w:rPr>
            </w:pPr>
            <w:r>
              <w:rPr>
                <w:rFonts w:eastAsia="仿宋"/>
                <w:kern w:val="2"/>
                <w:sz w:val="24"/>
                <w:szCs w:val="22"/>
                <w:lang w:eastAsia="zh-CN"/>
              </w:rPr>
              <w:t>食用农产品抽检（批次）</w:t>
            </w:r>
          </w:p>
        </w:tc>
      </w:tr>
      <w:tr w:rsidR="004B0FC1">
        <w:trPr>
          <w:trHeight w:val="407"/>
        </w:trPr>
        <w:tc>
          <w:tcPr>
            <w:tcW w:w="1233" w:type="pct"/>
            <w:vAlign w:val="center"/>
          </w:tcPr>
          <w:p w:rsidR="004B0FC1" w:rsidRDefault="00A976D9">
            <w:pPr>
              <w:rPr>
                <w:rFonts w:eastAsia="仿宋"/>
                <w:kern w:val="2"/>
                <w:sz w:val="24"/>
                <w:szCs w:val="22"/>
              </w:rPr>
            </w:pPr>
            <w:r>
              <w:rPr>
                <w:rFonts w:eastAsia="仿宋"/>
                <w:kern w:val="2"/>
                <w:sz w:val="24"/>
                <w:szCs w:val="22"/>
              </w:rPr>
              <w:t>市市场监管局</w:t>
            </w:r>
          </w:p>
        </w:tc>
        <w:tc>
          <w:tcPr>
            <w:tcW w:w="464" w:type="pct"/>
            <w:vAlign w:val="center"/>
          </w:tcPr>
          <w:p w:rsidR="004B0FC1" w:rsidRDefault="00A976D9">
            <w:pPr>
              <w:jc w:val="center"/>
              <w:rPr>
                <w:rFonts w:eastAsia="仿宋_GB2312"/>
                <w:b/>
                <w:kern w:val="2"/>
                <w:sz w:val="24"/>
                <w:szCs w:val="22"/>
              </w:rPr>
            </w:pPr>
            <w:r>
              <w:rPr>
                <w:rFonts w:eastAsia="仿宋_GB2312"/>
                <w:b/>
                <w:kern w:val="2"/>
                <w:sz w:val="24"/>
                <w:szCs w:val="22"/>
              </w:rPr>
              <w:t>7.02</w:t>
            </w:r>
          </w:p>
        </w:tc>
        <w:tc>
          <w:tcPr>
            <w:tcW w:w="538" w:type="pct"/>
            <w:vAlign w:val="center"/>
          </w:tcPr>
          <w:p w:rsidR="004B0FC1" w:rsidRDefault="00A976D9">
            <w:pPr>
              <w:jc w:val="center"/>
              <w:rPr>
                <w:rFonts w:eastAsia="仿宋_GB2312"/>
                <w:kern w:val="2"/>
                <w:sz w:val="24"/>
                <w:szCs w:val="22"/>
              </w:rPr>
            </w:pPr>
            <w:r>
              <w:rPr>
                <w:rFonts w:eastAsia="仿宋_GB2312"/>
                <w:kern w:val="2"/>
                <w:sz w:val="24"/>
                <w:szCs w:val="22"/>
              </w:rPr>
              <w:t>7.02</w:t>
            </w:r>
          </w:p>
        </w:tc>
        <w:tc>
          <w:tcPr>
            <w:tcW w:w="530" w:type="pct"/>
            <w:vAlign w:val="center"/>
          </w:tcPr>
          <w:p w:rsidR="004B0FC1" w:rsidRDefault="004B0FC1">
            <w:pPr>
              <w:jc w:val="center"/>
              <w:rPr>
                <w:rFonts w:eastAsia="仿宋_GB2312"/>
                <w:kern w:val="2"/>
                <w:sz w:val="24"/>
                <w:szCs w:val="22"/>
              </w:rPr>
            </w:pPr>
          </w:p>
        </w:tc>
        <w:tc>
          <w:tcPr>
            <w:tcW w:w="546" w:type="pct"/>
            <w:vAlign w:val="center"/>
          </w:tcPr>
          <w:p w:rsidR="004B0FC1" w:rsidRDefault="004B0FC1">
            <w:pPr>
              <w:jc w:val="center"/>
              <w:rPr>
                <w:rFonts w:eastAsia="仿宋_GB2312"/>
                <w:kern w:val="2"/>
                <w:sz w:val="24"/>
                <w:szCs w:val="22"/>
              </w:rPr>
            </w:pPr>
          </w:p>
        </w:tc>
        <w:tc>
          <w:tcPr>
            <w:tcW w:w="422" w:type="pct"/>
            <w:vAlign w:val="center"/>
          </w:tcPr>
          <w:p w:rsidR="004B0FC1" w:rsidRDefault="004B0FC1">
            <w:pPr>
              <w:jc w:val="center"/>
              <w:rPr>
                <w:rFonts w:eastAsia="仿宋_GB2312"/>
                <w:kern w:val="2"/>
                <w:sz w:val="24"/>
                <w:szCs w:val="22"/>
              </w:rPr>
            </w:pPr>
          </w:p>
        </w:tc>
        <w:tc>
          <w:tcPr>
            <w:tcW w:w="629" w:type="pct"/>
            <w:vAlign w:val="center"/>
          </w:tcPr>
          <w:p w:rsidR="004B0FC1" w:rsidRDefault="004B0FC1">
            <w:pPr>
              <w:jc w:val="center"/>
              <w:rPr>
                <w:rFonts w:eastAsia="仿宋_GB2312"/>
                <w:kern w:val="2"/>
                <w:sz w:val="24"/>
                <w:szCs w:val="22"/>
              </w:rPr>
            </w:pPr>
          </w:p>
        </w:tc>
        <w:tc>
          <w:tcPr>
            <w:tcW w:w="637" w:type="pct"/>
            <w:vAlign w:val="center"/>
          </w:tcPr>
          <w:p w:rsidR="004B0FC1" w:rsidRDefault="004B0FC1">
            <w:pPr>
              <w:jc w:val="center"/>
              <w:rPr>
                <w:rFonts w:eastAsia="仿宋_GB2312"/>
                <w:kern w:val="2"/>
                <w:sz w:val="24"/>
                <w:szCs w:val="22"/>
              </w:rPr>
            </w:pPr>
          </w:p>
        </w:tc>
      </w:tr>
      <w:tr w:rsidR="004B0FC1">
        <w:trPr>
          <w:trHeight w:val="407"/>
        </w:trPr>
        <w:tc>
          <w:tcPr>
            <w:tcW w:w="1233" w:type="pct"/>
            <w:vAlign w:val="center"/>
          </w:tcPr>
          <w:p w:rsidR="004B0FC1" w:rsidRDefault="00A976D9">
            <w:pPr>
              <w:rPr>
                <w:rFonts w:eastAsia="仿宋"/>
                <w:kern w:val="2"/>
                <w:sz w:val="24"/>
                <w:szCs w:val="22"/>
              </w:rPr>
            </w:pPr>
            <w:r>
              <w:rPr>
                <w:rFonts w:eastAsia="仿宋"/>
                <w:kern w:val="2"/>
                <w:sz w:val="24"/>
                <w:szCs w:val="22"/>
              </w:rPr>
              <w:t>东区市场监管局</w:t>
            </w:r>
          </w:p>
        </w:tc>
        <w:tc>
          <w:tcPr>
            <w:tcW w:w="464" w:type="pct"/>
            <w:vAlign w:val="center"/>
          </w:tcPr>
          <w:p w:rsidR="004B0FC1" w:rsidRDefault="00A976D9">
            <w:pPr>
              <w:jc w:val="center"/>
              <w:rPr>
                <w:rFonts w:eastAsia="仿宋_GB2312"/>
                <w:b/>
                <w:kern w:val="2"/>
                <w:sz w:val="24"/>
                <w:szCs w:val="22"/>
              </w:rPr>
            </w:pPr>
            <w:r>
              <w:rPr>
                <w:rFonts w:eastAsia="仿宋_GB2312"/>
                <w:b/>
                <w:kern w:val="2"/>
                <w:sz w:val="24"/>
                <w:szCs w:val="22"/>
              </w:rPr>
              <w:t>2.885</w:t>
            </w:r>
          </w:p>
        </w:tc>
        <w:tc>
          <w:tcPr>
            <w:tcW w:w="538" w:type="pct"/>
            <w:vAlign w:val="center"/>
          </w:tcPr>
          <w:p w:rsidR="004B0FC1" w:rsidRDefault="00A976D9">
            <w:pPr>
              <w:jc w:val="center"/>
              <w:rPr>
                <w:rFonts w:eastAsia="仿宋_GB2312"/>
                <w:kern w:val="2"/>
                <w:sz w:val="24"/>
                <w:szCs w:val="22"/>
              </w:rPr>
            </w:pPr>
            <w:r>
              <w:rPr>
                <w:rFonts w:eastAsia="仿宋_GB2312"/>
                <w:kern w:val="2"/>
                <w:sz w:val="24"/>
                <w:szCs w:val="22"/>
              </w:rPr>
              <w:t>0.455</w:t>
            </w:r>
          </w:p>
        </w:tc>
        <w:tc>
          <w:tcPr>
            <w:tcW w:w="530" w:type="pct"/>
            <w:vAlign w:val="center"/>
          </w:tcPr>
          <w:p w:rsidR="004B0FC1" w:rsidRDefault="00A976D9">
            <w:pPr>
              <w:jc w:val="center"/>
              <w:rPr>
                <w:rFonts w:eastAsia="仿宋_GB2312"/>
                <w:kern w:val="2"/>
                <w:sz w:val="24"/>
                <w:szCs w:val="22"/>
              </w:rPr>
            </w:pPr>
            <w:r>
              <w:rPr>
                <w:rFonts w:eastAsia="仿宋_GB2312"/>
                <w:kern w:val="2"/>
                <w:sz w:val="24"/>
                <w:szCs w:val="22"/>
              </w:rPr>
              <w:t>10</w:t>
            </w:r>
          </w:p>
        </w:tc>
        <w:tc>
          <w:tcPr>
            <w:tcW w:w="546" w:type="pct"/>
            <w:vAlign w:val="center"/>
          </w:tcPr>
          <w:p w:rsidR="004B0FC1" w:rsidRDefault="00A976D9">
            <w:pPr>
              <w:jc w:val="center"/>
              <w:rPr>
                <w:rFonts w:eastAsia="仿宋_GB2312"/>
                <w:kern w:val="2"/>
                <w:sz w:val="24"/>
                <w:szCs w:val="22"/>
              </w:rPr>
            </w:pPr>
            <w:r>
              <w:rPr>
                <w:rFonts w:eastAsia="仿宋_GB2312"/>
                <w:kern w:val="2"/>
                <w:sz w:val="24"/>
                <w:szCs w:val="22"/>
              </w:rPr>
              <w:t>51</w:t>
            </w:r>
          </w:p>
        </w:tc>
        <w:tc>
          <w:tcPr>
            <w:tcW w:w="422" w:type="pct"/>
            <w:vAlign w:val="center"/>
          </w:tcPr>
          <w:p w:rsidR="004B0FC1" w:rsidRDefault="00A976D9">
            <w:pPr>
              <w:jc w:val="center"/>
              <w:rPr>
                <w:rFonts w:eastAsia="仿宋_GB2312"/>
                <w:kern w:val="2"/>
                <w:sz w:val="24"/>
                <w:szCs w:val="22"/>
              </w:rPr>
            </w:pPr>
            <w:r>
              <w:rPr>
                <w:rFonts w:eastAsia="仿宋_GB2312"/>
                <w:kern w:val="2"/>
                <w:sz w:val="24"/>
                <w:szCs w:val="22"/>
              </w:rPr>
              <w:t>2.43</w:t>
            </w:r>
          </w:p>
        </w:tc>
        <w:tc>
          <w:tcPr>
            <w:tcW w:w="629" w:type="pct"/>
            <w:vAlign w:val="center"/>
          </w:tcPr>
          <w:p w:rsidR="004B0FC1" w:rsidRDefault="00A976D9">
            <w:pPr>
              <w:jc w:val="center"/>
              <w:rPr>
                <w:rFonts w:eastAsia="仿宋_GB2312"/>
                <w:kern w:val="2"/>
                <w:sz w:val="24"/>
                <w:szCs w:val="22"/>
              </w:rPr>
            </w:pPr>
            <w:r>
              <w:rPr>
                <w:rFonts w:eastAsia="仿宋_GB2312"/>
                <w:kern w:val="2"/>
                <w:sz w:val="24"/>
                <w:szCs w:val="22"/>
              </w:rPr>
              <w:t>117</w:t>
            </w:r>
          </w:p>
        </w:tc>
        <w:tc>
          <w:tcPr>
            <w:tcW w:w="637" w:type="pct"/>
            <w:vAlign w:val="center"/>
          </w:tcPr>
          <w:p w:rsidR="004B0FC1" w:rsidRDefault="00A976D9">
            <w:pPr>
              <w:jc w:val="center"/>
              <w:rPr>
                <w:rFonts w:eastAsia="仿宋_GB2312"/>
                <w:kern w:val="2"/>
                <w:sz w:val="24"/>
                <w:szCs w:val="22"/>
              </w:rPr>
            </w:pPr>
            <w:r>
              <w:rPr>
                <w:rFonts w:eastAsia="仿宋_GB2312"/>
                <w:kern w:val="2"/>
                <w:sz w:val="24"/>
                <w:szCs w:val="22"/>
              </w:rPr>
              <w:t>230</w:t>
            </w:r>
          </w:p>
        </w:tc>
      </w:tr>
      <w:tr w:rsidR="004B0FC1">
        <w:trPr>
          <w:trHeight w:val="407"/>
        </w:trPr>
        <w:tc>
          <w:tcPr>
            <w:tcW w:w="1233" w:type="pct"/>
            <w:vAlign w:val="center"/>
          </w:tcPr>
          <w:p w:rsidR="004B0FC1" w:rsidRDefault="00A976D9">
            <w:pPr>
              <w:rPr>
                <w:rFonts w:eastAsia="仿宋"/>
                <w:kern w:val="2"/>
                <w:sz w:val="24"/>
                <w:szCs w:val="22"/>
              </w:rPr>
            </w:pPr>
            <w:r>
              <w:rPr>
                <w:rFonts w:eastAsia="仿宋"/>
                <w:kern w:val="2"/>
                <w:sz w:val="24"/>
                <w:szCs w:val="22"/>
              </w:rPr>
              <w:t>西区市场监管局</w:t>
            </w:r>
          </w:p>
        </w:tc>
        <w:tc>
          <w:tcPr>
            <w:tcW w:w="464" w:type="pct"/>
            <w:vAlign w:val="center"/>
          </w:tcPr>
          <w:p w:rsidR="004B0FC1" w:rsidRDefault="00A976D9">
            <w:pPr>
              <w:jc w:val="center"/>
              <w:rPr>
                <w:rFonts w:eastAsia="仿宋_GB2312"/>
                <w:b/>
                <w:kern w:val="2"/>
                <w:sz w:val="24"/>
                <w:szCs w:val="22"/>
              </w:rPr>
            </w:pPr>
            <w:r>
              <w:rPr>
                <w:rFonts w:eastAsia="仿宋_GB2312"/>
                <w:b/>
                <w:kern w:val="2"/>
                <w:sz w:val="24"/>
                <w:szCs w:val="22"/>
              </w:rPr>
              <w:t>1.32</w:t>
            </w:r>
          </w:p>
        </w:tc>
        <w:tc>
          <w:tcPr>
            <w:tcW w:w="538" w:type="pct"/>
            <w:vAlign w:val="center"/>
          </w:tcPr>
          <w:p w:rsidR="004B0FC1" w:rsidRDefault="00A976D9">
            <w:pPr>
              <w:jc w:val="center"/>
              <w:rPr>
                <w:rFonts w:eastAsia="仿宋_GB2312"/>
                <w:kern w:val="2"/>
                <w:sz w:val="24"/>
                <w:szCs w:val="22"/>
              </w:rPr>
            </w:pPr>
            <w:r>
              <w:rPr>
                <w:rFonts w:eastAsia="仿宋_GB2312"/>
                <w:kern w:val="2"/>
                <w:sz w:val="24"/>
                <w:szCs w:val="22"/>
              </w:rPr>
              <w:t>0.08</w:t>
            </w:r>
          </w:p>
        </w:tc>
        <w:tc>
          <w:tcPr>
            <w:tcW w:w="530" w:type="pct"/>
            <w:vAlign w:val="center"/>
          </w:tcPr>
          <w:p w:rsidR="004B0FC1" w:rsidRDefault="00A976D9">
            <w:pPr>
              <w:jc w:val="center"/>
              <w:rPr>
                <w:rFonts w:eastAsia="仿宋_GB2312"/>
                <w:kern w:val="2"/>
                <w:sz w:val="24"/>
                <w:szCs w:val="22"/>
              </w:rPr>
            </w:pPr>
            <w:r>
              <w:rPr>
                <w:rFonts w:eastAsia="仿宋_GB2312"/>
                <w:kern w:val="2"/>
                <w:sz w:val="24"/>
                <w:szCs w:val="22"/>
              </w:rPr>
              <w:t>2</w:t>
            </w:r>
          </w:p>
        </w:tc>
        <w:tc>
          <w:tcPr>
            <w:tcW w:w="546" w:type="pct"/>
            <w:vAlign w:val="center"/>
          </w:tcPr>
          <w:p w:rsidR="004B0FC1" w:rsidRDefault="00A976D9">
            <w:pPr>
              <w:jc w:val="center"/>
              <w:rPr>
                <w:rFonts w:eastAsia="仿宋_GB2312"/>
                <w:kern w:val="2"/>
                <w:sz w:val="24"/>
                <w:szCs w:val="22"/>
              </w:rPr>
            </w:pPr>
            <w:r>
              <w:rPr>
                <w:rFonts w:eastAsia="仿宋_GB2312"/>
                <w:kern w:val="2"/>
                <w:sz w:val="24"/>
                <w:szCs w:val="22"/>
              </w:rPr>
              <w:t>8</w:t>
            </w:r>
          </w:p>
        </w:tc>
        <w:tc>
          <w:tcPr>
            <w:tcW w:w="422" w:type="pct"/>
            <w:vAlign w:val="center"/>
          </w:tcPr>
          <w:p w:rsidR="004B0FC1" w:rsidRDefault="00A976D9">
            <w:pPr>
              <w:jc w:val="center"/>
              <w:rPr>
                <w:rFonts w:eastAsia="仿宋_GB2312"/>
                <w:kern w:val="2"/>
                <w:sz w:val="24"/>
                <w:szCs w:val="22"/>
              </w:rPr>
            </w:pPr>
            <w:r>
              <w:rPr>
                <w:rFonts w:eastAsia="仿宋_GB2312"/>
                <w:kern w:val="2"/>
                <w:sz w:val="24"/>
                <w:szCs w:val="22"/>
              </w:rPr>
              <w:t>1.24</w:t>
            </w:r>
          </w:p>
        </w:tc>
        <w:tc>
          <w:tcPr>
            <w:tcW w:w="629" w:type="pct"/>
            <w:vAlign w:val="center"/>
          </w:tcPr>
          <w:p w:rsidR="004B0FC1" w:rsidRDefault="00A976D9">
            <w:pPr>
              <w:jc w:val="center"/>
              <w:rPr>
                <w:rFonts w:eastAsia="仿宋_GB2312"/>
                <w:kern w:val="2"/>
                <w:sz w:val="24"/>
                <w:szCs w:val="22"/>
              </w:rPr>
            </w:pPr>
            <w:r>
              <w:rPr>
                <w:rFonts w:eastAsia="仿宋_GB2312"/>
                <w:kern w:val="2"/>
                <w:sz w:val="24"/>
                <w:szCs w:val="22"/>
              </w:rPr>
              <w:t>55</w:t>
            </w:r>
          </w:p>
        </w:tc>
        <w:tc>
          <w:tcPr>
            <w:tcW w:w="637" w:type="pct"/>
            <w:vAlign w:val="center"/>
          </w:tcPr>
          <w:p w:rsidR="004B0FC1" w:rsidRDefault="00A976D9">
            <w:pPr>
              <w:jc w:val="center"/>
              <w:rPr>
                <w:rFonts w:eastAsia="仿宋_GB2312"/>
                <w:kern w:val="2"/>
                <w:sz w:val="24"/>
                <w:szCs w:val="22"/>
              </w:rPr>
            </w:pPr>
            <w:r>
              <w:rPr>
                <w:rFonts w:eastAsia="仿宋_GB2312"/>
                <w:kern w:val="2"/>
                <w:sz w:val="24"/>
                <w:szCs w:val="22"/>
              </w:rPr>
              <w:t>120</w:t>
            </w:r>
          </w:p>
        </w:tc>
      </w:tr>
      <w:tr w:rsidR="004B0FC1">
        <w:trPr>
          <w:trHeight w:val="407"/>
        </w:trPr>
        <w:tc>
          <w:tcPr>
            <w:tcW w:w="1233" w:type="pct"/>
            <w:vAlign w:val="center"/>
          </w:tcPr>
          <w:p w:rsidR="004B0FC1" w:rsidRDefault="00A976D9">
            <w:pPr>
              <w:rPr>
                <w:rFonts w:eastAsia="仿宋"/>
                <w:kern w:val="2"/>
                <w:sz w:val="24"/>
                <w:szCs w:val="22"/>
              </w:rPr>
            </w:pPr>
            <w:r>
              <w:rPr>
                <w:rFonts w:eastAsia="仿宋"/>
                <w:kern w:val="2"/>
                <w:sz w:val="24"/>
                <w:szCs w:val="22"/>
              </w:rPr>
              <w:t>仁和区市场监管局</w:t>
            </w:r>
          </w:p>
        </w:tc>
        <w:tc>
          <w:tcPr>
            <w:tcW w:w="464" w:type="pct"/>
            <w:vAlign w:val="center"/>
          </w:tcPr>
          <w:p w:rsidR="004B0FC1" w:rsidRDefault="00A976D9">
            <w:pPr>
              <w:jc w:val="center"/>
              <w:rPr>
                <w:rFonts w:eastAsia="仿宋_GB2312"/>
                <w:b/>
                <w:kern w:val="2"/>
                <w:sz w:val="24"/>
                <w:szCs w:val="22"/>
              </w:rPr>
            </w:pPr>
            <w:r>
              <w:rPr>
                <w:rFonts w:eastAsia="仿宋_GB2312"/>
                <w:b/>
                <w:kern w:val="2"/>
                <w:sz w:val="24"/>
                <w:szCs w:val="22"/>
              </w:rPr>
              <w:t>2.77</w:t>
            </w:r>
          </w:p>
        </w:tc>
        <w:tc>
          <w:tcPr>
            <w:tcW w:w="538" w:type="pct"/>
            <w:vAlign w:val="center"/>
          </w:tcPr>
          <w:p w:rsidR="004B0FC1" w:rsidRDefault="00A976D9">
            <w:pPr>
              <w:jc w:val="center"/>
              <w:rPr>
                <w:rFonts w:eastAsia="仿宋_GB2312"/>
                <w:kern w:val="2"/>
                <w:sz w:val="24"/>
                <w:szCs w:val="22"/>
              </w:rPr>
            </w:pPr>
            <w:r>
              <w:rPr>
                <w:rFonts w:eastAsia="仿宋_GB2312"/>
                <w:kern w:val="2"/>
                <w:sz w:val="24"/>
                <w:szCs w:val="22"/>
              </w:rPr>
              <w:t>0.9</w:t>
            </w:r>
          </w:p>
        </w:tc>
        <w:tc>
          <w:tcPr>
            <w:tcW w:w="530" w:type="pct"/>
            <w:vAlign w:val="center"/>
          </w:tcPr>
          <w:p w:rsidR="004B0FC1" w:rsidRDefault="00A976D9">
            <w:pPr>
              <w:jc w:val="center"/>
              <w:rPr>
                <w:rFonts w:eastAsia="仿宋_GB2312"/>
                <w:kern w:val="2"/>
                <w:sz w:val="24"/>
                <w:szCs w:val="22"/>
              </w:rPr>
            </w:pPr>
            <w:r>
              <w:rPr>
                <w:rFonts w:eastAsia="仿宋_GB2312"/>
                <w:kern w:val="2"/>
                <w:sz w:val="24"/>
                <w:szCs w:val="22"/>
              </w:rPr>
              <w:t>22</w:t>
            </w:r>
          </w:p>
        </w:tc>
        <w:tc>
          <w:tcPr>
            <w:tcW w:w="546" w:type="pct"/>
            <w:vAlign w:val="center"/>
          </w:tcPr>
          <w:p w:rsidR="004B0FC1" w:rsidRDefault="00A976D9">
            <w:pPr>
              <w:jc w:val="center"/>
              <w:rPr>
                <w:rFonts w:eastAsia="仿宋_GB2312"/>
                <w:kern w:val="2"/>
                <w:sz w:val="24"/>
                <w:szCs w:val="22"/>
              </w:rPr>
            </w:pPr>
            <w:r>
              <w:rPr>
                <w:rFonts w:eastAsia="仿宋_GB2312"/>
                <w:kern w:val="2"/>
                <w:sz w:val="24"/>
                <w:szCs w:val="22"/>
              </w:rPr>
              <w:t>92</w:t>
            </w:r>
          </w:p>
        </w:tc>
        <w:tc>
          <w:tcPr>
            <w:tcW w:w="422" w:type="pct"/>
            <w:vAlign w:val="center"/>
          </w:tcPr>
          <w:p w:rsidR="004B0FC1" w:rsidRDefault="00A976D9">
            <w:pPr>
              <w:jc w:val="center"/>
              <w:rPr>
                <w:rFonts w:eastAsia="仿宋_GB2312"/>
                <w:kern w:val="2"/>
                <w:sz w:val="24"/>
                <w:szCs w:val="22"/>
              </w:rPr>
            </w:pPr>
            <w:r>
              <w:rPr>
                <w:rFonts w:eastAsia="仿宋_GB2312"/>
                <w:kern w:val="2"/>
                <w:sz w:val="24"/>
                <w:szCs w:val="22"/>
              </w:rPr>
              <w:t>1.87</w:t>
            </w:r>
          </w:p>
        </w:tc>
        <w:tc>
          <w:tcPr>
            <w:tcW w:w="629" w:type="pct"/>
            <w:vAlign w:val="center"/>
          </w:tcPr>
          <w:p w:rsidR="004B0FC1" w:rsidRDefault="00A976D9">
            <w:pPr>
              <w:jc w:val="center"/>
              <w:rPr>
                <w:rFonts w:eastAsia="仿宋_GB2312"/>
                <w:kern w:val="2"/>
                <w:sz w:val="24"/>
                <w:szCs w:val="22"/>
              </w:rPr>
            </w:pPr>
            <w:r>
              <w:rPr>
                <w:rFonts w:eastAsia="仿宋_GB2312"/>
                <w:kern w:val="2"/>
                <w:sz w:val="24"/>
                <w:szCs w:val="22"/>
              </w:rPr>
              <w:t>85</w:t>
            </w:r>
          </w:p>
        </w:tc>
        <w:tc>
          <w:tcPr>
            <w:tcW w:w="637" w:type="pct"/>
            <w:vAlign w:val="center"/>
          </w:tcPr>
          <w:p w:rsidR="004B0FC1" w:rsidRDefault="00A976D9">
            <w:pPr>
              <w:jc w:val="center"/>
              <w:rPr>
                <w:rFonts w:eastAsia="仿宋_GB2312"/>
                <w:kern w:val="2"/>
                <w:sz w:val="24"/>
                <w:szCs w:val="22"/>
              </w:rPr>
            </w:pPr>
            <w:r>
              <w:rPr>
                <w:rFonts w:eastAsia="仿宋_GB2312"/>
                <w:kern w:val="2"/>
                <w:sz w:val="24"/>
                <w:szCs w:val="22"/>
              </w:rPr>
              <w:t>180</w:t>
            </w:r>
          </w:p>
        </w:tc>
      </w:tr>
      <w:tr w:rsidR="004B0FC1">
        <w:trPr>
          <w:trHeight w:val="407"/>
        </w:trPr>
        <w:tc>
          <w:tcPr>
            <w:tcW w:w="1233" w:type="pct"/>
            <w:vAlign w:val="center"/>
          </w:tcPr>
          <w:p w:rsidR="004B0FC1" w:rsidRDefault="00A976D9">
            <w:pPr>
              <w:rPr>
                <w:rFonts w:eastAsia="仿宋"/>
                <w:kern w:val="2"/>
                <w:sz w:val="24"/>
                <w:szCs w:val="22"/>
              </w:rPr>
            </w:pPr>
            <w:r>
              <w:rPr>
                <w:rFonts w:eastAsia="仿宋"/>
                <w:kern w:val="2"/>
                <w:sz w:val="24"/>
                <w:szCs w:val="22"/>
              </w:rPr>
              <w:t>米易县市场监管局</w:t>
            </w:r>
          </w:p>
        </w:tc>
        <w:tc>
          <w:tcPr>
            <w:tcW w:w="464" w:type="pct"/>
            <w:vAlign w:val="center"/>
          </w:tcPr>
          <w:p w:rsidR="004B0FC1" w:rsidRDefault="00A976D9">
            <w:pPr>
              <w:jc w:val="center"/>
              <w:rPr>
                <w:rFonts w:eastAsia="仿宋_GB2312"/>
                <w:b/>
                <w:kern w:val="2"/>
                <w:sz w:val="24"/>
                <w:szCs w:val="22"/>
              </w:rPr>
            </w:pPr>
            <w:r>
              <w:rPr>
                <w:rFonts w:eastAsia="仿宋_GB2312"/>
                <w:b/>
                <w:kern w:val="2"/>
                <w:sz w:val="24"/>
                <w:szCs w:val="22"/>
              </w:rPr>
              <w:t>2.215</w:t>
            </w:r>
          </w:p>
        </w:tc>
        <w:tc>
          <w:tcPr>
            <w:tcW w:w="538" w:type="pct"/>
            <w:vAlign w:val="center"/>
          </w:tcPr>
          <w:p w:rsidR="004B0FC1" w:rsidRDefault="00A976D9">
            <w:pPr>
              <w:jc w:val="center"/>
              <w:rPr>
                <w:rFonts w:eastAsia="仿宋_GB2312"/>
                <w:kern w:val="2"/>
                <w:sz w:val="24"/>
                <w:szCs w:val="22"/>
              </w:rPr>
            </w:pPr>
            <w:r>
              <w:rPr>
                <w:rFonts w:eastAsia="仿宋_GB2312"/>
                <w:kern w:val="2"/>
                <w:sz w:val="24"/>
                <w:szCs w:val="22"/>
              </w:rPr>
              <w:t>0.495</w:t>
            </w:r>
          </w:p>
        </w:tc>
        <w:tc>
          <w:tcPr>
            <w:tcW w:w="530" w:type="pct"/>
            <w:vAlign w:val="center"/>
          </w:tcPr>
          <w:p w:rsidR="004B0FC1" w:rsidRDefault="00A976D9">
            <w:pPr>
              <w:jc w:val="center"/>
              <w:rPr>
                <w:rFonts w:eastAsia="仿宋_GB2312"/>
                <w:kern w:val="2"/>
                <w:sz w:val="24"/>
                <w:szCs w:val="22"/>
              </w:rPr>
            </w:pPr>
            <w:r>
              <w:rPr>
                <w:rFonts w:eastAsia="仿宋_GB2312"/>
                <w:kern w:val="2"/>
                <w:sz w:val="24"/>
                <w:szCs w:val="22"/>
              </w:rPr>
              <w:t>4</w:t>
            </w:r>
          </w:p>
        </w:tc>
        <w:tc>
          <w:tcPr>
            <w:tcW w:w="546" w:type="pct"/>
            <w:vAlign w:val="center"/>
          </w:tcPr>
          <w:p w:rsidR="004B0FC1" w:rsidRDefault="00A976D9">
            <w:pPr>
              <w:jc w:val="center"/>
              <w:rPr>
                <w:rFonts w:eastAsia="仿宋_GB2312"/>
                <w:kern w:val="2"/>
                <w:sz w:val="24"/>
                <w:szCs w:val="22"/>
              </w:rPr>
            </w:pPr>
            <w:r>
              <w:rPr>
                <w:rFonts w:eastAsia="仿宋_GB2312"/>
                <w:kern w:val="2"/>
                <w:sz w:val="24"/>
                <w:szCs w:val="22"/>
              </w:rPr>
              <w:t>83</w:t>
            </w:r>
          </w:p>
        </w:tc>
        <w:tc>
          <w:tcPr>
            <w:tcW w:w="422" w:type="pct"/>
            <w:vAlign w:val="center"/>
          </w:tcPr>
          <w:p w:rsidR="004B0FC1" w:rsidRDefault="00A976D9">
            <w:pPr>
              <w:jc w:val="center"/>
              <w:rPr>
                <w:rFonts w:eastAsia="仿宋_GB2312"/>
                <w:kern w:val="2"/>
                <w:sz w:val="24"/>
                <w:szCs w:val="22"/>
              </w:rPr>
            </w:pPr>
            <w:r>
              <w:rPr>
                <w:rFonts w:eastAsia="仿宋_GB2312"/>
                <w:kern w:val="2"/>
                <w:sz w:val="24"/>
                <w:szCs w:val="22"/>
              </w:rPr>
              <w:t>1.72</w:t>
            </w:r>
          </w:p>
        </w:tc>
        <w:tc>
          <w:tcPr>
            <w:tcW w:w="629" w:type="pct"/>
            <w:vAlign w:val="center"/>
          </w:tcPr>
          <w:p w:rsidR="004B0FC1" w:rsidRDefault="00A976D9">
            <w:pPr>
              <w:jc w:val="center"/>
              <w:rPr>
                <w:rFonts w:eastAsia="仿宋_GB2312"/>
                <w:kern w:val="2"/>
                <w:sz w:val="24"/>
                <w:szCs w:val="22"/>
              </w:rPr>
            </w:pPr>
            <w:r>
              <w:rPr>
                <w:rFonts w:eastAsia="仿宋_GB2312"/>
                <w:kern w:val="2"/>
                <w:sz w:val="24"/>
                <w:szCs w:val="22"/>
              </w:rPr>
              <w:t>72</w:t>
            </w:r>
          </w:p>
        </w:tc>
        <w:tc>
          <w:tcPr>
            <w:tcW w:w="637" w:type="pct"/>
            <w:vAlign w:val="center"/>
          </w:tcPr>
          <w:p w:rsidR="004B0FC1" w:rsidRDefault="00A976D9">
            <w:pPr>
              <w:jc w:val="center"/>
              <w:rPr>
                <w:rFonts w:eastAsia="仿宋_GB2312"/>
                <w:kern w:val="2"/>
                <w:sz w:val="24"/>
                <w:szCs w:val="22"/>
              </w:rPr>
            </w:pPr>
            <w:r>
              <w:rPr>
                <w:rFonts w:eastAsia="仿宋_GB2312"/>
                <w:kern w:val="2"/>
                <w:sz w:val="24"/>
                <w:szCs w:val="22"/>
              </w:rPr>
              <w:t>170</w:t>
            </w:r>
          </w:p>
        </w:tc>
      </w:tr>
      <w:tr w:rsidR="004B0FC1">
        <w:trPr>
          <w:trHeight w:val="532"/>
        </w:trPr>
        <w:tc>
          <w:tcPr>
            <w:tcW w:w="1233" w:type="pct"/>
            <w:vAlign w:val="center"/>
          </w:tcPr>
          <w:p w:rsidR="004B0FC1" w:rsidRDefault="00A976D9">
            <w:pPr>
              <w:rPr>
                <w:rFonts w:eastAsia="仿宋"/>
                <w:kern w:val="2"/>
                <w:sz w:val="24"/>
                <w:szCs w:val="22"/>
              </w:rPr>
            </w:pPr>
            <w:r>
              <w:rPr>
                <w:rFonts w:eastAsia="仿宋"/>
                <w:kern w:val="2"/>
                <w:sz w:val="24"/>
                <w:szCs w:val="22"/>
              </w:rPr>
              <w:t>盐边县市场监管局</w:t>
            </w:r>
          </w:p>
        </w:tc>
        <w:tc>
          <w:tcPr>
            <w:tcW w:w="464" w:type="pct"/>
            <w:vAlign w:val="center"/>
          </w:tcPr>
          <w:p w:rsidR="004B0FC1" w:rsidRDefault="00A976D9">
            <w:pPr>
              <w:jc w:val="center"/>
              <w:rPr>
                <w:rFonts w:eastAsia="仿宋_GB2312"/>
                <w:b/>
                <w:kern w:val="2"/>
                <w:sz w:val="24"/>
                <w:szCs w:val="22"/>
              </w:rPr>
            </w:pPr>
            <w:r>
              <w:rPr>
                <w:rFonts w:eastAsia="仿宋_GB2312"/>
                <w:b/>
                <w:kern w:val="2"/>
                <w:sz w:val="24"/>
                <w:szCs w:val="22"/>
              </w:rPr>
              <w:t>2.74</w:t>
            </w:r>
          </w:p>
        </w:tc>
        <w:tc>
          <w:tcPr>
            <w:tcW w:w="538" w:type="pct"/>
            <w:vAlign w:val="center"/>
          </w:tcPr>
          <w:p w:rsidR="004B0FC1" w:rsidRDefault="00A976D9">
            <w:pPr>
              <w:jc w:val="center"/>
              <w:rPr>
                <w:rFonts w:eastAsia="仿宋_GB2312"/>
                <w:kern w:val="2"/>
                <w:sz w:val="24"/>
                <w:szCs w:val="22"/>
              </w:rPr>
            </w:pPr>
            <w:r>
              <w:rPr>
                <w:rFonts w:eastAsia="仿宋_GB2312"/>
                <w:kern w:val="2"/>
                <w:sz w:val="24"/>
                <w:szCs w:val="22"/>
              </w:rPr>
              <w:t>1.16</w:t>
            </w:r>
          </w:p>
        </w:tc>
        <w:tc>
          <w:tcPr>
            <w:tcW w:w="530" w:type="pct"/>
            <w:vAlign w:val="center"/>
          </w:tcPr>
          <w:p w:rsidR="004B0FC1" w:rsidRDefault="00A976D9">
            <w:pPr>
              <w:jc w:val="center"/>
              <w:rPr>
                <w:rFonts w:eastAsia="仿宋_GB2312"/>
                <w:kern w:val="2"/>
                <w:sz w:val="24"/>
                <w:szCs w:val="22"/>
              </w:rPr>
            </w:pPr>
            <w:r>
              <w:rPr>
                <w:rFonts w:eastAsia="仿宋_GB2312"/>
                <w:kern w:val="2"/>
                <w:sz w:val="24"/>
                <w:szCs w:val="22"/>
              </w:rPr>
              <w:t>23</w:t>
            </w:r>
          </w:p>
        </w:tc>
        <w:tc>
          <w:tcPr>
            <w:tcW w:w="546" w:type="pct"/>
            <w:vAlign w:val="center"/>
          </w:tcPr>
          <w:p w:rsidR="004B0FC1" w:rsidRDefault="00A976D9">
            <w:pPr>
              <w:jc w:val="center"/>
              <w:rPr>
                <w:rFonts w:eastAsia="仿宋_GB2312"/>
                <w:kern w:val="2"/>
                <w:sz w:val="24"/>
                <w:szCs w:val="22"/>
              </w:rPr>
            </w:pPr>
            <w:r>
              <w:rPr>
                <w:rFonts w:eastAsia="仿宋_GB2312"/>
                <w:kern w:val="2"/>
                <w:sz w:val="24"/>
                <w:szCs w:val="22"/>
              </w:rPr>
              <w:t>140</w:t>
            </w:r>
          </w:p>
        </w:tc>
        <w:tc>
          <w:tcPr>
            <w:tcW w:w="422" w:type="pct"/>
            <w:vAlign w:val="center"/>
          </w:tcPr>
          <w:p w:rsidR="004B0FC1" w:rsidRDefault="00A976D9">
            <w:pPr>
              <w:jc w:val="center"/>
              <w:rPr>
                <w:rFonts w:eastAsia="仿宋_GB2312"/>
                <w:kern w:val="2"/>
                <w:sz w:val="24"/>
                <w:szCs w:val="22"/>
              </w:rPr>
            </w:pPr>
            <w:r>
              <w:rPr>
                <w:rFonts w:eastAsia="仿宋_GB2312"/>
                <w:kern w:val="2"/>
                <w:sz w:val="24"/>
                <w:szCs w:val="22"/>
              </w:rPr>
              <w:t>1.58</w:t>
            </w:r>
          </w:p>
        </w:tc>
        <w:tc>
          <w:tcPr>
            <w:tcW w:w="629" w:type="pct"/>
            <w:vAlign w:val="center"/>
          </w:tcPr>
          <w:p w:rsidR="004B0FC1" w:rsidRDefault="00A976D9">
            <w:pPr>
              <w:jc w:val="center"/>
              <w:rPr>
                <w:rFonts w:eastAsia="仿宋_GB2312"/>
                <w:kern w:val="2"/>
                <w:sz w:val="24"/>
                <w:szCs w:val="22"/>
              </w:rPr>
            </w:pPr>
            <w:r>
              <w:rPr>
                <w:rFonts w:eastAsia="仿宋_GB2312"/>
                <w:kern w:val="2"/>
                <w:sz w:val="24"/>
                <w:szCs w:val="22"/>
              </w:rPr>
              <w:t>60</w:t>
            </w:r>
          </w:p>
        </w:tc>
        <w:tc>
          <w:tcPr>
            <w:tcW w:w="637" w:type="pct"/>
            <w:vAlign w:val="center"/>
          </w:tcPr>
          <w:p w:rsidR="004B0FC1" w:rsidRDefault="00A976D9">
            <w:pPr>
              <w:jc w:val="center"/>
              <w:rPr>
                <w:rFonts w:eastAsia="仿宋_GB2312"/>
                <w:kern w:val="2"/>
                <w:sz w:val="24"/>
                <w:szCs w:val="22"/>
              </w:rPr>
            </w:pPr>
            <w:r>
              <w:rPr>
                <w:rFonts w:eastAsia="仿宋_GB2312"/>
                <w:kern w:val="2"/>
                <w:sz w:val="24"/>
                <w:szCs w:val="22"/>
              </w:rPr>
              <w:t>160</w:t>
            </w:r>
          </w:p>
        </w:tc>
      </w:tr>
      <w:tr w:rsidR="004B0FC1">
        <w:trPr>
          <w:trHeight w:val="407"/>
        </w:trPr>
        <w:tc>
          <w:tcPr>
            <w:tcW w:w="1233" w:type="pct"/>
            <w:vAlign w:val="center"/>
          </w:tcPr>
          <w:p w:rsidR="004B0FC1" w:rsidRDefault="00A976D9">
            <w:pPr>
              <w:rPr>
                <w:rFonts w:eastAsia="仿宋"/>
                <w:kern w:val="2"/>
                <w:sz w:val="24"/>
                <w:szCs w:val="22"/>
              </w:rPr>
            </w:pPr>
            <w:r>
              <w:rPr>
                <w:rFonts w:eastAsia="仿宋"/>
                <w:w w:val="90"/>
                <w:sz w:val="24"/>
              </w:rPr>
              <w:t>攀西钒钛检验检测院</w:t>
            </w:r>
          </w:p>
        </w:tc>
        <w:tc>
          <w:tcPr>
            <w:tcW w:w="464" w:type="pct"/>
            <w:vAlign w:val="center"/>
          </w:tcPr>
          <w:p w:rsidR="004B0FC1" w:rsidRDefault="00A976D9">
            <w:pPr>
              <w:jc w:val="center"/>
              <w:rPr>
                <w:rFonts w:eastAsia="仿宋_GB2312"/>
                <w:b/>
                <w:kern w:val="2"/>
                <w:sz w:val="24"/>
                <w:szCs w:val="22"/>
              </w:rPr>
            </w:pPr>
            <w:r>
              <w:rPr>
                <w:rFonts w:eastAsia="仿宋_GB2312"/>
                <w:b/>
                <w:kern w:val="2"/>
                <w:sz w:val="24"/>
                <w:szCs w:val="22"/>
              </w:rPr>
              <w:t>2.05</w:t>
            </w:r>
          </w:p>
        </w:tc>
        <w:tc>
          <w:tcPr>
            <w:tcW w:w="538" w:type="pct"/>
            <w:vAlign w:val="center"/>
          </w:tcPr>
          <w:p w:rsidR="004B0FC1" w:rsidRDefault="00A976D9">
            <w:pPr>
              <w:jc w:val="center"/>
              <w:rPr>
                <w:rFonts w:eastAsia="仿宋_GB2312"/>
                <w:kern w:val="2"/>
                <w:sz w:val="24"/>
                <w:szCs w:val="22"/>
              </w:rPr>
            </w:pPr>
            <w:r>
              <w:rPr>
                <w:rFonts w:eastAsia="仿宋_GB2312"/>
                <w:kern w:val="2"/>
                <w:sz w:val="24"/>
                <w:szCs w:val="22"/>
              </w:rPr>
              <w:t>/</w:t>
            </w:r>
          </w:p>
        </w:tc>
        <w:tc>
          <w:tcPr>
            <w:tcW w:w="530" w:type="pct"/>
            <w:vAlign w:val="center"/>
          </w:tcPr>
          <w:p w:rsidR="004B0FC1" w:rsidRDefault="00A976D9">
            <w:pPr>
              <w:jc w:val="center"/>
              <w:rPr>
                <w:rFonts w:eastAsia="仿宋_GB2312"/>
                <w:kern w:val="2"/>
                <w:sz w:val="24"/>
                <w:szCs w:val="22"/>
              </w:rPr>
            </w:pPr>
            <w:r>
              <w:rPr>
                <w:rFonts w:eastAsia="仿宋_GB2312"/>
                <w:kern w:val="2"/>
                <w:sz w:val="24"/>
                <w:szCs w:val="22"/>
              </w:rPr>
              <w:t>/</w:t>
            </w:r>
          </w:p>
        </w:tc>
        <w:tc>
          <w:tcPr>
            <w:tcW w:w="546" w:type="pct"/>
            <w:vAlign w:val="center"/>
          </w:tcPr>
          <w:p w:rsidR="004B0FC1" w:rsidRDefault="00A976D9">
            <w:pPr>
              <w:jc w:val="center"/>
              <w:rPr>
                <w:rFonts w:eastAsia="仿宋_GB2312"/>
                <w:kern w:val="2"/>
                <w:sz w:val="24"/>
                <w:szCs w:val="22"/>
              </w:rPr>
            </w:pPr>
            <w:r>
              <w:rPr>
                <w:rFonts w:eastAsia="仿宋_GB2312"/>
                <w:kern w:val="2"/>
                <w:sz w:val="24"/>
                <w:szCs w:val="22"/>
              </w:rPr>
              <w:t>/</w:t>
            </w:r>
          </w:p>
        </w:tc>
        <w:tc>
          <w:tcPr>
            <w:tcW w:w="422" w:type="pct"/>
            <w:vAlign w:val="center"/>
          </w:tcPr>
          <w:p w:rsidR="004B0FC1" w:rsidRDefault="00A976D9">
            <w:pPr>
              <w:jc w:val="center"/>
              <w:rPr>
                <w:rFonts w:eastAsia="仿宋_GB2312"/>
                <w:kern w:val="2"/>
                <w:sz w:val="24"/>
                <w:szCs w:val="22"/>
              </w:rPr>
            </w:pPr>
            <w:r>
              <w:rPr>
                <w:rFonts w:eastAsia="仿宋_GB2312"/>
                <w:kern w:val="2"/>
                <w:sz w:val="24"/>
                <w:szCs w:val="22"/>
              </w:rPr>
              <w:t>2.05</w:t>
            </w:r>
          </w:p>
        </w:tc>
        <w:tc>
          <w:tcPr>
            <w:tcW w:w="629" w:type="pct"/>
            <w:vAlign w:val="center"/>
          </w:tcPr>
          <w:p w:rsidR="004B0FC1" w:rsidRDefault="00A976D9">
            <w:pPr>
              <w:jc w:val="center"/>
              <w:rPr>
                <w:rFonts w:eastAsia="仿宋_GB2312"/>
                <w:kern w:val="2"/>
                <w:sz w:val="24"/>
                <w:szCs w:val="22"/>
              </w:rPr>
            </w:pPr>
            <w:r>
              <w:rPr>
                <w:rFonts w:eastAsia="仿宋_GB2312"/>
                <w:kern w:val="2"/>
                <w:sz w:val="24"/>
                <w:szCs w:val="22"/>
              </w:rPr>
              <w:t>/</w:t>
            </w:r>
          </w:p>
        </w:tc>
        <w:tc>
          <w:tcPr>
            <w:tcW w:w="637" w:type="pct"/>
            <w:vAlign w:val="center"/>
          </w:tcPr>
          <w:p w:rsidR="004B0FC1" w:rsidRDefault="00A976D9">
            <w:pPr>
              <w:jc w:val="center"/>
              <w:rPr>
                <w:rFonts w:eastAsia="仿宋_GB2312"/>
                <w:kern w:val="2"/>
                <w:sz w:val="24"/>
                <w:szCs w:val="22"/>
              </w:rPr>
            </w:pPr>
            <w:r>
              <w:rPr>
                <w:rFonts w:eastAsia="仿宋_GB2312"/>
                <w:kern w:val="2"/>
                <w:sz w:val="24"/>
                <w:szCs w:val="22"/>
              </w:rPr>
              <w:t>340</w:t>
            </w:r>
          </w:p>
        </w:tc>
      </w:tr>
      <w:tr w:rsidR="004B0FC1">
        <w:trPr>
          <w:trHeight w:val="407"/>
        </w:trPr>
        <w:tc>
          <w:tcPr>
            <w:tcW w:w="1233" w:type="pct"/>
            <w:vAlign w:val="center"/>
          </w:tcPr>
          <w:p w:rsidR="004B0FC1" w:rsidRDefault="00A976D9">
            <w:pPr>
              <w:rPr>
                <w:rFonts w:eastAsia="仿宋"/>
                <w:w w:val="90"/>
                <w:sz w:val="24"/>
              </w:rPr>
            </w:pPr>
            <w:r>
              <w:rPr>
                <w:rFonts w:eastAsia="仿宋"/>
                <w:w w:val="90"/>
                <w:sz w:val="24"/>
              </w:rPr>
              <w:lastRenderedPageBreak/>
              <w:t>攀枝花市小计</w:t>
            </w:r>
          </w:p>
        </w:tc>
        <w:tc>
          <w:tcPr>
            <w:tcW w:w="464" w:type="pct"/>
            <w:vAlign w:val="center"/>
          </w:tcPr>
          <w:p w:rsidR="004B0FC1" w:rsidRDefault="00A976D9">
            <w:pPr>
              <w:jc w:val="center"/>
              <w:rPr>
                <w:rFonts w:eastAsia="仿宋_GB2312"/>
                <w:b/>
                <w:bCs/>
                <w:kern w:val="2"/>
                <w:sz w:val="24"/>
                <w:szCs w:val="22"/>
              </w:rPr>
            </w:pPr>
            <w:r>
              <w:rPr>
                <w:rFonts w:eastAsia="仿宋_GB2312"/>
                <w:b/>
                <w:bCs/>
                <w:kern w:val="2"/>
                <w:sz w:val="24"/>
                <w:szCs w:val="22"/>
              </w:rPr>
              <w:t>21</w:t>
            </w:r>
          </w:p>
        </w:tc>
        <w:tc>
          <w:tcPr>
            <w:tcW w:w="538" w:type="pct"/>
            <w:vAlign w:val="center"/>
          </w:tcPr>
          <w:p w:rsidR="004B0FC1" w:rsidRDefault="00A976D9">
            <w:pPr>
              <w:jc w:val="center"/>
              <w:rPr>
                <w:rFonts w:eastAsia="仿宋_GB2312"/>
                <w:b/>
                <w:bCs/>
                <w:kern w:val="2"/>
                <w:sz w:val="24"/>
                <w:szCs w:val="22"/>
              </w:rPr>
            </w:pPr>
            <w:r>
              <w:rPr>
                <w:rFonts w:eastAsia="仿宋_GB2312"/>
                <w:b/>
                <w:bCs/>
                <w:kern w:val="2"/>
                <w:sz w:val="24"/>
                <w:szCs w:val="22"/>
              </w:rPr>
              <w:t>10.11</w:t>
            </w:r>
          </w:p>
        </w:tc>
        <w:tc>
          <w:tcPr>
            <w:tcW w:w="530" w:type="pct"/>
            <w:vAlign w:val="center"/>
          </w:tcPr>
          <w:p w:rsidR="004B0FC1" w:rsidRDefault="00A976D9">
            <w:pPr>
              <w:jc w:val="center"/>
              <w:rPr>
                <w:rFonts w:eastAsia="仿宋_GB2312"/>
                <w:b/>
                <w:bCs/>
                <w:kern w:val="2"/>
                <w:sz w:val="24"/>
                <w:szCs w:val="22"/>
              </w:rPr>
            </w:pPr>
            <w:r>
              <w:rPr>
                <w:rFonts w:eastAsia="仿宋_GB2312"/>
                <w:b/>
                <w:bCs/>
                <w:kern w:val="2"/>
                <w:sz w:val="24"/>
                <w:szCs w:val="22"/>
              </w:rPr>
              <w:t>61</w:t>
            </w:r>
          </w:p>
        </w:tc>
        <w:tc>
          <w:tcPr>
            <w:tcW w:w="546" w:type="pct"/>
            <w:vAlign w:val="center"/>
          </w:tcPr>
          <w:p w:rsidR="004B0FC1" w:rsidRDefault="00A976D9">
            <w:pPr>
              <w:jc w:val="center"/>
              <w:rPr>
                <w:rFonts w:eastAsia="仿宋_GB2312"/>
                <w:b/>
                <w:bCs/>
                <w:kern w:val="2"/>
                <w:sz w:val="24"/>
                <w:szCs w:val="22"/>
              </w:rPr>
            </w:pPr>
            <w:r>
              <w:rPr>
                <w:rFonts w:eastAsia="仿宋_GB2312"/>
                <w:b/>
                <w:bCs/>
                <w:kern w:val="2"/>
                <w:sz w:val="24"/>
                <w:szCs w:val="22"/>
              </w:rPr>
              <w:t>374</w:t>
            </w:r>
          </w:p>
        </w:tc>
        <w:tc>
          <w:tcPr>
            <w:tcW w:w="422" w:type="pct"/>
            <w:vAlign w:val="center"/>
          </w:tcPr>
          <w:p w:rsidR="004B0FC1" w:rsidRDefault="00A976D9">
            <w:pPr>
              <w:jc w:val="center"/>
              <w:rPr>
                <w:rFonts w:eastAsia="仿宋_GB2312"/>
                <w:b/>
                <w:bCs/>
                <w:kern w:val="2"/>
                <w:sz w:val="24"/>
                <w:szCs w:val="22"/>
              </w:rPr>
            </w:pPr>
            <w:r>
              <w:rPr>
                <w:rFonts w:eastAsia="仿宋_GB2312"/>
                <w:b/>
                <w:bCs/>
                <w:kern w:val="2"/>
                <w:sz w:val="24"/>
                <w:szCs w:val="22"/>
              </w:rPr>
              <w:t>10.89</w:t>
            </w:r>
          </w:p>
        </w:tc>
        <w:tc>
          <w:tcPr>
            <w:tcW w:w="629" w:type="pct"/>
            <w:vAlign w:val="center"/>
          </w:tcPr>
          <w:p w:rsidR="004B0FC1" w:rsidRDefault="00A976D9">
            <w:pPr>
              <w:jc w:val="center"/>
              <w:rPr>
                <w:rFonts w:eastAsia="仿宋_GB2312"/>
                <w:b/>
                <w:bCs/>
                <w:kern w:val="2"/>
                <w:sz w:val="24"/>
                <w:szCs w:val="22"/>
              </w:rPr>
            </w:pPr>
            <w:r>
              <w:rPr>
                <w:rFonts w:eastAsia="仿宋_GB2312"/>
                <w:b/>
                <w:bCs/>
                <w:kern w:val="2"/>
                <w:sz w:val="24"/>
                <w:szCs w:val="22"/>
              </w:rPr>
              <w:t>389</w:t>
            </w:r>
          </w:p>
        </w:tc>
        <w:tc>
          <w:tcPr>
            <w:tcW w:w="637" w:type="pct"/>
            <w:vAlign w:val="center"/>
          </w:tcPr>
          <w:p w:rsidR="004B0FC1" w:rsidRDefault="00A976D9">
            <w:pPr>
              <w:jc w:val="center"/>
              <w:rPr>
                <w:rFonts w:eastAsia="仿宋_GB2312"/>
                <w:b/>
                <w:bCs/>
                <w:kern w:val="2"/>
                <w:sz w:val="24"/>
                <w:szCs w:val="22"/>
              </w:rPr>
            </w:pPr>
            <w:r>
              <w:rPr>
                <w:rFonts w:eastAsia="仿宋_GB2312"/>
                <w:b/>
                <w:bCs/>
                <w:kern w:val="2"/>
                <w:sz w:val="24"/>
                <w:szCs w:val="22"/>
              </w:rPr>
              <w:t>1200</w:t>
            </w:r>
          </w:p>
        </w:tc>
      </w:tr>
    </w:tbl>
    <w:p w:rsidR="004B0FC1" w:rsidRDefault="00A976D9">
      <w:pPr>
        <w:kinsoku/>
        <w:autoSpaceDE/>
        <w:autoSpaceDN/>
        <w:spacing w:line="578" w:lineRule="exact"/>
        <w:ind w:firstLineChars="200" w:firstLine="632"/>
        <w:contextualSpacing/>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（二）区域绩效目标情况</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四川省财政厅、四川省市场监督管理局下达资金同时向攀枝花市市场监督管理局下达区域绩效目标表，其中年度总体目标</w:t>
      </w:r>
      <w:r>
        <w:rPr>
          <w:rFonts w:ascii="Times New Roman" w:eastAsia="仿宋_GB2312" w:hAnsi="Times New Roman" w:cs="Times New Roman" w:hint="eastAsia"/>
          <w:snapToGrid/>
          <w:kern w:val="2"/>
          <w:sz w:val="32"/>
          <w:szCs w:val="32"/>
          <w:lang w:val="zh-CN" w:eastAsia="zh-CN"/>
        </w:rPr>
        <w:t>4</w:t>
      </w:r>
      <w:r>
        <w:rPr>
          <w:rFonts w:ascii="Times New Roman" w:eastAsia="仿宋_GB2312" w:hAnsi="Times New Roman" w:cs="Times New Roman" w:hint="eastAsia"/>
          <w:snapToGrid/>
          <w:kern w:val="2"/>
          <w:sz w:val="32"/>
          <w:szCs w:val="32"/>
          <w:lang w:val="zh-CN" w:eastAsia="zh-CN"/>
        </w:rPr>
        <w:t>个，三级指标</w:t>
      </w:r>
      <w:r>
        <w:rPr>
          <w:rFonts w:ascii="Times New Roman" w:eastAsia="仿宋_GB2312" w:hAnsi="Times New Roman" w:cs="Times New Roman" w:hint="eastAsia"/>
          <w:snapToGrid/>
          <w:kern w:val="2"/>
          <w:sz w:val="32"/>
          <w:szCs w:val="32"/>
          <w:lang w:val="zh-CN" w:eastAsia="zh-CN"/>
        </w:rPr>
        <w:t>17</w:t>
      </w:r>
      <w:r>
        <w:rPr>
          <w:rFonts w:ascii="Times New Roman" w:eastAsia="仿宋_GB2312" w:hAnsi="Times New Roman" w:cs="Times New Roman" w:hint="eastAsia"/>
          <w:snapToGrid/>
          <w:kern w:val="2"/>
          <w:sz w:val="32"/>
          <w:szCs w:val="32"/>
          <w:lang w:val="zh-CN" w:eastAsia="zh-CN"/>
        </w:rPr>
        <w:t>个。</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指定指标情况。</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根据省市场监管局下达的绩效目标要求，攀枝花市年度指定指标主要包括：市县农产品抽检批次≥</w:t>
      </w:r>
      <w:r>
        <w:rPr>
          <w:rFonts w:ascii="Times New Roman" w:eastAsia="仿宋_GB2312" w:hAnsi="Times New Roman" w:cs="Times New Roman" w:hint="eastAsia"/>
          <w:snapToGrid/>
          <w:kern w:val="2"/>
          <w:sz w:val="32"/>
          <w:szCs w:val="32"/>
          <w:lang w:val="zh-CN" w:eastAsia="zh-CN"/>
        </w:rPr>
        <w:t>1200</w:t>
      </w:r>
      <w:r>
        <w:rPr>
          <w:rFonts w:ascii="Times New Roman" w:eastAsia="仿宋_GB2312" w:hAnsi="Times New Roman" w:cs="Times New Roman" w:hint="eastAsia"/>
          <w:snapToGrid/>
          <w:kern w:val="2"/>
          <w:sz w:val="32"/>
          <w:szCs w:val="32"/>
          <w:lang w:val="zh-CN" w:eastAsia="zh-CN"/>
        </w:rPr>
        <w:t>批次；配合国家抽检监测批次（含保健食品）≥</w:t>
      </w:r>
      <w:r>
        <w:rPr>
          <w:rFonts w:ascii="Times New Roman" w:eastAsia="仿宋_GB2312" w:hAnsi="Times New Roman" w:cs="Times New Roman" w:hint="eastAsia"/>
          <w:snapToGrid/>
          <w:kern w:val="2"/>
          <w:sz w:val="32"/>
          <w:szCs w:val="32"/>
          <w:lang w:val="zh-CN" w:eastAsia="zh-CN"/>
        </w:rPr>
        <w:t>389</w:t>
      </w:r>
      <w:r>
        <w:rPr>
          <w:rFonts w:ascii="Times New Roman" w:eastAsia="仿宋_GB2312" w:hAnsi="Times New Roman" w:cs="Times New Roman" w:hint="eastAsia"/>
          <w:snapToGrid/>
          <w:kern w:val="2"/>
          <w:sz w:val="32"/>
          <w:szCs w:val="32"/>
          <w:lang w:val="zh-CN" w:eastAsia="zh-CN"/>
        </w:rPr>
        <w:t>批次；重大食品案件查办数≥</w:t>
      </w:r>
      <w:r>
        <w:rPr>
          <w:rFonts w:ascii="Times New Roman" w:eastAsia="仿宋_GB2312" w:hAnsi="Times New Roman" w:cs="Times New Roman" w:hint="eastAsia"/>
          <w:snapToGrid/>
          <w:kern w:val="2"/>
          <w:sz w:val="32"/>
          <w:szCs w:val="32"/>
          <w:lang w:val="zh-CN" w:eastAsia="zh-CN"/>
        </w:rPr>
        <w:t>6</w:t>
      </w:r>
      <w:r>
        <w:rPr>
          <w:rFonts w:ascii="Times New Roman" w:eastAsia="仿宋_GB2312" w:hAnsi="Times New Roman" w:cs="Times New Roman" w:hint="eastAsia"/>
          <w:snapToGrid/>
          <w:kern w:val="2"/>
          <w:sz w:val="32"/>
          <w:szCs w:val="32"/>
          <w:lang w:val="zh-CN" w:eastAsia="zh-CN"/>
        </w:rPr>
        <w:t>件；抽检不合格食品核查处置率</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；食品抽检应公布信息公布率</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；食品安全投诉举报处置率</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等核心指标。</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自定指标情况。</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一是强化组织领导。制定全市“你点我检</w:t>
      </w:r>
      <w:r>
        <w:rPr>
          <w:rFonts w:ascii="Times New Roman" w:eastAsia="仿宋_GB2312" w:hAnsi="Times New Roman" w:cs="Times New Roman" w:hint="eastAsia"/>
          <w:snapToGrid/>
          <w:kern w:val="2"/>
          <w:sz w:val="32"/>
          <w:szCs w:val="32"/>
          <w:lang w:val="zh-CN" w:eastAsia="zh-CN"/>
        </w:rPr>
        <w:t xml:space="preserve"> </w:t>
      </w:r>
      <w:r>
        <w:rPr>
          <w:rFonts w:ascii="Times New Roman" w:eastAsia="仿宋_GB2312" w:hAnsi="Times New Roman" w:cs="Times New Roman" w:hint="eastAsia"/>
          <w:snapToGrid/>
          <w:kern w:val="2"/>
          <w:sz w:val="32"/>
          <w:szCs w:val="32"/>
          <w:lang w:val="zh-CN" w:eastAsia="zh-CN"/>
        </w:rPr>
        <w:t>服务惠民生”年度专项实施方案，联动</w:t>
      </w:r>
      <w:r>
        <w:rPr>
          <w:rFonts w:ascii="Times New Roman" w:eastAsia="仿宋_GB2312" w:hAnsi="Times New Roman" w:cs="Times New Roman" w:hint="eastAsia"/>
          <w:snapToGrid/>
          <w:kern w:val="2"/>
          <w:sz w:val="32"/>
          <w:szCs w:val="32"/>
          <w:lang w:val="zh-CN" w:eastAsia="zh-CN"/>
        </w:rPr>
        <w:t>5</w:t>
      </w:r>
      <w:r>
        <w:rPr>
          <w:rFonts w:ascii="Times New Roman" w:eastAsia="仿宋_GB2312" w:hAnsi="Times New Roman" w:cs="Times New Roman" w:hint="eastAsia"/>
          <w:snapToGrid/>
          <w:kern w:val="2"/>
          <w:sz w:val="32"/>
          <w:szCs w:val="32"/>
          <w:lang w:val="zh-CN" w:eastAsia="zh-CN"/>
        </w:rPr>
        <w:t>个县（区）局共同推进，确保活动</w:t>
      </w:r>
      <w:proofErr w:type="gramStart"/>
      <w:r>
        <w:rPr>
          <w:rFonts w:ascii="Times New Roman" w:eastAsia="仿宋_GB2312" w:hAnsi="Times New Roman" w:cs="Times New Roman" w:hint="eastAsia"/>
          <w:snapToGrid/>
          <w:kern w:val="2"/>
          <w:sz w:val="32"/>
          <w:szCs w:val="32"/>
          <w:lang w:val="zh-CN" w:eastAsia="zh-CN"/>
        </w:rPr>
        <w:t>走深走实</w:t>
      </w:r>
      <w:proofErr w:type="gramEnd"/>
      <w:r>
        <w:rPr>
          <w:rFonts w:ascii="Times New Roman" w:eastAsia="仿宋_GB2312" w:hAnsi="Times New Roman" w:cs="Times New Roman" w:hint="eastAsia"/>
          <w:snapToGrid/>
          <w:kern w:val="2"/>
          <w:sz w:val="32"/>
          <w:szCs w:val="32"/>
          <w:lang w:val="zh-CN" w:eastAsia="zh-CN"/>
        </w:rPr>
        <w:t>。二是突出宣传成效。线上依托“攀枝花开”“早安攀枝花”等平台发布活动信息，开展现场活动</w:t>
      </w:r>
      <w:r>
        <w:rPr>
          <w:rFonts w:ascii="Times New Roman" w:eastAsia="仿宋_GB2312" w:hAnsi="Times New Roman" w:cs="Times New Roman" w:hint="eastAsia"/>
          <w:snapToGrid/>
          <w:kern w:val="2"/>
          <w:sz w:val="32"/>
          <w:szCs w:val="32"/>
          <w:lang w:val="zh-CN" w:eastAsia="zh-CN"/>
        </w:rPr>
        <w:t>25</w:t>
      </w:r>
      <w:r>
        <w:rPr>
          <w:rFonts w:ascii="Times New Roman" w:eastAsia="仿宋_GB2312" w:hAnsi="Times New Roman" w:cs="Times New Roman" w:hint="eastAsia"/>
          <w:snapToGrid/>
          <w:kern w:val="2"/>
          <w:sz w:val="32"/>
          <w:szCs w:val="32"/>
          <w:lang w:val="zh-CN" w:eastAsia="zh-CN"/>
        </w:rPr>
        <w:t>场，发放宣传资料</w:t>
      </w:r>
      <w:r>
        <w:rPr>
          <w:rFonts w:ascii="Times New Roman" w:eastAsia="仿宋_GB2312" w:hAnsi="Times New Roman" w:cs="Times New Roman" w:hint="eastAsia"/>
          <w:snapToGrid/>
          <w:kern w:val="2"/>
          <w:sz w:val="32"/>
          <w:szCs w:val="32"/>
          <w:lang w:val="zh-CN" w:eastAsia="zh-CN"/>
        </w:rPr>
        <w:t>1.4</w:t>
      </w:r>
      <w:r>
        <w:rPr>
          <w:rFonts w:ascii="Times New Roman" w:eastAsia="仿宋_GB2312" w:hAnsi="Times New Roman" w:cs="Times New Roman" w:hint="eastAsia"/>
          <w:snapToGrid/>
          <w:kern w:val="2"/>
          <w:sz w:val="32"/>
          <w:szCs w:val="32"/>
          <w:lang w:val="zh-CN" w:eastAsia="zh-CN"/>
        </w:rPr>
        <w:t>万余份，累计吸引</w:t>
      </w:r>
      <w:r>
        <w:rPr>
          <w:rFonts w:ascii="Times New Roman" w:eastAsia="仿宋_GB2312" w:hAnsi="Times New Roman" w:cs="Times New Roman" w:hint="eastAsia"/>
          <w:snapToGrid/>
          <w:kern w:val="2"/>
          <w:sz w:val="32"/>
          <w:szCs w:val="32"/>
          <w:lang w:val="zh-CN" w:eastAsia="zh-CN"/>
        </w:rPr>
        <w:t>2.6</w:t>
      </w:r>
      <w:r>
        <w:rPr>
          <w:rFonts w:ascii="Times New Roman" w:eastAsia="仿宋_GB2312" w:hAnsi="Times New Roman" w:cs="Times New Roman" w:hint="eastAsia"/>
          <w:snapToGrid/>
          <w:kern w:val="2"/>
          <w:sz w:val="32"/>
          <w:szCs w:val="32"/>
          <w:lang w:val="zh-CN" w:eastAsia="zh-CN"/>
        </w:rPr>
        <w:t>万余人次参与点选，实现群众“指尖上的监督”。三是回应公众关切。定期汇总分析群众投票点选意见，针对群众投票点选的</w:t>
      </w:r>
      <w:r>
        <w:rPr>
          <w:rFonts w:ascii="Times New Roman" w:eastAsia="仿宋_GB2312" w:hAnsi="Times New Roman" w:cs="Times New Roman" w:hint="eastAsia"/>
          <w:snapToGrid/>
          <w:kern w:val="2"/>
          <w:sz w:val="32"/>
          <w:szCs w:val="32"/>
          <w:lang w:val="zh-CN" w:eastAsia="zh-CN"/>
        </w:rPr>
        <w:t>15</w:t>
      </w:r>
      <w:r>
        <w:rPr>
          <w:rFonts w:ascii="Times New Roman" w:eastAsia="仿宋_GB2312" w:hAnsi="Times New Roman" w:cs="Times New Roman" w:hint="eastAsia"/>
          <w:snapToGrid/>
          <w:kern w:val="2"/>
          <w:sz w:val="32"/>
          <w:szCs w:val="32"/>
          <w:lang w:val="zh-CN" w:eastAsia="zh-CN"/>
        </w:rPr>
        <w:t>大类食品开展抽样检验</w:t>
      </w:r>
      <w:r>
        <w:rPr>
          <w:rFonts w:ascii="Times New Roman" w:eastAsia="仿宋_GB2312" w:hAnsi="Times New Roman" w:cs="Times New Roman" w:hint="eastAsia"/>
          <w:snapToGrid/>
          <w:kern w:val="2"/>
          <w:sz w:val="32"/>
          <w:szCs w:val="32"/>
          <w:lang w:val="zh-CN" w:eastAsia="zh-CN"/>
        </w:rPr>
        <w:t>235</w:t>
      </w:r>
      <w:r>
        <w:rPr>
          <w:rFonts w:ascii="Times New Roman" w:eastAsia="仿宋_GB2312" w:hAnsi="Times New Roman" w:cs="Times New Roman" w:hint="eastAsia"/>
          <w:snapToGrid/>
          <w:kern w:val="2"/>
          <w:sz w:val="32"/>
          <w:szCs w:val="32"/>
          <w:lang w:val="zh-CN" w:eastAsia="zh-CN"/>
        </w:rPr>
        <w:t>批次，发布抽检信息公告</w:t>
      </w:r>
      <w:r>
        <w:rPr>
          <w:rFonts w:ascii="Times New Roman" w:eastAsia="仿宋_GB2312" w:hAnsi="Times New Roman" w:cs="Times New Roman" w:hint="eastAsia"/>
          <w:snapToGrid/>
          <w:kern w:val="2"/>
          <w:sz w:val="32"/>
          <w:szCs w:val="32"/>
          <w:lang w:val="zh-CN" w:eastAsia="zh-CN"/>
        </w:rPr>
        <w:t>4</w:t>
      </w:r>
      <w:r>
        <w:rPr>
          <w:rFonts w:ascii="Times New Roman" w:eastAsia="仿宋_GB2312" w:hAnsi="Times New Roman" w:cs="Times New Roman" w:hint="eastAsia"/>
          <w:snapToGrid/>
          <w:kern w:val="2"/>
          <w:sz w:val="32"/>
          <w:szCs w:val="32"/>
          <w:lang w:val="zh-CN" w:eastAsia="zh-CN"/>
        </w:rPr>
        <w:t>期，信息公布率</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。四是多维度整治校园食安，零容忍严惩行业乱象。全市深入开展“校</w:t>
      </w:r>
      <w:r>
        <w:rPr>
          <w:rFonts w:ascii="Times New Roman" w:eastAsia="仿宋_GB2312" w:hAnsi="Times New Roman" w:cs="Times New Roman" w:hint="eastAsia"/>
          <w:snapToGrid/>
          <w:kern w:val="2"/>
          <w:sz w:val="32"/>
          <w:szCs w:val="32"/>
          <w:lang w:val="zh-CN" w:eastAsia="zh-CN"/>
        </w:rPr>
        <w:lastRenderedPageBreak/>
        <w:t>园餐”腐败问题集中整治，查处各类食品安全违法案件</w:t>
      </w:r>
      <w:r>
        <w:rPr>
          <w:rFonts w:ascii="Times New Roman" w:eastAsia="仿宋_GB2312" w:hAnsi="Times New Roman" w:cs="Times New Roman" w:hint="eastAsia"/>
          <w:snapToGrid/>
          <w:kern w:val="2"/>
          <w:sz w:val="32"/>
          <w:szCs w:val="32"/>
          <w:lang w:val="zh-CN" w:eastAsia="zh-CN"/>
        </w:rPr>
        <w:t>87</w:t>
      </w:r>
      <w:r>
        <w:rPr>
          <w:rFonts w:ascii="Times New Roman" w:eastAsia="仿宋_GB2312" w:hAnsi="Times New Roman" w:cs="Times New Roman" w:hint="eastAsia"/>
          <w:snapToGrid/>
          <w:kern w:val="2"/>
          <w:sz w:val="32"/>
          <w:szCs w:val="32"/>
          <w:lang w:val="zh-CN" w:eastAsia="zh-CN"/>
        </w:rPr>
        <w:t>件，约谈学校负责人</w:t>
      </w:r>
      <w:r>
        <w:rPr>
          <w:rFonts w:ascii="Times New Roman" w:eastAsia="仿宋_GB2312" w:hAnsi="Times New Roman" w:cs="Times New Roman" w:hint="eastAsia"/>
          <w:snapToGrid/>
          <w:kern w:val="2"/>
          <w:sz w:val="32"/>
          <w:szCs w:val="32"/>
          <w:lang w:val="zh-CN" w:eastAsia="zh-CN"/>
        </w:rPr>
        <w:t>47</w:t>
      </w:r>
      <w:r>
        <w:rPr>
          <w:rFonts w:ascii="Times New Roman" w:eastAsia="仿宋_GB2312" w:hAnsi="Times New Roman" w:cs="Times New Roman" w:hint="eastAsia"/>
          <w:snapToGrid/>
          <w:kern w:val="2"/>
          <w:sz w:val="32"/>
          <w:szCs w:val="32"/>
          <w:lang w:val="zh-CN" w:eastAsia="zh-CN"/>
        </w:rPr>
        <w:t>人次，移交纪委违规线索</w:t>
      </w:r>
      <w:r>
        <w:rPr>
          <w:rFonts w:ascii="Times New Roman" w:eastAsia="仿宋_GB2312" w:hAnsi="Times New Roman" w:cs="Times New Roman" w:hint="eastAsia"/>
          <w:snapToGrid/>
          <w:kern w:val="2"/>
          <w:sz w:val="32"/>
          <w:szCs w:val="32"/>
          <w:lang w:val="zh-CN" w:eastAsia="zh-CN"/>
        </w:rPr>
        <w:t>23</w:t>
      </w:r>
      <w:r>
        <w:rPr>
          <w:rFonts w:ascii="Times New Roman" w:eastAsia="仿宋_GB2312" w:hAnsi="Times New Roman" w:cs="Times New Roman" w:hint="eastAsia"/>
          <w:snapToGrid/>
          <w:kern w:val="2"/>
          <w:sz w:val="32"/>
          <w:szCs w:val="32"/>
          <w:lang w:val="zh-CN" w:eastAsia="zh-CN"/>
        </w:rPr>
        <w:t>条（今年以来新增</w:t>
      </w:r>
      <w:r>
        <w:rPr>
          <w:rFonts w:ascii="Times New Roman" w:eastAsia="仿宋_GB2312" w:hAnsi="Times New Roman" w:cs="Times New Roman" w:hint="eastAsia"/>
          <w:snapToGrid/>
          <w:kern w:val="2"/>
          <w:sz w:val="32"/>
          <w:szCs w:val="32"/>
          <w:lang w:val="zh-CN" w:eastAsia="zh-CN"/>
        </w:rPr>
        <w:t>3</w:t>
      </w:r>
      <w:r>
        <w:rPr>
          <w:rFonts w:ascii="Times New Roman" w:eastAsia="仿宋_GB2312" w:hAnsi="Times New Roman" w:cs="Times New Roman" w:hint="eastAsia"/>
          <w:snapToGrid/>
          <w:kern w:val="2"/>
          <w:sz w:val="32"/>
          <w:szCs w:val="32"/>
          <w:lang w:val="zh-CN" w:eastAsia="zh-CN"/>
        </w:rPr>
        <w:t>条）。五是农村假劣食品严整治，跨区联动斩源头。扎实推进农村假冒伪劣食品专项整治，建立川滇</w:t>
      </w:r>
      <w:proofErr w:type="gramStart"/>
      <w:r>
        <w:rPr>
          <w:rFonts w:ascii="Times New Roman" w:eastAsia="仿宋_GB2312" w:hAnsi="Times New Roman" w:cs="Times New Roman" w:hint="eastAsia"/>
          <w:snapToGrid/>
          <w:kern w:val="2"/>
          <w:sz w:val="32"/>
          <w:szCs w:val="32"/>
          <w:lang w:val="zh-CN" w:eastAsia="zh-CN"/>
        </w:rPr>
        <w:t>黔渝四</w:t>
      </w:r>
      <w:proofErr w:type="gramEnd"/>
      <w:r>
        <w:rPr>
          <w:rFonts w:ascii="Times New Roman" w:eastAsia="仿宋_GB2312" w:hAnsi="Times New Roman" w:cs="Times New Roman" w:hint="eastAsia"/>
          <w:snapToGrid/>
          <w:kern w:val="2"/>
          <w:sz w:val="32"/>
          <w:szCs w:val="32"/>
          <w:lang w:val="zh-CN" w:eastAsia="zh-CN"/>
        </w:rPr>
        <w:t>省</w:t>
      </w:r>
      <w:proofErr w:type="gramStart"/>
      <w:r>
        <w:rPr>
          <w:rFonts w:ascii="Times New Roman" w:eastAsia="仿宋_GB2312" w:hAnsi="Times New Roman" w:cs="Times New Roman" w:hint="eastAsia"/>
          <w:snapToGrid/>
          <w:kern w:val="2"/>
          <w:sz w:val="32"/>
          <w:szCs w:val="32"/>
          <w:lang w:val="zh-CN" w:eastAsia="zh-CN"/>
        </w:rPr>
        <w:t>八市跨区域</w:t>
      </w:r>
      <w:proofErr w:type="gramEnd"/>
      <w:r>
        <w:rPr>
          <w:rFonts w:ascii="Times New Roman" w:eastAsia="仿宋_GB2312" w:hAnsi="Times New Roman" w:cs="Times New Roman" w:hint="eastAsia"/>
          <w:snapToGrid/>
          <w:kern w:val="2"/>
          <w:sz w:val="32"/>
          <w:szCs w:val="32"/>
          <w:lang w:val="zh-CN" w:eastAsia="zh-CN"/>
        </w:rPr>
        <w:t>合作机制，落实“线索联查、案件联办、风险联控”机制，已向昆明市官渡区移送案件线索</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条，有效打击跨区域违法犯罪行为。整治期间，紧盯农村地区、城乡结合部农贸（集贸）市场等重点场所，排查整治非法添加、制售“三无”食品等问题。</w:t>
      </w:r>
    </w:p>
    <w:p w:rsidR="004B0FC1" w:rsidRDefault="00A976D9">
      <w:pPr>
        <w:widowControl w:val="0"/>
        <w:kinsoku/>
        <w:autoSpaceDE/>
        <w:autoSpaceDN/>
        <w:spacing w:line="578" w:lineRule="exact"/>
        <w:ind w:firstLineChars="200" w:firstLine="632"/>
        <w:jc w:val="both"/>
        <w:textAlignment w:val="auto"/>
        <w:rPr>
          <w:rFonts w:ascii="Times New Roman" w:eastAsia="黑体" w:hAnsi="Times New Roman" w:cs="Times New Roman"/>
          <w:snapToGrid/>
          <w:color w:val="auto"/>
          <w:kern w:val="2"/>
          <w:sz w:val="32"/>
          <w:szCs w:val="32"/>
          <w:lang w:eastAsia="zh-CN"/>
        </w:rPr>
      </w:pPr>
      <w:bookmarkStart w:id="58" w:name="_Toc20816"/>
      <w:bookmarkStart w:id="59" w:name="_Toc4947"/>
      <w:r>
        <w:rPr>
          <w:rFonts w:ascii="Times New Roman" w:eastAsia="黑体" w:hAnsi="Times New Roman" w:cs="Times New Roman" w:hint="eastAsia"/>
          <w:snapToGrid/>
          <w:color w:val="auto"/>
          <w:kern w:val="2"/>
          <w:sz w:val="32"/>
          <w:szCs w:val="32"/>
          <w:lang w:eastAsia="zh-CN"/>
        </w:rPr>
        <w:t>二、综合评价结论</w:t>
      </w:r>
      <w:bookmarkEnd w:id="58"/>
      <w:bookmarkEnd w:id="59"/>
    </w:p>
    <w:p w:rsidR="004B0FC1" w:rsidRDefault="00A976D9">
      <w:pPr>
        <w:kinsoku/>
        <w:autoSpaceDE/>
        <w:autoSpaceDN/>
        <w:spacing w:line="578" w:lineRule="exact"/>
        <w:ind w:firstLineChars="200" w:firstLine="632"/>
        <w:contextualSpacing/>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（一）绩效评价（自评）总体情况</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本年度，攀枝花市市场监管局严格按照相关资金管理规定和绩效目标要求，规范管理和使用中央食品监管补助资金。资金投入有效保障了全市食品安全监管工作的顺利开展，各项核心监管任务基本完成，区域食品安全形势总体稳定向好。资金使用效益总体良好，基本达到了预期绩效目标。</w:t>
      </w:r>
    </w:p>
    <w:p w:rsidR="004B0FC1" w:rsidRDefault="00A976D9">
      <w:pPr>
        <w:kinsoku/>
        <w:autoSpaceDE/>
        <w:autoSpaceDN/>
        <w:spacing w:line="578" w:lineRule="exact"/>
        <w:ind w:firstLineChars="200" w:firstLine="632"/>
        <w:contextualSpacing/>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（二）绩效评价（自评）分数和等级</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年，按照中央财政食品监管补助资金绩效评价指标体系及评分标准，经综合评定，本次绩效自评得分</w:t>
      </w:r>
      <w:r>
        <w:rPr>
          <w:rFonts w:ascii="Times New Roman" w:eastAsia="仿宋_GB2312" w:hAnsi="Times New Roman" w:cs="Times New Roman" w:hint="eastAsia"/>
          <w:snapToGrid/>
          <w:kern w:val="2"/>
          <w:sz w:val="32"/>
          <w:szCs w:val="32"/>
          <w:lang w:val="zh-CN" w:eastAsia="zh-CN"/>
        </w:rPr>
        <w:t>97.8</w:t>
      </w:r>
      <w:r>
        <w:rPr>
          <w:rFonts w:ascii="Times New Roman" w:eastAsia="仿宋_GB2312" w:hAnsi="Times New Roman" w:cs="Times New Roman" w:hint="eastAsia"/>
          <w:snapToGrid/>
          <w:kern w:val="2"/>
          <w:sz w:val="32"/>
          <w:szCs w:val="32"/>
          <w:lang w:val="zh-CN" w:eastAsia="zh-CN"/>
        </w:rPr>
        <w:t>分（满分</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分）。其中，资金到位情况、政策执行情况、重点指标完成情况等方面得分较高，预算执行进度方面存在扣分情况。</w:t>
      </w:r>
    </w:p>
    <w:p w:rsidR="004B0FC1" w:rsidRDefault="00A976D9">
      <w:pPr>
        <w:widowControl w:val="0"/>
        <w:kinsoku/>
        <w:autoSpaceDE/>
        <w:autoSpaceDN/>
        <w:spacing w:line="578" w:lineRule="exact"/>
        <w:ind w:firstLineChars="200" w:firstLine="632"/>
        <w:jc w:val="both"/>
        <w:textAlignment w:val="auto"/>
        <w:rPr>
          <w:rFonts w:ascii="Times New Roman" w:eastAsia="黑体" w:hAnsi="Times New Roman" w:cs="Times New Roman"/>
          <w:snapToGrid/>
          <w:color w:val="auto"/>
          <w:kern w:val="2"/>
          <w:sz w:val="32"/>
          <w:szCs w:val="32"/>
          <w:lang w:eastAsia="zh-CN"/>
        </w:rPr>
      </w:pPr>
      <w:bookmarkStart w:id="60" w:name="_Toc21537"/>
      <w:bookmarkStart w:id="61" w:name="_Toc21586"/>
      <w:r>
        <w:rPr>
          <w:rFonts w:ascii="Times New Roman" w:eastAsia="黑体" w:hAnsi="Times New Roman" w:cs="Times New Roman" w:hint="eastAsia"/>
          <w:snapToGrid/>
          <w:color w:val="auto"/>
          <w:kern w:val="2"/>
          <w:sz w:val="32"/>
          <w:szCs w:val="32"/>
          <w:lang w:eastAsia="zh-CN"/>
        </w:rPr>
        <w:lastRenderedPageBreak/>
        <w:t>三、绩效情况分析</w:t>
      </w:r>
      <w:bookmarkEnd w:id="60"/>
      <w:bookmarkEnd w:id="61"/>
    </w:p>
    <w:p w:rsidR="004B0FC1" w:rsidRDefault="00A976D9">
      <w:pPr>
        <w:kinsoku/>
        <w:autoSpaceDE/>
        <w:autoSpaceDN/>
        <w:spacing w:line="578" w:lineRule="exact"/>
        <w:ind w:firstLineChars="200" w:firstLine="632"/>
        <w:contextualSpacing/>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（一）资金情况分析</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年中央食品专项资金上年结转</w:t>
      </w:r>
      <w:r>
        <w:rPr>
          <w:rFonts w:ascii="Times New Roman" w:eastAsia="仿宋_GB2312" w:hAnsi="Times New Roman" w:cs="Times New Roman" w:hint="eastAsia"/>
          <w:snapToGrid/>
          <w:kern w:val="2"/>
          <w:sz w:val="32"/>
          <w:szCs w:val="32"/>
          <w:lang w:val="zh-CN" w:eastAsia="zh-CN"/>
        </w:rPr>
        <w:t>40.11</w:t>
      </w:r>
      <w:r>
        <w:rPr>
          <w:rFonts w:ascii="Times New Roman" w:eastAsia="仿宋_GB2312" w:hAnsi="Times New Roman" w:cs="Times New Roman" w:hint="eastAsia"/>
          <w:snapToGrid/>
          <w:kern w:val="2"/>
          <w:sz w:val="32"/>
          <w:szCs w:val="32"/>
          <w:lang w:val="zh-CN" w:eastAsia="zh-CN"/>
        </w:rPr>
        <w:t>万元，当年预算安排</w:t>
      </w:r>
      <w:r>
        <w:rPr>
          <w:rFonts w:ascii="Times New Roman" w:eastAsia="仿宋_GB2312" w:hAnsi="Times New Roman" w:cs="Times New Roman" w:hint="eastAsia"/>
          <w:snapToGrid/>
          <w:kern w:val="2"/>
          <w:sz w:val="32"/>
          <w:szCs w:val="32"/>
          <w:lang w:val="zh-CN" w:eastAsia="zh-CN"/>
        </w:rPr>
        <w:t>21</w:t>
      </w:r>
      <w:r>
        <w:rPr>
          <w:rFonts w:ascii="Times New Roman" w:eastAsia="仿宋_GB2312" w:hAnsi="Times New Roman" w:cs="Times New Roman" w:hint="eastAsia"/>
          <w:snapToGrid/>
          <w:kern w:val="2"/>
          <w:sz w:val="32"/>
          <w:szCs w:val="32"/>
          <w:lang w:val="zh-CN" w:eastAsia="zh-CN"/>
        </w:rPr>
        <w:t>万元，共计投入</w:t>
      </w:r>
      <w:r>
        <w:rPr>
          <w:rFonts w:ascii="Times New Roman" w:eastAsia="仿宋_GB2312" w:hAnsi="Times New Roman" w:cs="Times New Roman" w:hint="eastAsia"/>
          <w:snapToGrid/>
          <w:kern w:val="2"/>
          <w:sz w:val="32"/>
          <w:szCs w:val="32"/>
          <w:lang w:val="zh-CN" w:eastAsia="zh-CN"/>
        </w:rPr>
        <w:t>61.11</w:t>
      </w:r>
      <w:r>
        <w:rPr>
          <w:rFonts w:ascii="Times New Roman" w:eastAsia="仿宋_GB2312" w:hAnsi="Times New Roman" w:cs="Times New Roman" w:hint="eastAsia"/>
          <w:snapToGrid/>
          <w:kern w:val="2"/>
          <w:sz w:val="32"/>
          <w:szCs w:val="32"/>
          <w:lang w:val="zh-CN" w:eastAsia="zh-CN"/>
        </w:rPr>
        <w:t>万元。</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截至</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w:t>
      </w:r>
      <w:r>
        <w:rPr>
          <w:rFonts w:ascii="Times New Roman" w:eastAsia="仿宋_GB2312" w:hAnsi="Times New Roman" w:cs="Times New Roman" w:hint="eastAsia"/>
          <w:snapToGrid/>
          <w:kern w:val="2"/>
          <w:sz w:val="32"/>
          <w:szCs w:val="32"/>
          <w:lang w:val="zh-CN" w:eastAsia="zh-CN"/>
        </w:rPr>
        <w:t>12</w:t>
      </w:r>
      <w:r>
        <w:rPr>
          <w:rFonts w:ascii="Times New Roman" w:eastAsia="仿宋_GB2312" w:hAnsi="Times New Roman" w:cs="Times New Roman" w:hint="eastAsia"/>
          <w:snapToGrid/>
          <w:kern w:val="2"/>
          <w:sz w:val="32"/>
          <w:szCs w:val="32"/>
          <w:lang w:val="zh-CN" w:eastAsia="zh-CN"/>
        </w:rPr>
        <w:t>月</w:t>
      </w:r>
      <w:r>
        <w:rPr>
          <w:rFonts w:ascii="Times New Roman" w:eastAsia="仿宋_GB2312" w:hAnsi="Times New Roman" w:cs="Times New Roman" w:hint="eastAsia"/>
          <w:snapToGrid/>
          <w:kern w:val="2"/>
          <w:sz w:val="32"/>
          <w:szCs w:val="32"/>
          <w:lang w:val="zh-CN" w:eastAsia="zh-CN"/>
        </w:rPr>
        <w:t>31</w:t>
      </w:r>
      <w:r>
        <w:rPr>
          <w:rFonts w:ascii="Times New Roman" w:eastAsia="仿宋_GB2312" w:hAnsi="Times New Roman" w:cs="Times New Roman" w:hint="eastAsia"/>
          <w:snapToGrid/>
          <w:kern w:val="2"/>
          <w:sz w:val="32"/>
          <w:szCs w:val="32"/>
          <w:lang w:val="zh-CN" w:eastAsia="zh-CN"/>
        </w:rPr>
        <w:t>日，中央食品专项资金上年结转支付</w:t>
      </w:r>
      <w:r>
        <w:rPr>
          <w:rFonts w:ascii="Times New Roman" w:eastAsia="仿宋_GB2312" w:hAnsi="Times New Roman" w:cs="Times New Roman" w:hint="eastAsia"/>
          <w:snapToGrid/>
          <w:kern w:val="2"/>
          <w:sz w:val="32"/>
          <w:szCs w:val="32"/>
          <w:lang w:val="zh-CN" w:eastAsia="zh-CN"/>
        </w:rPr>
        <w:t>40.017</w:t>
      </w:r>
      <w:r>
        <w:rPr>
          <w:rFonts w:ascii="Times New Roman" w:eastAsia="仿宋_GB2312" w:hAnsi="Times New Roman" w:cs="Times New Roman" w:hint="eastAsia"/>
          <w:snapToGrid/>
          <w:kern w:val="2"/>
          <w:sz w:val="32"/>
          <w:szCs w:val="32"/>
          <w:lang w:val="zh-CN" w:eastAsia="zh-CN"/>
        </w:rPr>
        <w:t>万元。当年预算支付</w:t>
      </w:r>
      <w:r>
        <w:rPr>
          <w:rFonts w:ascii="Times New Roman" w:eastAsia="仿宋_GB2312" w:hAnsi="Times New Roman" w:cs="Times New Roman" w:hint="eastAsia"/>
          <w:snapToGrid/>
          <w:kern w:val="2"/>
          <w:sz w:val="32"/>
          <w:szCs w:val="32"/>
          <w:lang w:val="zh-CN" w:eastAsia="zh-CN"/>
        </w:rPr>
        <w:t>15.365</w:t>
      </w:r>
      <w:r>
        <w:rPr>
          <w:rFonts w:ascii="Times New Roman" w:eastAsia="仿宋_GB2312" w:hAnsi="Times New Roman" w:cs="Times New Roman" w:hint="eastAsia"/>
          <w:snapToGrid/>
          <w:kern w:val="2"/>
          <w:sz w:val="32"/>
          <w:szCs w:val="32"/>
          <w:lang w:val="zh-CN" w:eastAsia="zh-CN"/>
        </w:rPr>
        <w:t>万元。项目资金总体执行率</w:t>
      </w:r>
      <w:r>
        <w:rPr>
          <w:rFonts w:ascii="Times New Roman" w:eastAsia="仿宋_GB2312" w:hAnsi="Times New Roman" w:cs="Times New Roman" w:hint="eastAsia"/>
          <w:snapToGrid/>
          <w:kern w:val="2"/>
          <w:sz w:val="32"/>
          <w:szCs w:val="32"/>
          <w:lang w:val="zh-CN" w:eastAsia="zh-CN"/>
        </w:rPr>
        <w:t>90.6%</w:t>
      </w:r>
      <w:r>
        <w:rPr>
          <w:rFonts w:ascii="Times New Roman" w:eastAsia="仿宋_GB2312" w:hAnsi="Times New Roman" w:cs="Times New Roman" w:hint="eastAsia"/>
          <w:snapToGrid/>
          <w:kern w:val="2"/>
          <w:sz w:val="32"/>
          <w:szCs w:val="32"/>
          <w:lang w:val="zh-CN" w:eastAsia="zh-CN"/>
        </w:rPr>
        <w:t>，当年预算项目资金结转</w:t>
      </w:r>
      <w:r>
        <w:rPr>
          <w:rFonts w:ascii="Times New Roman" w:eastAsia="仿宋_GB2312" w:hAnsi="Times New Roman" w:cs="Times New Roman" w:hint="eastAsia"/>
          <w:snapToGrid/>
          <w:kern w:val="2"/>
          <w:sz w:val="32"/>
          <w:szCs w:val="32"/>
          <w:lang w:val="zh-CN" w:eastAsia="zh-CN"/>
        </w:rPr>
        <w:t>5.635</w:t>
      </w:r>
      <w:r>
        <w:rPr>
          <w:rFonts w:ascii="Times New Roman" w:eastAsia="仿宋_GB2312" w:hAnsi="Times New Roman" w:cs="Times New Roman" w:hint="eastAsia"/>
          <w:snapToGrid/>
          <w:kern w:val="2"/>
          <w:sz w:val="32"/>
          <w:szCs w:val="32"/>
          <w:lang w:val="zh-CN" w:eastAsia="zh-CN"/>
        </w:rPr>
        <w:t>万元，结转到</w:t>
      </w:r>
      <w:r>
        <w:rPr>
          <w:rFonts w:ascii="Times New Roman" w:eastAsia="仿宋_GB2312" w:hAnsi="Times New Roman" w:cs="Times New Roman" w:hint="eastAsia"/>
          <w:snapToGrid/>
          <w:kern w:val="2"/>
          <w:sz w:val="32"/>
          <w:szCs w:val="32"/>
          <w:lang w:val="zh-CN" w:eastAsia="zh-CN"/>
        </w:rPr>
        <w:t>2026</w:t>
      </w:r>
      <w:r>
        <w:rPr>
          <w:rFonts w:ascii="Times New Roman" w:eastAsia="仿宋_GB2312" w:hAnsi="Times New Roman" w:cs="Times New Roman" w:hint="eastAsia"/>
          <w:snapToGrid/>
          <w:kern w:val="2"/>
          <w:sz w:val="32"/>
          <w:szCs w:val="32"/>
          <w:lang w:val="zh-CN" w:eastAsia="zh-CN"/>
        </w:rPr>
        <w:t>年继续用于食品安全专项监管。</w:t>
      </w:r>
    </w:p>
    <w:p w:rsidR="004B0FC1" w:rsidRDefault="00A976D9">
      <w:pPr>
        <w:kinsoku/>
        <w:autoSpaceDE/>
        <w:autoSpaceDN/>
        <w:spacing w:line="578" w:lineRule="exact"/>
        <w:ind w:firstLineChars="200" w:firstLine="632"/>
        <w:contextualSpacing/>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（二）资金管理情况分析</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项目资金严格按照《中央财政食品药品监管补助资金管理实施办法》（</w:t>
      </w:r>
      <w:proofErr w:type="gramStart"/>
      <w:r>
        <w:rPr>
          <w:rFonts w:ascii="Times New Roman" w:eastAsia="仿宋_GB2312" w:hAnsi="Times New Roman" w:cs="Times New Roman" w:hint="eastAsia"/>
          <w:snapToGrid/>
          <w:kern w:val="2"/>
          <w:sz w:val="32"/>
          <w:szCs w:val="32"/>
          <w:lang w:val="zh-CN" w:eastAsia="zh-CN"/>
        </w:rPr>
        <w:t>川财行</w:t>
      </w:r>
      <w:proofErr w:type="gramEnd"/>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2024</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111</w:t>
      </w:r>
      <w:r>
        <w:rPr>
          <w:rFonts w:ascii="Times New Roman" w:eastAsia="仿宋_GB2312" w:hAnsi="Times New Roman" w:cs="Times New Roman" w:hint="eastAsia"/>
          <w:snapToGrid/>
          <w:kern w:val="2"/>
          <w:sz w:val="32"/>
          <w:szCs w:val="32"/>
          <w:lang w:val="zh-CN" w:eastAsia="zh-CN"/>
        </w:rPr>
        <w:t>号）、《食品药品监管补助资金管理办法》（</w:t>
      </w:r>
      <w:proofErr w:type="gramStart"/>
      <w:r>
        <w:rPr>
          <w:rFonts w:ascii="Times New Roman" w:eastAsia="仿宋_GB2312" w:hAnsi="Times New Roman" w:cs="Times New Roman" w:hint="eastAsia"/>
          <w:snapToGrid/>
          <w:kern w:val="2"/>
          <w:sz w:val="32"/>
          <w:szCs w:val="32"/>
          <w:lang w:val="zh-CN" w:eastAsia="zh-CN"/>
        </w:rPr>
        <w:t>财行〔</w:t>
      </w:r>
      <w:r>
        <w:rPr>
          <w:rFonts w:ascii="Times New Roman" w:eastAsia="仿宋_GB2312" w:hAnsi="Times New Roman" w:cs="Times New Roman" w:hint="eastAsia"/>
          <w:snapToGrid/>
          <w:kern w:val="2"/>
          <w:sz w:val="32"/>
          <w:szCs w:val="32"/>
          <w:lang w:val="zh-CN" w:eastAsia="zh-CN"/>
        </w:rPr>
        <w:t>2024</w:t>
      </w:r>
      <w:r>
        <w:rPr>
          <w:rFonts w:ascii="Times New Roman" w:eastAsia="仿宋_GB2312" w:hAnsi="Times New Roman" w:cs="Times New Roman" w:hint="eastAsia"/>
          <w:snapToGrid/>
          <w:kern w:val="2"/>
          <w:sz w:val="32"/>
          <w:szCs w:val="32"/>
          <w:lang w:val="zh-CN" w:eastAsia="zh-CN"/>
        </w:rPr>
        <w:t>〕</w:t>
      </w:r>
      <w:proofErr w:type="gramEnd"/>
      <w:r>
        <w:rPr>
          <w:rFonts w:ascii="Times New Roman" w:eastAsia="仿宋_GB2312" w:hAnsi="Times New Roman" w:cs="Times New Roman" w:hint="eastAsia"/>
          <w:snapToGrid/>
          <w:kern w:val="2"/>
          <w:sz w:val="32"/>
          <w:szCs w:val="32"/>
          <w:lang w:val="zh-CN" w:eastAsia="zh-CN"/>
        </w:rPr>
        <w:t>140</w:t>
      </w:r>
      <w:r>
        <w:rPr>
          <w:rFonts w:ascii="Times New Roman" w:eastAsia="仿宋_GB2312" w:hAnsi="Times New Roman" w:cs="Times New Roman" w:hint="eastAsia"/>
          <w:snapToGrid/>
          <w:kern w:val="2"/>
          <w:sz w:val="32"/>
          <w:szCs w:val="32"/>
          <w:lang w:val="zh-CN" w:eastAsia="zh-CN"/>
        </w:rPr>
        <w:t>号）相关规定，进行严格管理。资金分配遵循公平公正原则，体现国家、省、市食品监管政策和工作重点。合理划分市县两级职责分工。资金支付严格按照国家财经纪律、财务管理制度和相关资金管理办法进行专项核算。项目按进度要求推进，没有发生项目变更、调整、终止情况，也没有发生滞留、截留、挤占、挪用专项资金等情况。</w:t>
      </w:r>
    </w:p>
    <w:p w:rsidR="004B0FC1" w:rsidRDefault="00A976D9">
      <w:pPr>
        <w:kinsoku/>
        <w:autoSpaceDE/>
        <w:autoSpaceDN/>
        <w:spacing w:line="578" w:lineRule="exact"/>
        <w:ind w:firstLineChars="200" w:firstLine="632"/>
        <w:contextualSpacing/>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（三）总体目标完成情况分析</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组织实施省局下达的食品安全抽检监测任务，开展食品风险隐患排查、食品安全监管，加大大案要案查办力度，加强基层食品监管人员业务能力提升培训。全面完成食品安全监管各</w:t>
      </w:r>
      <w:r>
        <w:rPr>
          <w:rFonts w:ascii="Times New Roman" w:eastAsia="仿宋_GB2312" w:hAnsi="Times New Roman" w:cs="Times New Roman" w:hint="eastAsia"/>
          <w:snapToGrid/>
          <w:kern w:val="2"/>
          <w:sz w:val="32"/>
          <w:szCs w:val="32"/>
          <w:lang w:val="zh-CN" w:eastAsia="zh-CN"/>
        </w:rPr>
        <w:lastRenderedPageBreak/>
        <w:t>项目标任务，辖区内未发生食品安全监管责任事故，全市食品安全监管水平及检验检测技术支持能力进一步提高，食品安全得到有效保证。</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全链条监管食品安全，创新实施食品安全“百村千企万户”行动、“沙盒监管”试点和“红黄蓝”三色信用动态分级管理，首创“外卖骑手随手拍”机制，打造“食安花城”志愿服务品牌，推行旅游景区“潮汐式监管”，集中整治假冒伪劣食品、校园餐等突出问题，全市</w:t>
      </w:r>
      <w:r>
        <w:rPr>
          <w:rFonts w:ascii="Times New Roman" w:eastAsia="仿宋_GB2312" w:hAnsi="Times New Roman" w:cs="Times New Roman" w:hint="eastAsia"/>
          <w:snapToGrid/>
          <w:kern w:val="2"/>
          <w:sz w:val="32"/>
          <w:szCs w:val="32"/>
          <w:lang w:val="zh-CN" w:eastAsia="zh-CN"/>
        </w:rPr>
        <w:t>2506</w:t>
      </w:r>
      <w:r>
        <w:rPr>
          <w:rFonts w:ascii="Times New Roman" w:eastAsia="仿宋_GB2312" w:hAnsi="Times New Roman" w:cs="Times New Roman" w:hint="eastAsia"/>
          <w:snapToGrid/>
          <w:kern w:val="2"/>
          <w:sz w:val="32"/>
          <w:szCs w:val="32"/>
          <w:lang w:val="zh-CN" w:eastAsia="zh-CN"/>
        </w:rPr>
        <w:t>名包保干部全覆盖督导</w:t>
      </w:r>
      <w:r>
        <w:rPr>
          <w:rFonts w:ascii="Times New Roman" w:eastAsia="仿宋_GB2312" w:hAnsi="Times New Roman" w:cs="Times New Roman" w:hint="eastAsia"/>
          <w:snapToGrid/>
          <w:kern w:val="2"/>
          <w:sz w:val="32"/>
          <w:szCs w:val="32"/>
          <w:lang w:val="zh-CN" w:eastAsia="zh-CN"/>
        </w:rPr>
        <w:t>1.6</w:t>
      </w:r>
      <w:r>
        <w:rPr>
          <w:rFonts w:ascii="Times New Roman" w:eastAsia="仿宋_GB2312" w:hAnsi="Times New Roman" w:cs="Times New Roman" w:hint="eastAsia"/>
          <w:snapToGrid/>
          <w:kern w:val="2"/>
          <w:sz w:val="32"/>
          <w:szCs w:val="32"/>
          <w:lang w:val="zh-CN" w:eastAsia="zh-CN"/>
        </w:rPr>
        <w:t>万户生产经营主体，问题整改率</w:t>
      </w:r>
      <w:r>
        <w:rPr>
          <w:rFonts w:ascii="Times New Roman" w:eastAsia="仿宋_GB2312" w:hAnsi="Times New Roman" w:cs="Times New Roman" w:hint="eastAsia"/>
          <w:snapToGrid/>
          <w:kern w:val="2"/>
          <w:sz w:val="32"/>
          <w:szCs w:val="32"/>
          <w:lang w:val="zh-CN" w:eastAsia="zh-CN"/>
        </w:rPr>
        <w:t>99.88%</w:t>
      </w:r>
      <w:r>
        <w:rPr>
          <w:rFonts w:ascii="Times New Roman" w:eastAsia="仿宋_GB2312" w:hAnsi="Times New Roman" w:cs="Times New Roman" w:hint="eastAsia"/>
          <w:snapToGrid/>
          <w:kern w:val="2"/>
          <w:sz w:val="32"/>
          <w:szCs w:val="32"/>
          <w:lang w:val="zh-CN" w:eastAsia="zh-CN"/>
        </w:rPr>
        <w:t>。开展食品抽检</w:t>
      </w:r>
      <w:r>
        <w:rPr>
          <w:rFonts w:ascii="Times New Roman" w:eastAsia="仿宋_GB2312" w:hAnsi="Times New Roman" w:cs="Times New Roman" w:hint="eastAsia"/>
          <w:snapToGrid/>
          <w:kern w:val="2"/>
          <w:sz w:val="32"/>
          <w:szCs w:val="32"/>
          <w:lang w:val="en" w:eastAsia="zh-CN"/>
        </w:rPr>
        <w:t>4883</w:t>
      </w:r>
      <w:r>
        <w:rPr>
          <w:rFonts w:ascii="Times New Roman" w:eastAsia="仿宋_GB2312" w:hAnsi="Times New Roman" w:cs="Times New Roman" w:hint="eastAsia"/>
          <w:snapToGrid/>
          <w:kern w:val="2"/>
          <w:sz w:val="32"/>
          <w:szCs w:val="32"/>
          <w:lang w:val="zh-CN" w:eastAsia="zh-CN"/>
        </w:rPr>
        <w:t>批次，省级评价性抽检合格率</w:t>
      </w:r>
      <w:r>
        <w:rPr>
          <w:rFonts w:ascii="Times New Roman" w:eastAsia="仿宋_GB2312" w:hAnsi="Times New Roman" w:cs="Times New Roman" w:hint="eastAsia"/>
          <w:snapToGrid/>
          <w:kern w:val="2"/>
          <w:sz w:val="32"/>
          <w:szCs w:val="32"/>
          <w:lang w:val="zh-CN" w:eastAsia="zh-CN"/>
        </w:rPr>
        <w:t>99.</w:t>
      </w:r>
      <w:r>
        <w:rPr>
          <w:rFonts w:ascii="Times New Roman" w:eastAsia="仿宋_GB2312" w:hAnsi="Times New Roman" w:cs="Times New Roman" w:hint="eastAsia"/>
          <w:snapToGrid/>
          <w:kern w:val="2"/>
          <w:sz w:val="32"/>
          <w:szCs w:val="32"/>
          <w:lang w:val="en" w:eastAsia="zh-CN"/>
        </w:rPr>
        <w:t>3</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w:t>
      </w:r>
    </w:p>
    <w:p w:rsidR="004B0FC1" w:rsidRDefault="00A976D9">
      <w:pPr>
        <w:widowControl w:val="0"/>
        <w:kinsoku/>
        <w:autoSpaceDE/>
        <w:autoSpaceDN/>
        <w:spacing w:line="578" w:lineRule="exact"/>
        <w:ind w:firstLineChars="200" w:firstLine="632"/>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（四）绩效指标完成情况分析</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eastAsia="zh-CN"/>
        </w:rPr>
      </w:pPr>
      <w:r>
        <w:rPr>
          <w:rFonts w:ascii="Times New Roman" w:eastAsia="仿宋_GB2312" w:hAnsi="Times New Roman" w:cs="Times New Roman" w:hint="eastAsia"/>
          <w:snapToGrid/>
          <w:kern w:val="2"/>
          <w:sz w:val="32"/>
          <w:szCs w:val="32"/>
          <w:lang w:eastAsia="zh-CN"/>
        </w:rPr>
        <w:t>1.</w:t>
      </w:r>
      <w:r>
        <w:rPr>
          <w:rFonts w:ascii="Times New Roman" w:eastAsia="仿宋_GB2312" w:hAnsi="Times New Roman" w:cs="Times New Roman" w:hint="eastAsia"/>
          <w:snapToGrid/>
          <w:kern w:val="2"/>
          <w:sz w:val="32"/>
          <w:szCs w:val="32"/>
          <w:lang w:eastAsia="zh-CN"/>
        </w:rPr>
        <w:t>数量指标。</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完成市县农产品抽检</w:t>
      </w:r>
      <w:r>
        <w:rPr>
          <w:rFonts w:ascii="Times New Roman" w:eastAsia="仿宋_GB2312" w:hAnsi="Times New Roman" w:cs="Times New Roman" w:hint="eastAsia"/>
          <w:snapToGrid/>
          <w:kern w:val="2"/>
          <w:sz w:val="32"/>
          <w:szCs w:val="32"/>
          <w:lang w:val="zh-CN" w:eastAsia="zh-CN"/>
        </w:rPr>
        <w:t>1203</w:t>
      </w:r>
      <w:r>
        <w:rPr>
          <w:rFonts w:ascii="Times New Roman" w:eastAsia="仿宋_GB2312" w:hAnsi="Times New Roman" w:cs="Times New Roman" w:hint="eastAsia"/>
          <w:snapToGrid/>
          <w:kern w:val="2"/>
          <w:sz w:val="32"/>
          <w:szCs w:val="32"/>
          <w:lang w:val="zh-CN" w:eastAsia="zh-CN"/>
        </w:rPr>
        <w:t>批次，</w:t>
      </w:r>
      <w:proofErr w:type="gramStart"/>
      <w:r>
        <w:rPr>
          <w:rFonts w:ascii="Times New Roman" w:eastAsia="仿宋_GB2312" w:hAnsi="Times New Roman" w:cs="Times New Roman" w:hint="eastAsia"/>
          <w:snapToGrid/>
          <w:kern w:val="2"/>
          <w:sz w:val="32"/>
          <w:szCs w:val="32"/>
          <w:lang w:val="zh-CN" w:eastAsia="zh-CN"/>
        </w:rPr>
        <w:t>国抽配合</w:t>
      </w:r>
      <w:proofErr w:type="gramEnd"/>
      <w:r>
        <w:rPr>
          <w:rFonts w:ascii="Times New Roman" w:eastAsia="仿宋_GB2312" w:hAnsi="Times New Roman" w:cs="Times New Roman" w:hint="eastAsia"/>
          <w:snapToGrid/>
          <w:kern w:val="2"/>
          <w:sz w:val="32"/>
          <w:szCs w:val="32"/>
          <w:lang w:val="zh-CN" w:eastAsia="zh-CN"/>
        </w:rPr>
        <w:t>抽检</w:t>
      </w:r>
      <w:r>
        <w:rPr>
          <w:rFonts w:ascii="Times New Roman" w:eastAsia="仿宋_GB2312" w:hAnsi="Times New Roman" w:cs="Times New Roman" w:hint="eastAsia"/>
          <w:snapToGrid/>
          <w:kern w:val="2"/>
          <w:sz w:val="32"/>
          <w:szCs w:val="32"/>
          <w:lang w:val="zh-CN" w:eastAsia="zh-CN"/>
        </w:rPr>
        <w:t>389</w:t>
      </w:r>
      <w:r>
        <w:rPr>
          <w:rFonts w:ascii="Times New Roman" w:eastAsia="仿宋_GB2312" w:hAnsi="Times New Roman" w:cs="Times New Roman" w:hint="eastAsia"/>
          <w:snapToGrid/>
          <w:kern w:val="2"/>
          <w:sz w:val="32"/>
          <w:szCs w:val="32"/>
          <w:lang w:val="zh-CN" w:eastAsia="zh-CN"/>
        </w:rPr>
        <w:t>批次，重大食品案件查办数</w:t>
      </w:r>
      <w:r>
        <w:rPr>
          <w:rFonts w:ascii="Times New Roman" w:eastAsia="仿宋_GB2312" w:hAnsi="Times New Roman" w:cs="Times New Roman" w:hint="eastAsia"/>
          <w:snapToGrid/>
          <w:kern w:val="2"/>
          <w:sz w:val="32"/>
          <w:szCs w:val="32"/>
          <w:lang w:val="zh-CN" w:eastAsia="zh-CN"/>
        </w:rPr>
        <w:t>10</w:t>
      </w:r>
      <w:r>
        <w:rPr>
          <w:rFonts w:ascii="Times New Roman" w:eastAsia="仿宋_GB2312" w:hAnsi="Times New Roman" w:cs="Times New Roman" w:hint="eastAsia"/>
          <w:snapToGrid/>
          <w:kern w:val="2"/>
          <w:sz w:val="32"/>
          <w:szCs w:val="32"/>
          <w:lang w:val="zh-CN" w:eastAsia="zh-CN"/>
        </w:rPr>
        <w:t>件。</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）落实年度抽检任务。按照省局年度食品抽检监测计划要求，结合校园食品安全、肉类产品、农产假冒伪劣食品专项整治和我市监管实际，制定全市年度食品抽检监测计划，下达市、县（区）食品抽检</w:t>
      </w:r>
      <w:r>
        <w:rPr>
          <w:rFonts w:ascii="Times New Roman" w:eastAsia="仿宋_GB2312" w:hAnsi="Times New Roman" w:cs="Times New Roman" w:hint="eastAsia"/>
          <w:snapToGrid/>
          <w:kern w:val="2"/>
          <w:sz w:val="32"/>
          <w:szCs w:val="32"/>
          <w:lang w:val="zh-CN" w:eastAsia="zh-CN"/>
        </w:rPr>
        <w:t>3150</w:t>
      </w:r>
      <w:r>
        <w:rPr>
          <w:rFonts w:ascii="Times New Roman" w:eastAsia="仿宋_GB2312" w:hAnsi="Times New Roman" w:cs="Times New Roman" w:hint="eastAsia"/>
          <w:snapToGrid/>
          <w:kern w:val="2"/>
          <w:sz w:val="32"/>
          <w:szCs w:val="32"/>
          <w:lang w:val="zh-CN" w:eastAsia="zh-CN"/>
        </w:rPr>
        <w:t>批次任务，确保工作落地落实。</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年全市共完成各级食品抽检</w:t>
      </w:r>
      <w:r>
        <w:rPr>
          <w:rFonts w:ascii="Times New Roman" w:eastAsia="仿宋_GB2312" w:hAnsi="Times New Roman" w:cs="Times New Roman" w:hint="eastAsia"/>
          <w:snapToGrid/>
          <w:kern w:val="2"/>
          <w:sz w:val="32"/>
          <w:szCs w:val="32"/>
          <w:lang w:val="zh-CN" w:eastAsia="zh-CN"/>
        </w:rPr>
        <w:t>4883</w:t>
      </w:r>
      <w:r>
        <w:rPr>
          <w:rFonts w:ascii="Times New Roman" w:eastAsia="仿宋_GB2312" w:hAnsi="Times New Roman" w:cs="Times New Roman" w:hint="eastAsia"/>
          <w:snapToGrid/>
          <w:kern w:val="2"/>
          <w:sz w:val="32"/>
          <w:szCs w:val="32"/>
          <w:lang w:val="zh-CN" w:eastAsia="zh-CN"/>
        </w:rPr>
        <w:t>批次，达到</w:t>
      </w:r>
      <w:r>
        <w:rPr>
          <w:rFonts w:ascii="Times New Roman" w:eastAsia="仿宋_GB2312" w:hAnsi="Times New Roman" w:cs="Times New Roman" w:hint="eastAsia"/>
          <w:snapToGrid/>
          <w:kern w:val="2"/>
          <w:sz w:val="32"/>
          <w:szCs w:val="32"/>
          <w:lang w:val="zh-CN" w:eastAsia="zh-CN"/>
        </w:rPr>
        <w:t>4</w:t>
      </w:r>
      <w:r>
        <w:rPr>
          <w:rFonts w:ascii="Times New Roman" w:eastAsia="仿宋_GB2312" w:hAnsi="Times New Roman" w:cs="Times New Roman" w:hint="eastAsia"/>
          <w:snapToGrid/>
          <w:kern w:val="2"/>
          <w:sz w:val="32"/>
          <w:szCs w:val="32"/>
          <w:lang w:val="zh-CN" w:eastAsia="zh-CN"/>
        </w:rPr>
        <w:t>批次</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千人，食品抽检合格</w:t>
      </w:r>
      <w:r>
        <w:rPr>
          <w:rFonts w:ascii="Times New Roman" w:eastAsia="仿宋_GB2312" w:hAnsi="Times New Roman" w:cs="Times New Roman" w:hint="eastAsia"/>
          <w:snapToGrid/>
          <w:kern w:val="2"/>
          <w:sz w:val="32"/>
          <w:szCs w:val="32"/>
          <w:lang w:val="zh-CN" w:eastAsia="zh-CN"/>
        </w:rPr>
        <w:t>4708</w:t>
      </w:r>
      <w:r>
        <w:rPr>
          <w:rFonts w:ascii="Times New Roman" w:eastAsia="仿宋_GB2312" w:hAnsi="Times New Roman" w:cs="Times New Roman" w:hint="eastAsia"/>
          <w:snapToGrid/>
          <w:kern w:val="2"/>
          <w:sz w:val="32"/>
          <w:szCs w:val="32"/>
          <w:lang w:val="zh-CN" w:eastAsia="zh-CN"/>
        </w:rPr>
        <w:t>批次，不合格（问题）</w:t>
      </w:r>
      <w:r>
        <w:rPr>
          <w:rFonts w:ascii="Times New Roman" w:eastAsia="仿宋_GB2312" w:hAnsi="Times New Roman" w:cs="Times New Roman" w:hint="eastAsia"/>
          <w:snapToGrid/>
          <w:kern w:val="2"/>
          <w:sz w:val="32"/>
          <w:szCs w:val="32"/>
          <w:lang w:val="zh-CN" w:eastAsia="zh-CN"/>
        </w:rPr>
        <w:t>175</w:t>
      </w:r>
      <w:r>
        <w:rPr>
          <w:rFonts w:ascii="Times New Roman" w:eastAsia="仿宋_GB2312" w:hAnsi="Times New Roman" w:cs="Times New Roman" w:hint="eastAsia"/>
          <w:snapToGrid/>
          <w:kern w:val="2"/>
          <w:sz w:val="32"/>
          <w:szCs w:val="32"/>
          <w:lang w:val="zh-CN" w:eastAsia="zh-CN"/>
        </w:rPr>
        <w:t>批次，问题发现率</w:t>
      </w:r>
      <w:r>
        <w:rPr>
          <w:rFonts w:ascii="Times New Roman" w:eastAsia="仿宋_GB2312" w:hAnsi="Times New Roman" w:cs="Times New Roman" w:hint="eastAsia"/>
          <w:snapToGrid/>
          <w:kern w:val="2"/>
          <w:sz w:val="32"/>
          <w:szCs w:val="32"/>
          <w:lang w:val="zh-CN" w:eastAsia="zh-CN"/>
        </w:rPr>
        <w:t>3.6%</w:t>
      </w:r>
      <w:r>
        <w:rPr>
          <w:rFonts w:ascii="Times New Roman" w:eastAsia="仿宋_GB2312" w:hAnsi="Times New Roman" w:cs="Times New Roman" w:hint="eastAsia"/>
          <w:snapToGrid/>
          <w:kern w:val="2"/>
          <w:sz w:val="32"/>
          <w:szCs w:val="32"/>
          <w:lang w:val="zh-CN" w:eastAsia="zh-CN"/>
        </w:rPr>
        <w:t>。省级食品评价性抽检</w:t>
      </w:r>
      <w:r>
        <w:rPr>
          <w:rFonts w:ascii="Times New Roman" w:eastAsia="仿宋_GB2312" w:hAnsi="Times New Roman" w:cs="Times New Roman" w:hint="eastAsia"/>
          <w:snapToGrid/>
          <w:kern w:val="2"/>
          <w:sz w:val="32"/>
          <w:szCs w:val="32"/>
          <w:lang w:val="zh-CN" w:eastAsia="zh-CN"/>
        </w:rPr>
        <w:t>302</w:t>
      </w:r>
      <w:r>
        <w:rPr>
          <w:rFonts w:ascii="Times New Roman" w:eastAsia="仿宋_GB2312" w:hAnsi="Times New Roman" w:cs="Times New Roman" w:hint="eastAsia"/>
          <w:snapToGrid/>
          <w:kern w:val="2"/>
          <w:sz w:val="32"/>
          <w:szCs w:val="32"/>
          <w:lang w:val="zh-CN" w:eastAsia="zh-CN"/>
        </w:rPr>
        <w:t>批次，合格率</w:t>
      </w:r>
      <w:r>
        <w:rPr>
          <w:rFonts w:ascii="Times New Roman" w:eastAsia="仿宋_GB2312" w:hAnsi="Times New Roman" w:cs="Times New Roman" w:hint="eastAsia"/>
          <w:snapToGrid/>
          <w:kern w:val="2"/>
          <w:sz w:val="32"/>
          <w:szCs w:val="32"/>
          <w:lang w:val="zh-CN" w:eastAsia="zh-CN"/>
        </w:rPr>
        <w:t>99.3%</w:t>
      </w:r>
      <w:r>
        <w:rPr>
          <w:rFonts w:ascii="Times New Roman" w:eastAsia="仿宋_GB2312" w:hAnsi="Times New Roman" w:cs="Times New Roman" w:hint="eastAsia"/>
          <w:snapToGrid/>
          <w:kern w:val="2"/>
          <w:sz w:val="32"/>
          <w:szCs w:val="32"/>
          <w:lang w:val="zh-CN" w:eastAsia="zh-CN"/>
        </w:rPr>
        <w:t>。</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lastRenderedPageBreak/>
        <w:t>（</w:t>
      </w: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）严格核查处置。</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年全市对抽检不合格食品立案</w:t>
      </w:r>
      <w:r>
        <w:rPr>
          <w:rFonts w:ascii="Times New Roman" w:eastAsia="仿宋_GB2312" w:hAnsi="Times New Roman" w:cs="Times New Roman" w:hint="eastAsia"/>
          <w:snapToGrid/>
          <w:kern w:val="2"/>
          <w:sz w:val="32"/>
          <w:szCs w:val="32"/>
          <w:lang w:val="zh-CN" w:eastAsia="zh-CN"/>
        </w:rPr>
        <w:t>155</w:t>
      </w:r>
      <w:r>
        <w:rPr>
          <w:rFonts w:ascii="Times New Roman" w:eastAsia="仿宋_GB2312" w:hAnsi="Times New Roman" w:cs="Times New Roman" w:hint="eastAsia"/>
          <w:snapToGrid/>
          <w:kern w:val="2"/>
          <w:sz w:val="32"/>
          <w:szCs w:val="32"/>
          <w:lang w:val="zh-CN" w:eastAsia="zh-CN"/>
        </w:rPr>
        <w:t>件，结案</w:t>
      </w:r>
      <w:r>
        <w:rPr>
          <w:rFonts w:ascii="Times New Roman" w:eastAsia="仿宋_GB2312" w:hAnsi="Times New Roman" w:cs="Times New Roman" w:hint="eastAsia"/>
          <w:snapToGrid/>
          <w:kern w:val="2"/>
          <w:sz w:val="32"/>
          <w:szCs w:val="32"/>
          <w:lang w:val="zh-CN" w:eastAsia="zh-CN"/>
        </w:rPr>
        <w:t>111</w:t>
      </w:r>
      <w:r>
        <w:rPr>
          <w:rFonts w:ascii="Times New Roman" w:eastAsia="仿宋_GB2312" w:hAnsi="Times New Roman" w:cs="Times New Roman" w:hint="eastAsia"/>
          <w:snapToGrid/>
          <w:kern w:val="2"/>
          <w:sz w:val="32"/>
          <w:szCs w:val="32"/>
          <w:lang w:val="zh-CN" w:eastAsia="zh-CN"/>
        </w:rPr>
        <w:t>件，警告</w:t>
      </w:r>
      <w:r>
        <w:rPr>
          <w:rFonts w:ascii="Times New Roman" w:eastAsia="仿宋_GB2312" w:hAnsi="Times New Roman" w:cs="Times New Roman" w:hint="eastAsia"/>
          <w:snapToGrid/>
          <w:kern w:val="2"/>
          <w:sz w:val="32"/>
          <w:szCs w:val="32"/>
          <w:lang w:val="zh-CN" w:eastAsia="zh-CN"/>
        </w:rPr>
        <w:t>55</w:t>
      </w:r>
      <w:r>
        <w:rPr>
          <w:rFonts w:ascii="Times New Roman" w:eastAsia="仿宋_GB2312" w:hAnsi="Times New Roman" w:cs="Times New Roman" w:hint="eastAsia"/>
          <w:snapToGrid/>
          <w:kern w:val="2"/>
          <w:sz w:val="32"/>
          <w:szCs w:val="32"/>
          <w:lang w:val="zh-CN" w:eastAsia="zh-CN"/>
        </w:rPr>
        <w:t>家，没收不合格食品</w:t>
      </w:r>
      <w:r>
        <w:rPr>
          <w:rFonts w:ascii="Times New Roman" w:eastAsia="仿宋_GB2312" w:hAnsi="Times New Roman" w:cs="Times New Roman" w:hint="eastAsia"/>
          <w:snapToGrid/>
          <w:kern w:val="2"/>
          <w:sz w:val="32"/>
          <w:szCs w:val="32"/>
          <w:lang w:val="zh-CN" w:eastAsia="zh-CN"/>
        </w:rPr>
        <w:t>170</w:t>
      </w:r>
      <w:r>
        <w:rPr>
          <w:rFonts w:ascii="Times New Roman" w:eastAsia="仿宋_GB2312" w:hAnsi="Times New Roman" w:cs="Times New Roman" w:hint="eastAsia"/>
          <w:snapToGrid/>
          <w:kern w:val="2"/>
          <w:sz w:val="32"/>
          <w:szCs w:val="32"/>
          <w:lang w:val="zh-CN" w:eastAsia="zh-CN"/>
        </w:rPr>
        <w:t>余公斤，罚没款金额</w:t>
      </w:r>
      <w:r>
        <w:rPr>
          <w:rFonts w:ascii="Times New Roman" w:eastAsia="仿宋_GB2312" w:hAnsi="Times New Roman" w:cs="Times New Roman" w:hint="eastAsia"/>
          <w:snapToGrid/>
          <w:kern w:val="2"/>
          <w:sz w:val="32"/>
          <w:szCs w:val="32"/>
          <w:lang w:val="zh-CN" w:eastAsia="zh-CN"/>
        </w:rPr>
        <w:t>7.3</w:t>
      </w:r>
      <w:r>
        <w:rPr>
          <w:rFonts w:ascii="Times New Roman" w:eastAsia="仿宋_GB2312" w:hAnsi="Times New Roman" w:cs="Times New Roman" w:hint="eastAsia"/>
          <w:snapToGrid/>
          <w:kern w:val="2"/>
          <w:sz w:val="32"/>
          <w:szCs w:val="32"/>
          <w:lang w:val="zh-CN" w:eastAsia="zh-CN"/>
        </w:rPr>
        <w:t>万余元，不合格食品核查处置率</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；对抽检不合格食品生产经营单位开展技术帮扶</w:t>
      </w:r>
      <w:r>
        <w:rPr>
          <w:rFonts w:ascii="Times New Roman" w:eastAsia="仿宋_GB2312" w:hAnsi="Times New Roman" w:cs="Times New Roman" w:hint="eastAsia"/>
          <w:snapToGrid/>
          <w:kern w:val="2"/>
          <w:sz w:val="32"/>
          <w:szCs w:val="32"/>
          <w:lang w:val="zh-CN" w:eastAsia="zh-CN"/>
        </w:rPr>
        <w:t>25</w:t>
      </w:r>
      <w:r>
        <w:rPr>
          <w:rFonts w:ascii="Times New Roman" w:eastAsia="仿宋_GB2312" w:hAnsi="Times New Roman" w:cs="Times New Roman" w:hint="eastAsia"/>
          <w:snapToGrid/>
          <w:kern w:val="2"/>
          <w:sz w:val="32"/>
          <w:szCs w:val="32"/>
          <w:lang w:val="zh-CN" w:eastAsia="zh-CN"/>
        </w:rPr>
        <w:t>次，指导排查原因并整改落实。</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3</w:t>
      </w:r>
      <w:r>
        <w:rPr>
          <w:rFonts w:ascii="Times New Roman" w:eastAsia="仿宋_GB2312" w:hAnsi="Times New Roman" w:cs="Times New Roman" w:hint="eastAsia"/>
          <w:snapToGrid/>
          <w:kern w:val="2"/>
          <w:sz w:val="32"/>
          <w:szCs w:val="32"/>
          <w:lang w:val="zh-CN" w:eastAsia="zh-CN"/>
        </w:rPr>
        <w:t>）强化风险</w:t>
      </w:r>
      <w:proofErr w:type="gramStart"/>
      <w:r>
        <w:rPr>
          <w:rFonts w:ascii="Times New Roman" w:eastAsia="仿宋_GB2312" w:hAnsi="Times New Roman" w:cs="Times New Roman" w:hint="eastAsia"/>
          <w:snapToGrid/>
          <w:kern w:val="2"/>
          <w:sz w:val="32"/>
          <w:szCs w:val="32"/>
          <w:lang w:val="zh-CN" w:eastAsia="zh-CN"/>
        </w:rPr>
        <w:t>研</w:t>
      </w:r>
      <w:proofErr w:type="gramEnd"/>
      <w:r>
        <w:rPr>
          <w:rFonts w:ascii="Times New Roman" w:eastAsia="仿宋_GB2312" w:hAnsi="Times New Roman" w:cs="Times New Roman" w:hint="eastAsia"/>
          <w:snapToGrid/>
          <w:kern w:val="2"/>
          <w:sz w:val="32"/>
          <w:szCs w:val="32"/>
          <w:lang w:val="zh-CN" w:eastAsia="zh-CN"/>
        </w:rPr>
        <w:t>判。结合校园食品安全、农村假冒伪劣食品安全和肉类产品专项整治，组织召开全市食品安全风险</w:t>
      </w:r>
      <w:proofErr w:type="gramStart"/>
      <w:r>
        <w:rPr>
          <w:rFonts w:ascii="Times New Roman" w:eastAsia="仿宋_GB2312" w:hAnsi="Times New Roman" w:cs="Times New Roman" w:hint="eastAsia"/>
          <w:snapToGrid/>
          <w:kern w:val="2"/>
          <w:sz w:val="32"/>
          <w:szCs w:val="32"/>
          <w:lang w:val="zh-CN" w:eastAsia="zh-CN"/>
        </w:rPr>
        <w:t>研判会</w:t>
      </w:r>
      <w:proofErr w:type="gramEnd"/>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次。分析</w:t>
      </w:r>
      <w:proofErr w:type="gramStart"/>
      <w:r>
        <w:rPr>
          <w:rFonts w:ascii="Times New Roman" w:eastAsia="仿宋_GB2312" w:hAnsi="Times New Roman" w:cs="Times New Roman" w:hint="eastAsia"/>
          <w:snapToGrid/>
          <w:kern w:val="2"/>
          <w:sz w:val="32"/>
          <w:szCs w:val="32"/>
          <w:lang w:val="zh-CN" w:eastAsia="zh-CN"/>
        </w:rPr>
        <w:t>研判当前</w:t>
      </w:r>
      <w:proofErr w:type="gramEnd"/>
      <w:r>
        <w:rPr>
          <w:rFonts w:ascii="Times New Roman" w:eastAsia="仿宋_GB2312" w:hAnsi="Times New Roman" w:cs="Times New Roman" w:hint="eastAsia"/>
          <w:snapToGrid/>
          <w:kern w:val="2"/>
          <w:sz w:val="32"/>
          <w:szCs w:val="32"/>
          <w:lang w:val="zh-CN" w:eastAsia="zh-CN"/>
        </w:rPr>
        <w:t>食品安全领域突出风险隐患，并提出监管措施意见。</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4</w:t>
      </w:r>
      <w:r>
        <w:rPr>
          <w:rFonts w:ascii="Times New Roman" w:eastAsia="仿宋_GB2312" w:hAnsi="Times New Roman" w:cs="Times New Roman" w:hint="eastAsia"/>
          <w:snapToGrid/>
          <w:kern w:val="2"/>
          <w:sz w:val="32"/>
          <w:szCs w:val="32"/>
          <w:lang w:val="zh-CN" w:eastAsia="zh-CN"/>
        </w:rPr>
        <w:t>）强化机构考核。一是强化检验机构考评。制定年度承检机构工作方案，对承担全市食品检验任务的检验机构通过数据质量抽查、</w:t>
      </w:r>
      <w:proofErr w:type="gramStart"/>
      <w:r>
        <w:rPr>
          <w:rFonts w:ascii="Times New Roman" w:eastAsia="仿宋_GB2312" w:hAnsi="Times New Roman" w:cs="Times New Roman" w:hint="eastAsia"/>
          <w:snapToGrid/>
          <w:kern w:val="2"/>
          <w:sz w:val="32"/>
          <w:szCs w:val="32"/>
          <w:lang w:val="zh-CN" w:eastAsia="zh-CN"/>
        </w:rPr>
        <w:t>盲样考核</w:t>
      </w:r>
      <w:proofErr w:type="gramEnd"/>
      <w:r>
        <w:rPr>
          <w:rFonts w:ascii="Times New Roman" w:eastAsia="仿宋_GB2312" w:hAnsi="Times New Roman" w:cs="Times New Roman" w:hint="eastAsia"/>
          <w:snapToGrid/>
          <w:kern w:val="2"/>
          <w:sz w:val="32"/>
          <w:szCs w:val="32"/>
          <w:lang w:val="zh-CN" w:eastAsia="zh-CN"/>
        </w:rPr>
        <w:t>、报告抽查和留样互测等方式开展考核评价。</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年共计抽查抽检数据</w:t>
      </w:r>
      <w:r>
        <w:rPr>
          <w:rFonts w:ascii="Times New Roman" w:eastAsia="仿宋_GB2312" w:hAnsi="Times New Roman" w:cs="Times New Roman" w:hint="eastAsia"/>
          <w:snapToGrid/>
          <w:kern w:val="2"/>
          <w:sz w:val="32"/>
          <w:szCs w:val="32"/>
          <w:lang w:val="zh-CN" w:eastAsia="zh-CN"/>
        </w:rPr>
        <w:t>1624</w:t>
      </w:r>
      <w:r>
        <w:rPr>
          <w:rFonts w:ascii="Times New Roman" w:eastAsia="仿宋_GB2312" w:hAnsi="Times New Roman" w:cs="Times New Roman" w:hint="eastAsia"/>
          <w:snapToGrid/>
          <w:kern w:val="2"/>
          <w:sz w:val="32"/>
          <w:szCs w:val="32"/>
          <w:lang w:val="zh-CN" w:eastAsia="zh-CN"/>
        </w:rPr>
        <w:t>批次，占总</w:t>
      </w:r>
      <w:proofErr w:type="gramStart"/>
      <w:r>
        <w:rPr>
          <w:rFonts w:ascii="Times New Roman" w:eastAsia="仿宋_GB2312" w:hAnsi="Times New Roman" w:cs="Times New Roman" w:hint="eastAsia"/>
          <w:snapToGrid/>
          <w:kern w:val="2"/>
          <w:sz w:val="32"/>
          <w:szCs w:val="32"/>
          <w:lang w:val="zh-CN" w:eastAsia="zh-CN"/>
        </w:rPr>
        <w:t>批次数</w:t>
      </w:r>
      <w:proofErr w:type="gramEnd"/>
      <w:r>
        <w:rPr>
          <w:rFonts w:ascii="Times New Roman" w:eastAsia="仿宋_GB2312" w:hAnsi="Times New Roman" w:cs="Times New Roman" w:hint="eastAsia"/>
          <w:snapToGrid/>
          <w:kern w:val="2"/>
          <w:sz w:val="32"/>
          <w:szCs w:val="32"/>
          <w:lang w:val="zh-CN" w:eastAsia="zh-CN"/>
        </w:rPr>
        <w:t>44.4%</w:t>
      </w:r>
      <w:r>
        <w:rPr>
          <w:rFonts w:ascii="Times New Roman" w:eastAsia="仿宋_GB2312" w:hAnsi="Times New Roman" w:cs="Times New Roman" w:hint="eastAsia"/>
          <w:snapToGrid/>
          <w:kern w:val="2"/>
          <w:sz w:val="32"/>
          <w:szCs w:val="32"/>
          <w:lang w:val="zh-CN" w:eastAsia="zh-CN"/>
        </w:rPr>
        <w:t>。发现问题数据</w:t>
      </w:r>
      <w:r>
        <w:rPr>
          <w:rFonts w:ascii="Times New Roman" w:eastAsia="仿宋_GB2312" w:hAnsi="Times New Roman" w:cs="Times New Roman" w:hint="eastAsia"/>
          <w:snapToGrid/>
          <w:kern w:val="2"/>
          <w:sz w:val="32"/>
          <w:szCs w:val="32"/>
          <w:lang w:val="zh-CN" w:eastAsia="zh-CN"/>
        </w:rPr>
        <w:t>20</w:t>
      </w:r>
      <w:r>
        <w:rPr>
          <w:rFonts w:ascii="Times New Roman" w:eastAsia="仿宋_GB2312" w:hAnsi="Times New Roman" w:cs="Times New Roman" w:hint="eastAsia"/>
          <w:snapToGrid/>
          <w:kern w:val="2"/>
          <w:sz w:val="32"/>
          <w:szCs w:val="32"/>
          <w:lang w:val="zh-CN" w:eastAsia="zh-CN"/>
        </w:rPr>
        <w:t>批次。对抽查中发现的问题，采取提交整改报告、通报等方式督促检验机构立行立改，不断提升食品抽检质效。二是严格备份样品再利用。与市慈善会建立常态化抽检合格备份样品捐赠机制，</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年会同承检机构捐赠</w:t>
      </w:r>
      <w:r>
        <w:rPr>
          <w:rFonts w:ascii="Times New Roman" w:eastAsia="仿宋_GB2312" w:hAnsi="Times New Roman" w:cs="Times New Roman" w:hint="eastAsia"/>
          <w:snapToGrid/>
          <w:kern w:val="2"/>
          <w:sz w:val="32"/>
          <w:szCs w:val="32"/>
          <w:lang w:val="zh-CN" w:eastAsia="zh-CN"/>
        </w:rPr>
        <w:t>334</w:t>
      </w:r>
      <w:r>
        <w:rPr>
          <w:rFonts w:ascii="Times New Roman" w:eastAsia="仿宋_GB2312" w:hAnsi="Times New Roman" w:cs="Times New Roman" w:hint="eastAsia"/>
          <w:snapToGrid/>
          <w:kern w:val="2"/>
          <w:sz w:val="32"/>
          <w:szCs w:val="32"/>
          <w:lang w:val="zh-CN" w:eastAsia="zh-CN"/>
        </w:rPr>
        <w:t>批次价值</w:t>
      </w:r>
      <w:r>
        <w:rPr>
          <w:rFonts w:ascii="Times New Roman" w:eastAsia="仿宋_GB2312" w:hAnsi="Times New Roman" w:cs="Times New Roman" w:hint="eastAsia"/>
          <w:snapToGrid/>
          <w:kern w:val="2"/>
          <w:sz w:val="32"/>
          <w:szCs w:val="32"/>
          <w:lang w:val="zh-CN" w:eastAsia="zh-CN"/>
        </w:rPr>
        <w:t>1.1</w:t>
      </w:r>
      <w:r>
        <w:rPr>
          <w:rFonts w:ascii="Times New Roman" w:eastAsia="仿宋_GB2312" w:hAnsi="Times New Roman" w:cs="Times New Roman" w:hint="eastAsia"/>
          <w:snapToGrid/>
          <w:kern w:val="2"/>
          <w:sz w:val="32"/>
          <w:szCs w:val="32"/>
          <w:lang w:val="zh-CN" w:eastAsia="zh-CN"/>
        </w:rPr>
        <w:t>万余元食品抽检合格备份样品。</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5</w:t>
      </w:r>
      <w:r>
        <w:rPr>
          <w:rFonts w:ascii="Times New Roman" w:eastAsia="仿宋_GB2312" w:hAnsi="Times New Roman" w:cs="Times New Roman" w:hint="eastAsia"/>
          <w:snapToGrid/>
          <w:kern w:val="2"/>
          <w:sz w:val="32"/>
          <w:szCs w:val="32"/>
          <w:lang w:val="zh-CN" w:eastAsia="zh-CN"/>
        </w:rPr>
        <w:t>）拓展食品安全“你点我检</w:t>
      </w:r>
      <w:r>
        <w:rPr>
          <w:rFonts w:ascii="Times New Roman" w:eastAsia="仿宋_GB2312" w:hAnsi="Times New Roman" w:cs="Times New Roman" w:hint="eastAsia"/>
          <w:snapToGrid/>
          <w:kern w:val="2"/>
          <w:sz w:val="32"/>
          <w:szCs w:val="32"/>
          <w:lang w:val="zh-CN" w:eastAsia="zh-CN"/>
        </w:rPr>
        <w:t xml:space="preserve"> </w:t>
      </w:r>
      <w:r>
        <w:rPr>
          <w:rFonts w:ascii="Times New Roman" w:eastAsia="仿宋_GB2312" w:hAnsi="Times New Roman" w:cs="Times New Roman" w:hint="eastAsia"/>
          <w:snapToGrid/>
          <w:kern w:val="2"/>
          <w:sz w:val="32"/>
          <w:szCs w:val="32"/>
          <w:lang w:val="zh-CN" w:eastAsia="zh-CN"/>
        </w:rPr>
        <w:t>服务惠民生”范围和实效。一是强化组织领导。制定全市“你点我检</w:t>
      </w:r>
      <w:r>
        <w:rPr>
          <w:rFonts w:ascii="Times New Roman" w:eastAsia="仿宋_GB2312" w:hAnsi="Times New Roman" w:cs="Times New Roman" w:hint="eastAsia"/>
          <w:snapToGrid/>
          <w:kern w:val="2"/>
          <w:sz w:val="32"/>
          <w:szCs w:val="32"/>
          <w:lang w:val="zh-CN" w:eastAsia="zh-CN"/>
        </w:rPr>
        <w:t xml:space="preserve"> </w:t>
      </w:r>
      <w:r>
        <w:rPr>
          <w:rFonts w:ascii="Times New Roman" w:eastAsia="仿宋_GB2312" w:hAnsi="Times New Roman" w:cs="Times New Roman" w:hint="eastAsia"/>
          <w:snapToGrid/>
          <w:kern w:val="2"/>
          <w:sz w:val="32"/>
          <w:szCs w:val="32"/>
          <w:lang w:val="zh-CN" w:eastAsia="zh-CN"/>
        </w:rPr>
        <w:t>服务惠民生”年度专项实施方案，联动</w:t>
      </w:r>
      <w:r>
        <w:rPr>
          <w:rFonts w:ascii="Times New Roman" w:eastAsia="仿宋_GB2312" w:hAnsi="Times New Roman" w:cs="Times New Roman" w:hint="eastAsia"/>
          <w:snapToGrid/>
          <w:kern w:val="2"/>
          <w:sz w:val="32"/>
          <w:szCs w:val="32"/>
          <w:lang w:val="zh-CN" w:eastAsia="zh-CN"/>
        </w:rPr>
        <w:t>5</w:t>
      </w:r>
      <w:r>
        <w:rPr>
          <w:rFonts w:ascii="Times New Roman" w:eastAsia="仿宋_GB2312" w:hAnsi="Times New Roman" w:cs="Times New Roman" w:hint="eastAsia"/>
          <w:snapToGrid/>
          <w:kern w:val="2"/>
          <w:sz w:val="32"/>
          <w:szCs w:val="32"/>
          <w:lang w:val="zh-CN" w:eastAsia="zh-CN"/>
        </w:rPr>
        <w:t>个县（区）局共同推进，确保活动</w:t>
      </w:r>
      <w:proofErr w:type="gramStart"/>
      <w:r>
        <w:rPr>
          <w:rFonts w:ascii="Times New Roman" w:eastAsia="仿宋_GB2312" w:hAnsi="Times New Roman" w:cs="Times New Roman" w:hint="eastAsia"/>
          <w:snapToGrid/>
          <w:kern w:val="2"/>
          <w:sz w:val="32"/>
          <w:szCs w:val="32"/>
          <w:lang w:val="zh-CN" w:eastAsia="zh-CN"/>
        </w:rPr>
        <w:t>走深走</w:t>
      </w:r>
      <w:r>
        <w:rPr>
          <w:rFonts w:ascii="Times New Roman" w:eastAsia="仿宋_GB2312" w:hAnsi="Times New Roman" w:cs="Times New Roman" w:hint="eastAsia"/>
          <w:snapToGrid/>
          <w:kern w:val="2"/>
          <w:sz w:val="32"/>
          <w:szCs w:val="32"/>
          <w:lang w:val="zh-CN" w:eastAsia="zh-CN"/>
        </w:rPr>
        <w:lastRenderedPageBreak/>
        <w:t>实</w:t>
      </w:r>
      <w:proofErr w:type="gramEnd"/>
      <w:r>
        <w:rPr>
          <w:rFonts w:ascii="Times New Roman" w:eastAsia="仿宋_GB2312" w:hAnsi="Times New Roman" w:cs="Times New Roman" w:hint="eastAsia"/>
          <w:snapToGrid/>
          <w:kern w:val="2"/>
          <w:sz w:val="32"/>
          <w:szCs w:val="32"/>
          <w:lang w:val="zh-CN" w:eastAsia="zh-CN"/>
        </w:rPr>
        <w:t>。二是突出宣传成效。线上依托“攀枝花开”“早安攀枝花”等平台发布活动信息，线下结合冬季康养、“</w:t>
      </w:r>
      <w:r>
        <w:rPr>
          <w:rFonts w:ascii="Times New Roman" w:eastAsia="仿宋_GB2312" w:hAnsi="Times New Roman" w:cs="Times New Roman" w:hint="eastAsia"/>
          <w:snapToGrid/>
          <w:kern w:val="2"/>
          <w:sz w:val="32"/>
          <w:szCs w:val="32"/>
          <w:lang w:val="zh-CN" w:eastAsia="zh-CN"/>
        </w:rPr>
        <w:t>3</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15</w:t>
      </w:r>
      <w:r>
        <w:rPr>
          <w:rFonts w:ascii="Times New Roman" w:eastAsia="仿宋_GB2312" w:hAnsi="Times New Roman" w:cs="Times New Roman" w:hint="eastAsia"/>
          <w:snapToGrid/>
          <w:kern w:val="2"/>
          <w:sz w:val="32"/>
          <w:szCs w:val="32"/>
          <w:lang w:val="zh-CN" w:eastAsia="zh-CN"/>
        </w:rPr>
        <w:t>”、食品安全宣传周、中高考、节日等重要节点，开展现场活动</w:t>
      </w:r>
      <w:r>
        <w:rPr>
          <w:rFonts w:ascii="Times New Roman" w:eastAsia="仿宋_GB2312" w:hAnsi="Times New Roman" w:cs="Times New Roman" w:hint="eastAsia"/>
          <w:snapToGrid/>
          <w:kern w:val="2"/>
          <w:sz w:val="32"/>
          <w:szCs w:val="32"/>
          <w:lang w:val="zh-CN" w:eastAsia="zh-CN"/>
        </w:rPr>
        <w:t>25</w:t>
      </w:r>
      <w:r>
        <w:rPr>
          <w:rFonts w:ascii="Times New Roman" w:eastAsia="仿宋_GB2312" w:hAnsi="Times New Roman" w:cs="Times New Roman" w:hint="eastAsia"/>
          <w:snapToGrid/>
          <w:kern w:val="2"/>
          <w:sz w:val="32"/>
          <w:szCs w:val="32"/>
          <w:lang w:val="zh-CN" w:eastAsia="zh-CN"/>
        </w:rPr>
        <w:t>场，发放宣传资料</w:t>
      </w:r>
      <w:r>
        <w:rPr>
          <w:rFonts w:ascii="Times New Roman" w:eastAsia="仿宋_GB2312" w:hAnsi="Times New Roman" w:cs="Times New Roman" w:hint="eastAsia"/>
          <w:snapToGrid/>
          <w:kern w:val="2"/>
          <w:sz w:val="32"/>
          <w:szCs w:val="32"/>
          <w:lang w:val="zh-CN" w:eastAsia="zh-CN"/>
        </w:rPr>
        <w:t>1.4</w:t>
      </w:r>
      <w:r>
        <w:rPr>
          <w:rFonts w:ascii="Times New Roman" w:eastAsia="仿宋_GB2312" w:hAnsi="Times New Roman" w:cs="Times New Roman" w:hint="eastAsia"/>
          <w:snapToGrid/>
          <w:kern w:val="2"/>
          <w:sz w:val="32"/>
          <w:szCs w:val="32"/>
          <w:lang w:val="zh-CN" w:eastAsia="zh-CN"/>
        </w:rPr>
        <w:t>万余份，现场讲解抽样流程与食品安全知识，累计吸引</w:t>
      </w:r>
      <w:r>
        <w:rPr>
          <w:rFonts w:ascii="Times New Roman" w:eastAsia="仿宋_GB2312" w:hAnsi="Times New Roman" w:cs="Times New Roman" w:hint="eastAsia"/>
          <w:snapToGrid/>
          <w:kern w:val="2"/>
          <w:sz w:val="32"/>
          <w:szCs w:val="32"/>
          <w:lang w:val="zh-CN" w:eastAsia="zh-CN"/>
        </w:rPr>
        <w:t>2.6</w:t>
      </w:r>
      <w:r>
        <w:rPr>
          <w:rFonts w:ascii="Times New Roman" w:eastAsia="仿宋_GB2312" w:hAnsi="Times New Roman" w:cs="Times New Roman" w:hint="eastAsia"/>
          <w:snapToGrid/>
          <w:kern w:val="2"/>
          <w:sz w:val="32"/>
          <w:szCs w:val="32"/>
          <w:lang w:val="zh-CN" w:eastAsia="zh-CN"/>
        </w:rPr>
        <w:t>万余人次参与点选，实现群众“指尖上的监督”。其中，</w:t>
      </w: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月省市场监管局局联合攀枝花市在仁和区开展“你点我检</w:t>
      </w:r>
      <w:r>
        <w:rPr>
          <w:rFonts w:ascii="Times New Roman" w:eastAsia="仿宋_GB2312" w:hAnsi="Times New Roman" w:cs="Times New Roman" w:hint="eastAsia"/>
          <w:snapToGrid/>
          <w:kern w:val="2"/>
          <w:sz w:val="32"/>
          <w:szCs w:val="32"/>
          <w:lang w:val="zh-CN" w:eastAsia="zh-CN"/>
        </w:rPr>
        <w:t xml:space="preserve"> </w:t>
      </w:r>
      <w:r>
        <w:rPr>
          <w:rFonts w:ascii="Times New Roman" w:eastAsia="仿宋_GB2312" w:hAnsi="Times New Roman" w:cs="Times New Roman" w:hint="eastAsia"/>
          <w:snapToGrid/>
          <w:kern w:val="2"/>
          <w:sz w:val="32"/>
          <w:szCs w:val="32"/>
          <w:lang w:val="zh-CN" w:eastAsia="zh-CN"/>
        </w:rPr>
        <w:t>服务惠民生”</w:t>
      </w:r>
      <w:proofErr w:type="gramStart"/>
      <w:r>
        <w:rPr>
          <w:rFonts w:ascii="Times New Roman" w:eastAsia="仿宋_GB2312" w:hAnsi="Times New Roman" w:cs="Times New Roman" w:hint="eastAsia"/>
          <w:snapToGrid/>
          <w:kern w:val="2"/>
          <w:sz w:val="32"/>
          <w:szCs w:val="32"/>
          <w:lang w:val="zh-CN" w:eastAsia="zh-CN"/>
        </w:rPr>
        <w:t>冬季康养旅游</w:t>
      </w:r>
      <w:proofErr w:type="gramEnd"/>
      <w:r>
        <w:rPr>
          <w:rFonts w:ascii="Times New Roman" w:eastAsia="仿宋_GB2312" w:hAnsi="Times New Roman" w:cs="Times New Roman" w:hint="eastAsia"/>
          <w:snapToGrid/>
          <w:kern w:val="2"/>
          <w:sz w:val="32"/>
          <w:szCs w:val="32"/>
          <w:lang w:val="zh-CN" w:eastAsia="zh-CN"/>
        </w:rPr>
        <w:t>消费热点区域专场活动。三是回应公众关切。定期汇总分析群众投票点选意见，针对群众投票点选的</w:t>
      </w:r>
      <w:r>
        <w:rPr>
          <w:rFonts w:ascii="Times New Roman" w:eastAsia="仿宋_GB2312" w:hAnsi="Times New Roman" w:cs="Times New Roman" w:hint="eastAsia"/>
          <w:snapToGrid/>
          <w:kern w:val="2"/>
          <w:sz w:val="32"/>
          <w:szCs w:val="32"/>
          <w:lang w:val="zh-CN" w:eastAsia="zh-CN"/>
        </w:rPr>
        <w:t>15</w:t>
      </w:r>
      <w:r>
        <w:rPr>
          <w:rFonts w:ascii="Times New Roman" w:eastAsia="仿宋_GB2312" w:hAnsi="Times New Roman" w:cs="Times New Roman" w:hint="eastAsia"/>
          <w:snapToGrid/>
          <w:kern w:val="2"/>
          <w:sz w:val="32"/>
          <w:szCs w:val="32"/>
          <w:lang w:val="zh-CN" w:eastAsia="zh-CN"/>
        </w:rPr>
        <w:t>大类食品开展抽样检验</w:t>
      </w:r>
      <w:r>
        <w:rPr>
          <w:rFonts w:ascii="Times New Roman" w:eastAsia="仿宋_GB2312" w:hAnsi="Times New Roman" w:cs="Times New Roman" w:hint="eastAsia"/>
          <w:snapToGrid/>
          <w:kern w:val="2"/>
          <w:sz w:val="32"/>
          <w:szCs w:val="32"/>
          <w:lang w:val="zh-CN" w:eastAsia="zh-CN"/>
        </w:rPr>
        <w:t>235</w:t>
      </w:r>
      <w:r>
        <w:rPr>
          <w:rFonts w:ascii="Times New Roman" w:eastAsia="仿宋_GB2312" w:hAnsi="Times New Roman" w:cs="Times New Roman" w:hint="eastAsia"/>
          <w:snapToGrid/>
          <w:kern w:val="2"/>
          <w:sz w:val="32"/>
          <w:szCs w:val="32"/>
          <w:lang w:val="zh-CN" w:eastAsia="zh-CN"/>
        </w:rPr>
        <w:t>批次，发布抽检信息公告</w:t>
      </w:r>
      <w:r>
        <w:rPr>
          <w:rFonts w:ascii="Times New Roman" w:eastAsia="仿宋_GB2312" w:hAnsi="Times New Roman" w:cs="Times New Roman" w:hint="eastAsia"/>
          <w:snapToGrid/>
          <w:kern w:val="2"/>
          <w:sz w:val="32"/>
          <w:szCs w:val="32"/>
          <w:lang w:val="zh-CN" w:eastAsia="zh-CN"/>
        </w:rPr>
        <w:t>4</w:t>
      </w:r>
      <w:r>
        <w:rPr>
          <w:rFonts w:ascii="Times New Roman" w:eastAsia="仿宋_GB2312" w:hAnsi="Times New Roman" w:cs="Times New Roman" w:hint="eastAsia"/>
          <w:snapToGrid/>
          <w:kern w:val="2"/>
          <w:sz w:val="32"/>
          <w:szCs w:val="32"/>
          <w:lang w:val="zh-CN" w:eastAsia="zh-CN"/>
        </w:rPr>
        <w:t>期，信息公布率</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。以兽药残留和动物源性成分等高风险指标为重点，在仁和区集中开展烧烤店肉类产品“你点我检”快速检测</w:t>
      </w:r>
      <w:r>
        <w:rPr>
          <w:rFonts w:ascii="Times New Roman" w:eastAsia="仿宋_GB2312" w:hAnsi="Times New Roman" w:cs="Times New Roman" w:hint="eastAsia"/>
          <w:snapToGrid/>
          <w:kern w:val="2"/>
          <w:sz w:val="32"/>
          <w:szCs w:val="32"/>
          <w:lang w:val="zh-CN" w:eastAsia="zh-CN"/>
        </w:rPr>
        <w:t>25</w:t>
      </w:r>
      <w:r>
        <w:rPr>
          <w:rFonts w:ascii="Times New Roman" w:eastAsia="仿宋_GB2312" w:hAnsi="Times New Roman" w:cs="Times New Roman" w:hint="eastAsia"/>
          <w:snapToGrid/>
          <w:kern w:val="2"/>
          <w:sz w:val="32"/>
          <w:szCs w:val="32"/>
          <w:lang w:val="zh-CN" w:eastAsia="zh-CN"/>
        </w:rPr>
        <w:t>批次，全部合格。</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质量指标。</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抽检不合格食品核查处置率。年度指标值：</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。实际指标值：</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食品安全投诉举报处置率。年度指标值：</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。实际指标值：</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食品抽检应公布信息的公布率。年度指标值：</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。实际指标值：</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抽检监测结果系统录入率。年度指标值：</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。实际指标值：</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lastRenderedPageBreak/>
        <w:t>3.</w:t>
      </w:r>
      <w:r>
        <w:rPr>
          <w:rFonts w:ascii="Times New Roman" w:eastAsia="仿宋_GB2312" w:hAnsi="Times New Roman" w:cs="Times New Roman" w:hint="eastAsia"/>
          <w:snapToGrid/>
          <w:kern w:val="2"/>
          <w:sz w:val="32"/>
          <w:szCs w:val="32"/>
          <w:lang w:val="zh-CN" w:eastAsia="zh-CN"/>
        </w:rPr>
        <w:t>时效指标。</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在</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w:t>
      </w:r>
      <w:r>
        <w:rPr>
          <w:rFonts w:ascii="Times New Roman" w:eastAsia="仿宋_GB2312" w:hAnsi="Times New Roman" w:cs="Times New Roman" w:hint="eastAsia"/>
          <w:snapToGrid/>
          <w:kern w:val="2"/>
          <w:sz w:val="32"/>
          <w:szCs w:val="32"/>
          <w:lang w:val="zh-CN" w:eastAsia="zh-CN"/>
        </w:rPr>
        <w:t>12</w:t>
      </w:r>
      <w:r>
        <w:rPr>
          <w:rFonts w:ascii="Times New Roman" w:eastAsia="仿宋_GB2312" w:hAnsi="Times New Roman" w:cs="Times New Roman" w:hint="eastAsia"/>
          <w:snapToGrid/>
          <w:kern w:val="2"/>
          <w:sz w:val="32"/>
          <w:szCs w:val="32"/>
          <w:lang w:val="zh-CN" w:eastAsia="zh-CN"/>
        </w:rPr>
        <w:t>月</w:t>
      </w:r>
      <w:r>
        <w:rPr>
          <w:rFonts w:ascii="Times New Roman" w:eastAsia="仿宋_GB2312" w:hAnsi="Times New Roman" w:cs="Times New Roman" w:hint="eastAsia"/>
          <w:snapToGrid/>
          <w:kern w:val="2"/>
          <w:sz w:val="32"/>
          <w:szCs w:val="32"/>
          <w:lang w:val="zh-CN" w:eastAsia="zh-CN"/>
        </w:rPr>
        <w:t>31</w:t>
      </w:r>
      <w:r>
        <w:rPr>
          <w:rFonts w:ascii="Times New Roman" w:eastAsia="仿宋_GB2312" w:hAnsi="Times New Roman" w:cs="Times New Roman" w:hint="eastAsia"/>
          <w:snapToGrid/>
          <w:kern w:val="2"/>
          <w:sz w:val="32"/>
          <w:szCs w:val="32"/>
          <w:lang w:val="zh-CN" w:eastAsia="zh-CN"/>
        </w:rPr>
        <w:t>日前全部完成食品监管专项工作。</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落实总局抽检任务要求的时间和频次。年度指标值：符合总局要求。实际指标值：按照省局抽检计划要求配合开展抽检工作，符合总局要求。</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补助资金预算执行率</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，实际执行率</w:t>
      </w:r>
      <w:r>
        <w:rPr>
          <w:rFonts w:ascii="Times New Roman" w:eastAsia="仿宋_GB2312" w:hAnsi="Times New Roman" w:cs="Times New Roman" w:hint="eastAsia"/>
          <w:snapToGrid/>
          <w:kern w:val="2"/>
          <w:sz w:val="32"/>
          <w:szCs w:val="32"/>
          <w:lang w:val="zh-CN" w:eastAsia="zh-CN"/>
        </w:rPr>
        <w:t>90.6%</w:t>
      </w:r>
      <w:r>
        <w:rPr>
          <w:rFonts w:ascii="Times New Roman" w:eastAsia="仿宋_GB2312" w:hAnsi="Times New Roman" w:cs="Times New Roman" w:hint="eastAsia"/>
          <w:snapToGrid/>
          <w:kern w:val="2"/>
          <w:sz w:val="32"/>
          <w:szCs w:val="32"/>
          <w:lang w:val="zh-CN" w:eastAsia="zh-CN"/>
        </w:rPr>
        <w:t>。</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4.</w:t>
      </w:r>
      <w:r>
        <w:rPr>
          <w:rFonts w:ascii="Times New Roman" w:eastAsia="仿宋_GB2312" w:hAnsi="Times New Roman" w:cs="Times New Roman" w:hint="eastAsia"/>
          <w:snapToGrid/>
          <w:kern w:val="2"/>
          <w:sz w:val="32"/>
          <w:szCs w:val="32"/>
          <w:lang w:val="zh-CN" w:eastAsia="zh-CN"/>
        </w:rPr>
        <w:t>成本指标。</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普通食品抽检监测平均成本≤</w:t>
      </w:r>
      <w:r>
        <w:rPr>
          <w:rFonts w:ascii="Times New Roman" w:eastAsia="仿宋_GB2312" w:hAnsi="Times New Roman" w:cs="Times New Roman" w:hint="eastAsia"/>
          <w:snapToGrid/>
          <w:kern w:val="2"/>
          <w:sz w:val="32"/>
          <w:szCs w:val="32"/>
          <w:lang w:val="zh-CN" w:eastAsia="zh-CN"/>
        </w:rPr>
        <w:t>2473</w:t>
      </w:r>
      <w:r>
        <w:rPr>
          <w:rFonts w:ascii="Times New Roman" w:eastAsia="仿宋_GB2312" w:hAnsi="Times New Roman" w:cs="Times New Roman" w:hint="eastAsia"/>
          <w:snapToGrid/>
          <w:kern w:val="2"/>
          <w:sz w:val="32"/>
          <w:szCs w:val="32"/>
          <w:lang w:val="zh-CN" w:eastAsia="zh-CN"/>
        </w:rPr>
        <w:t>元</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批次，符合总局要求。</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食品执法人员能力提升培训成本。按照不超过市财政规定培训标准≤</w:t>
      </w:r>
      <w:r>
        <w:rPr>
          <w:rFonts w:ascii="Times New Roman" w:eastAsia="仿宋_GB2312" w:hAnsi="Times New Roman" w:cs="Times New Roman" w:hint="eastAsia"/>
          <w:snapToGrid/>
          <w:kern w:val="2"/>
          <w:sz w:val="32"/>
          <w:szCs w:val="32"/>
          <w:lang w:val="zh-CN" w:eastAsia="zh-CN"/>
        </w:rPr>
        <w:t>400</w:t>
      </w:r>
      <w:r>
        <w:rPr>
          <w:rFonts w:ascii="Times New Roman" w:eastAsia="仿宋_GB2312" w:hAnsi="Times New Roman" w:cs="Times New Roman" w:hint="eastAsia"/>
          <w:snapToGrid/>
          <w:kern w:val="2"/>
          <w:sz w:val="32"/>
          <w:szCs w:val="32"/>
          <w:lang w:val="zh-CN" w:eastAsia="zh-CN"/>
        </w:rPr>
        <w:t>元</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人</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天，开展各项食品安全业务培训。</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5.</w:t>
      </w:r>
      <w:r>
        <w:rPr>
          <w:rFonts w:ascii="Times New Roman" w:eastAsia="仿宋_GB2312" w:hAnsi="Times New Roman" w:cs="Times New Roman" w:hint="eastAsia"/>
          <w:snapToGrid/>
          <w:kern w:val="2"/>
          <w:sz w:val="32"/>
          <w:szCs w:val="32"/>
          <w:lang w:val="zh-CN" w:eastAsia="zh-CN"/>
        </w:rPr>
        <w:t>效益指标完成情况分析。</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）经济效益指标</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辖区内未发生重大食品安全监管责任事故。保障辖区食品产业健康有序发展、有效促进食品产业健康发展的活力。</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eastAsia="zh-CN"/>
        </w:rPr>
        <w:t>2</w:t>
      </w:r>
      <w:r>
        <w:rPr>
          <w:rFonts w:ascii="Times New Roman" w:eastAsia="仿宋_GB2312" w:hAnsi="Times New Roman" w:cs="Times New Roman" w:hint="eastAsia"/>
          <w:snapToGrid/>
          <w:kern w:val="2"/>
          <w:sz w:val="32"/>
          <w:szCs w:val="32"/>
          <w:lang w:val="zh-CN" w:eastAsia="zh-CN"/>
        </w:rPr>
        <w:t>）社会效益指标</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通过“</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年攀枝花市食品安全监管能力提升培训班”在成都顺利举办并圆满结业。市场监管系统、</w:t>
      </w:r>
      <w:proofErr w:type="gramStart"/>
      <w:r>
        <w:rPr>
          <w:rFonts w:ascii="Times New Roman" w:eastAsia="仿宋_GB2312" w:hAnsi="Times New Roman" w:cs="Times New Roman" w:hint="eastAsia"/>
          <w:snapToGrid/>
          <w:kern w:val="2"/>
          <w:sz w:val="32"/>
          <w:szCs w:val="32"/>
          <w:lang w:val="zh-CN" w:eastAsia="zh-CN"/>
        </w:rPr>
        <w:t>教体系统</w:t>
      </w:r>
      <w:proofErr w:type="gramEnd"/>
      <w:r>
        <w:rPr>
          <w:rFonts w:ascii="Times New Roman" w:eastAsia="仿宋_GB2312" w:hAnsi="Times New Roman" w:cs="Times New Roman" w:hint="eastAsia"/>
          <w:snapToGrid/>
          <w:kern w:val="2"/>
          <w:sz w:val="32"/>
          <w:szCs w:val="32"/>
          <w:lang w:val="zh-CN" w:eastAsia="zh-CN"/>
        </w:rPr>
        <w:t>、公安局、财政局、纪委监委及部分学校代表等</w:t>
      </w:r>
      <w:r>
        <w:rPr>
          <w:rFonts w:ascii="Times New Roman" w:eastAsia="仿宋_GB2312" w:hAnsi="Times New Roman" w:cs="Times New Roman" w:hint="eastAsia"/>
          <w:snapToGrid/>
          <w:kern w:val="2"/>
          <w:sz w:val="32"/>
          <w:szCs w:val="32"/>
          <w:lang w:val="zh-CN" w:eastAsia="zh-CN"/>
        </w:rPr>
        <w:t>90</w:t>
      </w:r>
      <w:r>
        <w:rPr>
          <w:rFonts w:ascii="Times New Roman" w:eastAsia="仿宋_GB2312" w:hAnsi="Times New Roman" w:cs="Times New Roman" w:hint="eastAsia"/>
          <w:snapToGrid/>
          <w:kern w:val="2"/>
          <w:sz w:val="32"/>
          <w:szCs w:val="32"/>
          <w:lang w:val="zh-CN" w:eastAsia="zh-CN"/>
        </w:rPr>
        <w:t>余名业务骨干参训，进一步提升人员食品安全执法能力和监管能力。</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eastAsia="zh-CN"/>
        </w:rPr>
        <w:t>3</w:t>
      </w:r>
      <w:r>
        <w:rPr>
          <w:rFonts w:ascii="Times New Roman" w:eastAsia="仿宋_GB2312" w:hAnsi="Times New Roman" w:cs="Times New Roman" w:hint="eastAsia"/>
          <w:snapToGrid/>
          <w:kern w:val="2"/>
          <w:sz w:val="32"/>
          <w:szCs w:val="32"/>
          <w:lang w:val="zh-CN" w:eastAsia="zh-CN"/>
        </w:rPr>
        <w:t>）可持续影响指标</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lastRenderedPageBreak/>
        <w:t>技术支撑能力和检验检测水平逐步提升，当年查办一般程序食品安全违法案件原则上较上一年度提高，符合总局要求。</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4</w:t>
      </w:r>
      <w:r>
        <w:rPr>
          <w:rFonts w:ascii="Times New Roman" w:eastAsia="仿宋_GB2312" w:hAnsi="Times New Roman" w:cs="Times New Roman" w:hint="eastAsia"/>
          <w:snapToGrid/>
          <w:kern w:val="2"/>
          <w:sz w:val="32"/>
          <w:szCs w:val="32"/>
          <w:lang w:val="zh-CN" w:eastAsia="zh-CN"/>
        </w:rPr>
        <w:t>）服务对象满意度指标</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通过食品安全抽检，提高食品安全性，使消费者买的放心、吃得安心，有效保障消费者的权益。公众对食品安全对象满意度符合绩效目标。</w:t>
      </w:r>
    </w:p>
    <w:p w:rsidR="004B0FC1" w:rsidRDefault="00A976D9">
      <w:pPr>
        <w:widowControl w:val="0"/>
        <w:kinsoku/>
        <w:autoSpaceDE/>
        <w:autoSpaceDN/>
        <w:spacing w:line="578" w:lineRule="exact"/>
        <w:ind w:firstLineChars="200" w:firstLine="632"/>
        <w:jc w:val="both"/>
        <w:textAlignment w:val="auto"/>
        <w:rPr>
          <w:rFonts w:ascii="Times New Roman" w:eastAsia="黑体" w:hAnsi="Times New Roman" w:cs="Times New Roman"/>
          <w:snapToGrid/>
          <w:color w:val="auto"/>
          <w:kern w:val="2"/>
          <w:sz w:val="32"/>
          <w:szCs w:val="32"/>
          <w:lang w:eastAsia="zh-CN"/>
        </w:rPr>
      </w:pPr>
      <w:bookmarkStart w:id="62" w:name="_Toc28719"/>
      <w:bookmarkStart w:id="63" w:name="_Toc13217"/>
      <w:r>
        <w:rPr>
          <w:rFonts w:ascii="Times New Roman" w:eastAsia="黑体" w:hAnsi="Times New Roman" w:cs="Times New Roman" w:hint="eastAsia"/>
          <w:snapToGrid/>
          <w:color w:val="auto"/>
          <w:kern w:val="2"/>
          <w:sz w:val="32"/>
          <w:szCs w:val="32"/>
          <w:lang w:eastAsia="zh-CN"/>
        </w:rPr>
        <w:t>四、发现的主要问题和改进措施</w:t>
      </w:r>
      <w:bookmarkEnd w:id="62"/>
      <w:bookmarkEnd w:id="63"/>
    </w:p>
    <w:p w:rsidR="004B0FC1" w:rsidRDefault="00A976D9">
      <w:pPr>
        <w:kinsoku/>
        <w:autoSpaceDE/>
        <w:autoSpaceDN/>
        <w:spacing w:line="578" w:lineRule="exact"/>
        <w:ind w:firstLineChars="200" w:firstLine="632"/>
        <w:contextualSpacing/>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（一）资金管理上的问题和改进措施</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存在问题及原因。</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一是资金使用进度不均衡，全年全市基本达到绩效目标考核下达的资金执行进度要求，但部分县区受地方财力紧张影响，资金执行进度滞后；二是资金绩效跟踪监控机制不够完善，对资金使用过程中的绩效动态跟踪不够及时全面，尤其对县区级资金使用及项目推进情况的跟踪督导力度不足。</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改进措施。</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一是加强预算编制调研，结合往年资金使用情况、本年度工作重点及各县区财力实际，细化预算项目，合理测算资金需求，提高预算编制的科学性和精准度；二是优化项目实施流程，提前做好项目前期准备工作，合理安排资金支付计划，确保资金使用进度与项目实施进度同步；三是建立健全资金绩效动态跟踪监控机制，定期对市、县两级资金使用情况和绩效目标完</w:t>
      </w:r>
      <w:r>
        <w:rPr>
          <w:rFonts w:ascii="Times New Roman" w:eastAsia="仿宋_GB2312" w:hAnsi="Times New Roman" w:cs="Times New Roman" w:hint="eastAsia"/>
          <w:snapToGrid/>
          <w:kern w:val="2"/>
          <w:sz w:val="32"/>
          <w:szCs w:val="32"/>
          <w:lang w:val="zh-CN" w:eastAsia="zh-CN"/>
        </w:rPr>
        <w:lastRenderedPageBreak/>
        <w:t>成情况进行跟踪分析，重点督导财力薄弱县区的项目推进和资金使用，及时发现并解决问题，确保资金绩效最大化。</w:t>
      </w:r>
    </w:p>
    <w:p w:rsidR="004B0FC1" w:rsidRDefault="00A976D9">
      <w:pPr>
        <w:kinsoku/>
        <w:autoSpaceDE/>
        <w:autoSpaceDN/>
        <w:spacing w:line="578" w:lineRule="exact"/>
        <w:ind w:firstLineChars="200" w:firstLine="632"/>
        <w:contextualSpacing/>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（二）总体目标偏离情况分析、问题及改进措施。</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年，我局坚定落实食品安全属地管理责任、聚焦重点关键，多点发力全面加强食品安全治理，较好完成年度总体目标任务。</w:t>
      </w:r>
    </w:p>
    <w:p w:rsidR="004B0FC1" w:rsidRDefault="00A976D9">
      <w:pPr>
        <w:kinsoku/>
        <w:autoSpaceDE/>
        <w:autoSpaceDN/>
        <w:spacing w:line="578" w:lineRule="exact"/>
        <w:ind w:firstLineChars="200" w:firstLine="632"/>
        <w:contextualSpacing/>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（三）三级绩效指标偏离情况分析、问题及改进措施。</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部分县区资金执行进度较慢，导致“补助资金预算执行率”绩效指标未完成</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，下一步，将落实预算主体责任，督促相关县区局加快预算执行进度，切实加强与同级财政部门对接沟通，加快预算资金拨付审核进度，确保预算执行力度，最大效益发挥专项资金效益。</w:t>
      </w:r>
    </w:p>
    <w:p w:rsidR="004B0FC1" w:rsidRDefault="00A976D9">
      <w:pPr>
        <w:widowControl w:val="0"/>
        <w:kinsoku/>
        <w:autoSpaceDE/>
        <w:autoSpaceDN/>
        <w:spacing w:line="578" w:lineRule="exact"/>
        <w:ind w:firstLineChars="200" w:firstLine="632"/>
        <w:jc w:val="both"/>
        <w:textAlignment w:val="auto"/>
        <w:rPr>
          <w:rFonts w:ascii="Times New Roman" w:eastAsia="黑体" w:hAnsi="Times New Roman" w:cs="Times New Roman"/>
          <w:snapToGrid/>
          <w:color w:val="auto"/>
          <w:kern w:val="2"/>
          <w:sz w:val="32"/>
          <w:szCs w:val="32"/>
          <w:lang w:eastAsia="zh-CN"/>
        </w:rPr>
      </w:pPr>
      <w:bookmarkStart w:id="64" w:name="_Toc27730"/>
      <w:bookmarkStart w:id="65" w:name="_Toc31899"/>
      <w:r>
        <w:rPr>
          <w:rFonts w:ascii="Times New Roman" w:eastAsia="黑体" w:hAnsi="Times New Roman" w:cs="Times New Roman" w:hint="eastAsia"/>
          <w:snapToGrid/>
          <w:color w:val="auto"/>
          <w:kern w:val="2"/>
          <w:sz w:val="32"/>
          <w:szCs w:val="32"/>
          <w:lang w:eastAsia="zh-CN"/>
        </w:rPr>
        <w:t>五、绩效评价（自评）结果拟应用和公开情况</w:t>
      </w:r>
      <w:bookmarkEnd w:id="64"/>
      <w:bookmarkEnd w:id="65"/>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本次绩效自评结果将作为下一年度中央食品监管补助资金预算申请、分配和政策调整的重要参考依据。评价中发现的问题将纳入下年度工作计划重点改进。</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按照财政统一公开时限，将中央食品专项资金区域绩效目标自评表和自评报告随部门决算及部门整体绩效评价在市市场监管局门户网站上进行公开，主动接受社会监督。公开内容包括资金使用情况、绩效目标完成情况、评价结论、存在问题及改进措施等，确保公开信息真实、准确、完整。</w:t>
      </w:r>
    </w:p>
    <w:p w:rsidR="004B0FC1" w:rsidRDefault="00A976D9">
      <w:pPr>
        <w:widowControl w:val="0"/>
        <w:kinsoku/>
        <w:autoSpaceDE/>
        <w:autoSpaceDN/>
        <w:spacing w:line="578" w:lineRule="exact"/>
        <w:ind w:firstLineChars="200" w:firstLine="632"/>
        <w:jc w:val="both"/>
        <w:textAlignment w:val="auto"/>
        <w:rPr>
          <w:rFonts w:ascii="Times New Roman" w:eastAsia="黑体" w:hAnsi="Times New Roman" w:cs="Times New Roman"/>
          <w:snapToGrid/>
          <w:color w:val="auto"/>
          <w:kern w:val="2"/>
          <w:sz w:val="32"/>
          <w:szCs w:val="32"/>
          <w:lang w:eastAsia="zh-CN"/>
        </w:rPr>
      </w:pPr>
      <w:r>
        <w:rPr>
          <w:rFonts w:ascii="Times New Roman" w:eastAsia="黑体" w:hAnsi="Times New Roman" w:cs="Times New Roman" w:hint="eastAsia"/>
          <w:snapToGrid/>
          <w:color w:val="auto"/>
          <w:kern w:val="2"/>
          <w:sz w:val="32"/>
          <w:szCs w:val="32"/>
          <w:lang w:eastAsia="zh-CN"/>
        </w:rPr>
        <w:lastRenderedPageBreak/>
        <w:t>六、绩效评价（自评）工作开展情况</w:t>
      </w:r>
    </w:p>
    <w:p w:rsidR="004B0FC1" w:rsidRDefault="00A976D9">
      <w:pPr>
        <w:pStyle w:val="NewNewNewNewNewNewNewNewNewNewNewNewNewNewNewNewNewNewNewNewNewNewNewNewNewNewNewNewNewNewNewNew"/>
        <w:pBdr>
          <w:top w:val="single" w:sz="4" w:space="0" w:color="FFFFFF"/>
          <w:left w:val="single" w:sz="4" w:space="31" w:color="FFFFFF"/>
          <w:bottom w:val="single" w:sz="4" w:space="31" w:color="FFFFFF"/>
          <w:right w:val="single" w:sz="4" w:space="0" w:color="FFFFFF"/>
        </w:pBdr>
        <w:suppressAutoHyphens/>
        <w:autoSpaceDE w:val="0"/>
        <w:autoSpaceDN w:val="0"/>
        <w:adjustRightInd w:val="0"/>
        <w:snapToGrid w:val="0"/>
        <w:spacing w:line="600" w:lineRule="exact"/>
        <w:ind w:firstLine="720"/>
        <w:rPr>
          <w:rFonts w:eastAsia="楷体_GB2312"/>
          <w:b/>
          <w:kern w:val="2"/>
          <w:szCs w:val="32"/>
          <w:lang w:val="zh-CN"/>
        </w:rPr>
      </w:pPr>
      <w:r>
        <w:rPr>
          <w:rFonts w:eastAsia="楷体_GB2312" w:hint="eastAsia"/>
          <w:b/>
          <w:kern w:val="2"/>
          <w:szCs w:val="32"/>
          <w:lang w:val="zh-CN"/>
        </w:rPr>
        <w:t>（一）工作部署情况</w:t>
      </w:r>
    </w:p>
    <w:p w:rsidR="004B0FC1" w:rsidRDefault="00A976D9">
      <w:pPr>
        <w:pStyle w:val="NewNewNewNewNewNewNewNewNewNewNewNewNewNewNewNewNewNewNewNewNewNewNewNewNewNewNewNewNewNewNewNew"/>
        <w:pBdr>
          <w:top w:val="single" w:sz="4" w:space="0" w:color="FFFFFF"/>
          <w:left w:val="single" w:sz="4" w:space="31" w:color="FFFFFF"/>
          <w:bottom w:val="single" w:sz="4" w:space="31" w:color="FFFFFF"/>
          <w:right w:val="single" w:sz="4" w:space="0" w:color="FFFFFF"/>
        </w:pBdr>
        <w:suppressAutoHyphens/>
        <w:autoSpaceDE w:val="0"/>
        <w:autoSpaceDN w:val="0"/>
        <w:adjustRightInd w:val="0"/>
        <w:snapToGrid w:val="0"/>
        <w:spacing w:line="600" w:lineRule="exact"/>
        <w:ind w:firstLine="720"/>
        <w:rPr>
          <w:rFonts w:eastAsia="仿宋_GB2312"/>
          <w:kern w:val="2"/>
          <w:szCs w:val="32"/>
          <w:lang w:val="zh-CN"/>
        </w:rPr>
      </w:pPr>
      <w:r>
        <w:rPr>
          <w:rFonts w:eastAsia="仿宋_GB2312" w:hint="eastAsia"/>
          <w:kern w:val="2"/>
          <w:szCs w:val="32"/>
          <w:lang w:val="zh-CN"/>
        </w:rPr>
        <w:t>我局按照《四川省市场监督管理局办公室关于开展</w:t>
      </w:r>
      <w:r>
        <w:rPr>
          <w:rFonts w:eastAsia="仿宋_GB2312" w:hint="eastAsia"/>
          <w:kern w:val="2"/>
          <w:szCs w:val="32"/>
          <w:lang w:val="zh-CN"/>
        </w:rPr>
        <w:t>2025</w:t>
      </w:r>
      <w:r>
        <w:rPr>
          <w:rFonts w:eastAsia="仿宋_GB2312" w:hint="eastAsia"/>
          <w:kern w:val="2"/>
          <w:szCs w:val="32"/>
          <w:lang w:val="zh-CN"/>
        </w:rPr>
        <w:t>年度中央财政食品监管补助资金绩效评价的通知》要求，高度重视，迅速开展绩效自评工作，由财务科牵头，食品相关科室配合，认真对照年度绩效目标梳理</w:t>
      </w:r>
      <w:r>
        <w:rPr>
          <w:rFonts w:eastAsia="仿宋_GB2312" w:hint="eastAsia"/>
          <w:kern w:val="2"/>
          <w:szCs w:val="32"/>
          <w:lang w:val="zh-CN"/>
        </w:rPr>
        <w:t>2025</w:t>
      </w:r>
      <w:r>
        <w:rPr>
          <w:rFonts w:eastAsia="仿宋_GB2312" w:hint="eastAsia"/>
          <w:kern w:val="2"/>
          <w:szCs w:val="32"/>
          <w:lang w:val="zh-CN"/>
        </w:rPr>
        <w:t>年度食品工作任务完成情况，协同完成</w:t>
      </w:r>
      <w:r>
        <w:rPr>
          <w:rFonts w:eastAsia="仿宋_GB2312" w:hint="eastAsia"/>
          <w:kern w:val="2"/>
          <w:szCs w:val="32"/>
          <w:lang w:val="zh-CN"/>
        </w:rPr>
        <w:t>2025</w:t>
      </w:r>
      <w:r>
        <w:rPr>
          <w:rFonts w:eastAsia="仿宋_GB2312" w:hint="eastAsia"/>
          <w:kern w:val="2"/>
          <w:szCs w:val="32"/>
          <w:lang w:val="zh-CN"/>
        </w:rPr>
        <w:t>年度中央食品监管补助资金绩效自评工作。</w:t>
      </w:r>
    </w:p>
    <w:p w:rsidR="004B0FC1" w:rsidRDefault="00A976D9">
      <w:pPr>
        <w:pStyle w:val="NewNewNewNewNewNewNewNewNewNewNewNewNewNewNewNewNewNewNewNewNewNewNewNewNewNewNewNewNewNewNewNew"/>
        <w:pBdr>
          <w:top w:val="single" w:sz="4" w:space="0" w:color="FFFFFF"/>
          <w:left w:val="single" w:sz="4" w:space="31" w:color="FFFFFF"/>
          <w:bottom w:val="single" w:sz="4" w:space="31" w:color="FFFFFF"/>
          <w:right w:val="single" w:sz="4" w:space="0" w:color="FFFFFF"/>
        </w:pBdr>
        <w:suppressAutoHyphens/>
        <w:autoSpaceDE w:val="0"/>
        <w:autoSpaceDN w:val="0"/>
        <w:adjustRightInd w:val="0"/>
        <w:snapToGrid w:val="0"/>
        <w:spacing w:line="600" w:lineRule="exact"/>
        <w:ind w:firstLine="720"/>
        <w:rPr>
          <w:rFonts w:eastAsia="楷体_GB2312"/>
          <w:b/>
          <w:kern w:val="2"/>
          <w:szCs w:val="32"/>
          <w:lang w:val="zh-CN"/>
        </w:rPr>
      </w:pPr>
      <w:r>
        <w:rPr>
          <w:rFonts w:eastAsia="楷体_GB2312" w:hint="eastAsia"/>
          <w:b/>
          <w:kern w:val="2"/>
          <w:szCs w:val="32"/>
          <w:lang w:val="zh-CN"/>
        </w:rPr>
        <w:t>（二）评价工作中主要经验、问题和建议</w:t>
      </w:r>
    </w:p>
    <w:p w:rsidR="004B0FC1" w:rsidRDefault="00A976D9">
      <w:pPr>
        <w:pStyle w:val="NewNewNewNewNewNewNewNewNewNewNewNewNewNewNewNewNewNewNewNewNewNewNewNewNewNewNewNewNewNewNewNew"/>
        <w:pBdr>
          <w:top w:val="single" w:sz="4" w:space="0" w:color="FFFFFF"/>
          <w:left w:val="single" w:sz="4" w:space="31" w:color="FFFFFF"/>
          <w:bottom w:val="single" w:sz="4" w:space="31" w:color="FFFFFF"/>
          <w:right w:val="single" w:sz="4" w:space="0" w:color="FFFFFF"/>
        </w:pBdr>
        <w:suppressAutoHyphens/>
        <w:autoSpaceDE w:val="0"/>
        <w:autoSpaceDN w:val="0"/>
        <w:adjustRightInd w:val="0"/>
        <w:snapToGrid w:val="0"/>
        <w:spacing w:line="600" w:lineRule="exact"/>
        <w:ind w:firstLine="720"/>
        <w:rPr>
          <w:rFonts w:eastAsia="仿宋_GB2312"/>
          <w:kern w:val="2"/>
          <w:szCs w:val="32"/>
          <w:lang w:val="zh-CN"/>
        </w:rPr>
      </w:pPr>
      <w:r>
        <w:rPr>
          <w:rFonts w:eastAsia="仿宋_GB2312" w:hint="eastAsia"/>
          <w:kern w:val="2"/>
          <w:szCs w:val="32"/>
          <w:lang w:val="zh-CN"/>
        </w:rPr>
        <w:t>1.</w:t>
      </w:r>
      <w:r>
        <w:rPr>
          <w:rFonts w:eastAsia="仿宋_GB2312" w:hint="eastAsia"/>
          <w:kern w:val="2"/>
          <w:szCs w:val="32"/>
          <w:lang w:val="zh-CN"/>
        </w:rPr>
        <w:t>主要经验：提前归集整理日常工作中的绩效数据是关键；加强财务与业务科室的沟通协作，能更准确反映资金使用效益。</w:t>
      </w:r>
    </w:p>
    <w:p w:rsidR="004B0FC1" w:rsidRDefault="00A976D9">
      <w:pPr>
        <w:pStyle w:val="NewNewNewNewNewNewNewNewNewNewNewNewNewNewNewNewNewNewNewNewNewNewNewNewNewNewNewNewNewNewNewNew"/>
        <w:pBdr>
          <w:top w:val="single" w:sz="4" w:space="0" w:color="FFFFFF"/>
          <w:left w:val="single" w:sz="4" w:space="31" w:color="FFFFFF"/>
          <w:bottom w:val="single" w:sz="4" w:space="31" w:color="FFFFFF"/>
          <w:right w:val="single" w:sz="4" w:space="0" w:color="FFFFFF"/>
        </w:pBdr>
        <w:suppressAutoHyphens/>
        <w:autoSpaceDE w:val="0"/>
        <w:autoSpaceDN w:val="0"/>
        <w:adjustRightInd w:val="0"/>
        <w:snapToGrid w:val="0"/>
        <w:spacing w:line="600" w:lineRule="exact"/>
        <w:ind w:firstLine="720"/>
        <w:rPr>
          <w:rFonts w:eastAsia="仿宋_GB2312"/>
          <w:kern w:val="2"/>
          <w:szCs w:val="32"/>
          <w:lang w:val="zh-CN"/>
        </w:rPr>
      </w:pPr>
      <w:r>
        <w:rPr>
          <w:rFonts w:eastAsia="仿宋_GB2312" w:hint="eastAsia"/>
          <w:kern w:val="2"/>
          <w:szCs w:val="32"/>
          <w:lang w:val="zh-CN"/>
        </w:rPr>
        <w:t>2.</w:t>
      </w:r>
      <w:r>
        <w:rPr>
          <w:rFonts w:eastAsia="仿宋_GB2312" w:hint="eastAsia"/>
          <w:kern w:val="2"/>
          <w:szCs w:val="32"/>
          <w:lang w:val="zh-CN"/>
        </w:rPr>
        <w:t>存在问题及建议：绩效评价自评表中执行率计算公式不合理，建议应改为全年执行数</w:t>
      </w:r>
      <w:r>
        <w:rPr>
          <w:rFonts w:eastAsia="仿宋_GB2312" w:hint="eastAsia"/>
          <w:kern w:val="2"/>
          <w:szCs w:val="32"/>
          <w:lang w:val="zh-CN"/>
        </w:rPr>
        <w:t>/(</w:t>
      </w:r>
      <w:r>
        <w:rPr>
          <w:rFonts w:eastAsia="仿宋_GB2312" w:hint="eastAsia"/>
          <w:kern w:val="2"/>
          <w:szCs w:val="32"/>
          <w:lang w:val="zh-CN"/>
        </w:rPr>
        <w:t>上年结转数</w:t>
      </w:r>
      <w:r>
        <w:rPr>
          <w:rFonts w:eastAsia="仿宋_GB2312" w:hint="eastAsia"/>
          <w:kern w:val="2"/>
          <w:szCs w:val="32"/>
          <w:lang w:val="zh-CN"/>
        </w:rPr>
        <w:t>+</w:t>
      </w:r>
      <w:r>
        <w:rPr>
          <w:rFonts w:eastAsia="仿宋_GB2312" w:hint="eastAsia"/>
          <w:kern w:val="2"/>
          <w:szCs w:val="32"/>
          <w:lang w:val="zh-CN"/>
        </w:rPr>
        <w:t>当年预算数</w:t>
      </w:r>
      <w:r>
        <w:rPr>
          <w:rFonts w:eastAsia="仿宋_GB2312" w:hint="eastAsia"/>
          <w:kern w:val="2"/>
          <w:szCs w:val="32"/>
          <w:lang w:val="zh-CN"/>
        </w:rPr>
        <w:t>)*100%</w:t>
      </w:r>
      <w:r>
        <w:rPr>
          <w:rFonts w:eastAsia="仿宋_GB2312" w:hint="eastAsia"/>
          <w:kern w:val="2"/>
          <w:szCs w:val="32"/>
          <w:lang w:val="zh-CN"/>
        </w:rPr>
        <w:t>。</w:t>
      </w:r>
    </w:p>
    <w:p w:rsidR="004B0FC1" w:rsidRDefault="00A976D9">
      <w:pPr>
        <w:pStyle w:val="NewNewNewNewNewNewNewNewNewNewNewNewNewNewNewNewNewNewNewNewNewNewNewNewNewNewNewNewNewNewNewNew"/>
        <w:pBdr>
          <w:top w:val="single" w:sz="4" w:space="0" w:color="FFFFFF"/>
          <w:left w:val="single" w:sz="4" w:space="31" w:color="FFFFFF"/>
          <w:bottom w:val="single" w:sz="4" w:space="31" w:color="FFFFFF"/>
          <w:right w:val="single" w:sz="4" w:space="0" w:color="FFFFFF"/>
        </w:pBdr>
        <w:suppressAutoHyphens/>
        <w:autoSpaceDE w:val="0"/>
        <w:autoSpaceDN w:val="0"/>
        <w:adjustRightInd w:val="0"/>
        <w:snapToGrid w:val="0"/>
        <w:spacing w:line="600" w:lineRule="exact"/>
        <w:ind w:firstLine="720"/>
        <w:rPr>
          <w:rFonts w:eastAsia="黑体"/>
          <w:kern w:val="2"/>
          <w:szCs w:val="32"/>
        </w:rPr>
      </w:pPr>
      <w:r>
        <w:rPr>
          <w:rFonts w:eastAsia="黑体" w:hint="eastAsia"/>
          <w:kern w:val="2"/>
          <w:szCs w:val="32"/>
        </w:rPr>
        <w:t>七、其他需要说明的问题</w:t>
      </w:r>
    </w:p>
    <w:p w:rsidR="004B0FC1" w:rsidRDefault="00A976D9">
      <w:pPr>
        <w:pStyle w:val="NewNewNewNewNewNewNewNewNewNewNewNewNewNewNewNewNewNewNewNewNewNewNewNewNewNewNewNewNewNewNewNew"/>
        <w:pBdr>
          <w:top w:val="single" w:sz="4" w:space="0" w:color="FFFFFF"/>
          <w:left w:val="single" w:sz="4" w:space="31" w:color="FFFFFF"/>
          <w:bottom w:val="single" w:sz="4" w:space="31" w:color="FFFFFF"/>
          <w:right w:val="single" w:sz="4" w:space="0" w:color="FFFFFF"/>
        </w:pBdr>
        <w:suppressAutoHyphens/>
        <w:autoSpaceDE w:val="0"/>
        <w:autoSpaceDN w:val="0"/>
        <w:adjustRightInd w:val="0"/>
        <w:snapToGrid w:val="0"/>
        <w:spacing w:line="600" w:lineRule="exact"/>
        <w:ind w:firstLine="720"/>
        <w:rPr>
          <w:rFonts w:eastAsia="仿宋_GB2312"/>
          <w:kern w:val="2"/>
          <w:szCs w:val="32"/>
          <w:lang w:val="zh-CN"/>
        </w:rPr>
        <w:sectPr w:rsidR="004B0FC1">
          <w:footerReference w:type="default" r:id="rId22"/>
          <w:pgSz w:w="11906" w:h="16838"/>
          <w:pgMar w:top="2098" w:right="1474" w:bottom="1984" w:left="1587" w:header="907" w:footer="1644" w:gutter="0"/>
          <w:cols w:space="0"/>
          <w:docGrid w:type="linesAndChars" w:linePitch="579" w:charSpace="-842"/>
        </w:sectPr>
      </w:pPr>
      <w:r>
        <w:rPr>
          <w:rFonts w:eastAsia="仿宋_GB2312" w:hint="eastAsia"/>
          <w:kern w:val="2"/>
          <w:szCs w:val="32"/>
          <w:lang w:val="zh-CN"/>
        </w:rPr>
        <w:t>2025</w:t>
      </w:r>
      <w:r>
        <w:rPr>
          <w:rFonts w:eastAsia="仿宋_GB2312" w:hint="eastAsia"/>
          <w:kern w:val="2"/>
          <w:szCs w:val="32"/>
          <w:lang w:val="zh-CN"/>
        </w:rPr>
        <w:t>年，各级审计和财务监督中未发现本项目资金使用管理方面的问题</w:t>
      </w:r>
    </w:p>
    <w:p w:rsidR="004B0FC1" w:rsidRDefault="00A976D9">
      <w:pPr>
        <w:spacing w:before="101" w:line="360" w:lineRule="auto"/>
        <w:rPr>
          <w:rFonts w:ascii="黑体" w:eastAsia="黑体" w:hAnsi="黑体" w:cs="黑体"/>
          <w:sz w:val="31"/>
          <w:szCs w:val="31"/>
          <w:lang w:eastAsia="zh-CN"/>
        </w:rPr>
      </w:pPr>
      <w:r>
        <w:rPr>
          <w:rFonts w:ascii="黑体" w:eastAsia="黑体" w:hAnsi="黑体" w:cs="黑体"/>
          <w:spacing w:val="-2"/>
          <w:sz w:val="31"/>
          <w:szCs w:val="31"/>
          <w:lang w:eastAsia="zh-CN"/>
        </w:rPr>
        <w:lastRenderedPageBreak/>
        <w:t>附件2-2</w:t>
      </w:r>
    </w:p>
    <w:p w:rsidR="004B0FC1" w:rsidRDefault="00A976D9">
      <w:pPr>
        <w:widowControl w:val="0"/>
        <w:kinsoku/>
        <w:autoSpaceDE/>
        <w:autoSpaceDN/>
        <w:adjustRightInd/>
        <w:snapToGrid/>
        <w:spacing w:line="600" w:lineRule="exact"/>
        <w:jc w:val="center"/>
        <w:textAlignment w:val="auto"/>
        <w:rPr>
          <w:rFonts w:ascii="Times New Roman" w:eastAsia="方正小标宋简体" w:hAnsi="Times New Roman" w:cs="Times New Roman"/>
          <w:snapToGrid/>
          <w:kern w:val="2"/>
          <w:sz w:val="40"/>
          <w:szCs w:val="40"/>
          <w:lang w:eastAsia="zh-CN"/>
        </w:rPr>
      </w:pPr>
      <w:r>
        <w:rPr>
          <w:rFonts w:ascii="Times New Roman" w:eastAsia="方正小标宋简体" w:hAnsi="Times New Roman" w:cs="Times New Roman" w:hint="eastAsia"/>
          <w:snapToGrid/>
          <w:kern w:val="2"/>
          <w:sz w:val="40"/>
          <w:szCs w:val="40"/>
          <w:lang w:eastAsia="zh-CN"/>
        </w:rPr>
        <w:t>攀枝花市市场监督管理局</w:t>
      </w:r>
    </w:p>
    <w:p w:rsidR="004B0FC1" w:rsidRDefault="00A976D9">
      <w:pPr>
        <w:widowControl w:val="0"/>
        <w:kinsoku/>
        <w:autoSpaceDE/>
        <w:autoSpaceDN/>
        <w:adjustRightInd/>
        <w:snapToGrid/>
        <w:spacing w:line="600" w:lineRule="exact"/>
        <w:jc w:val="center"/>
        <w:textAlignment w:val="auto"/>
        <w:rPr>
          <w:rFonts w:ascii="Times New Roman" w:eastAsia="方正小标宋简体" w:hAnsi="Times New Roman" w:cs="Times New Roman"/>
          <w:snapToGrid/>
          <w:kern w:val="2"/>
          <w:sz w:val="40"/>
          <w:szCs w:val="40"/>
          <w:lang w:eastAsia="zh-CN"/>
        </w:rPr>
      </w:pPr>
      <w:r>
        <w:rPr>
          <w:rFonts w:ascii="Times New Roman" w:eastAsia="方正小标宋简体" w:hAnsi="Times New Roman" w:cs="Times New Roman" w:hint="eastAsia"/>
          <w:snapToGrid/>
          <w:kern w:val="2"/>
          <w:sz w:val="40"/>
          <w:szCs w:val="40"/>
          <w:lang w:eastAsia="zh-CN"/>
        </w:rPr>
        <w:t>2025</w:t>
      </w:r>
      <w:r>
        <w:rPr>
          <w:rFonts w:ascii="Times New Roman" w:eastAsia="方正小标宋简体" w:hAnsi="Times New Roman" w:cs="Times New Roman" w:hint="eastAsia"/>
          <w:snapToGrid/>
          <w:kern w:val="2"/>
          <w:sz w:val="40"/>
          <w:szCs w:val="40"/>
          <w:lang w:eastAsia="zh-CN"/>
        </w:rPr>
        <w:t>年中央财政药品监管资金绩效自评报告</w:t>
      </w:r>
    </w:p>
    <w:p w:rsidR="004B0FC1" w:rsidRDefault="004B0FC1">
      <w:pPr>
        <w:pStyle w:val="a0"/>
        <w:rPr>
          <w:sz w:val="40"/>
          <w:szCs w:val="40"/>
          <w:lang w:eastAsia="zh-CN"/>
        </w:rPr>
      </w:pPr>
    </w:p>
    <w:p w:rsidR="004B0FC1" w:rsidRDefault="00A976D9">
      <w:pPr>
        <w:widowControl w:val="0"/>
        <w:kinsoku/>
        <w:autoSpaceDE/>
        <w:autoSpaceDN/>
        <w:spacing w:line="578" w:lineRule="exact"/>
        <w:ind w:firstLineChars="200" w:firstLine="632"/>
        <w:jc w:val="both"/>
        <w:textAlignment w:val="auto"/>
        <w:rPr>
          <w:rFonts w:ascii="Times New Roman" w:eastAsia="黑体" w:hAnsi="Times New Roman" w:cs="Times New Roman"/>
          <w:snapToGrid/>
          <w:kern w:val="2"/>
          <w:sz w:val="32"/>
          <w:szCs w:val="32"/>
          <w:lang w:val="zh-CN" w:eastAsia="zh-CN"/>
        </w:rPr>
      </w:pPr>
      <w:r>
        <w:rPr>
          <w:rFonts w:ascii="Times New Roman" w:eastAsia="黑体" w:hAnsi="Times New Roman" w:cs="Times New Roman" w:hint="eastAsia"/>
          <w:snapToGrid/>
          <w:kern w:val="2"/>
          <w:sz w:val="32"/>
          <w:szCs w:val="32"/>
          <w:lang w:eastAsia="zh-CN"/>
        </w:rPr>
        <w:t>一、</w:t>
      </w:r>
      <w:r>
        <w:rPr>
          <w:rFonts w:ascii="Times New Roman" w:eastAsia="黑体" w:hAnsi="Times New Roman" w:cs="Times New Roman" w:hint="eastAsia"/>
          <w:snapToGrid/>
          <w:kern w:val="2"/>
          <w:sz w:val="32"/>
          <w:szCs w:val="32"/>
          <w:lang w:val="zh-CN" w:eastAsia="zh-CN"/>
        </w:rPr>
        <w:t>项目概况</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hint="eastAsia"/>
          <w:b/>
          <w:snapToGrid/>
          <w:kern w:val="2"/>
          <w:sz w:val="32"/>
          <w:szCs w:val="32"/>
          <w:lang w:val="zh-CN" w:eastAsia="zh-CN"/>
        </w:rPr>
        <w:t>（一）实施目的及支持方向。</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年项目涉及市市场监管局本级、</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个所属事业单位及</w:t>
      </w:r>
      <w:r>
        <w:rPr>
          <w:rFonts w:ascii="Times New Roman" w:eastAsia="仿宋_GB2312" w:hAnsi="Times New Roman" w:cs="Times New Roman" w:hint="eastAsia"/>
          <w:snapToGrid/>
          <w:kern w:val="2"/>
          <w:sz w:val="32"/>
          <w:szCs w:val="32"/>
          <w:lang w:val="zh-CN" w:eastAsia="zh-CN"/>
        </w:rPr>
        <w:t>5</w:t>
      </w:r>
      <w:r>
        <w:rPr>
          <w:rFonts w:ascii="Times New Roman" w:eastAsia="仿宋_GB2312" w:hAnsi="Times New Roman" w:cs="Times New Roman" w:hint="eastAsia"/>
          <w:snapToGrid/>
          <w:kern w:val="2"/>
          <w:sz w:val="32"/>
          <w:szCs w:val="32"/>
          <w:lang w:val="zh-CN" w:eastAsia="zh-CN"/>
        </w:rPr>
        <w:t>个县（区）市场监督管理局。</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通过组织实施国家药监局、省药监局下达药品专项整治、药品安全宣传与舆情监测、药品综合监管、不良反应监测和药物滥用监测等工作任务，进一步提高我市药品监管水平，严守药品安全底线，助力医药产业发展，实现攀枝花市药品安全的高质量发展。</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hint="eastAsia"/>
          <w:b/>
          <w:snapToGrid/>
          <w:kern w:val="2"/>
          <w:sz w:val="32"/>
          <w:szCs w:val="32"/>
          <w:lang w:val="zh-CN" w:eastAsia="zh-CN"/>
        </w:rPr>
        <w:t>（二）预算安排及分配管理。</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根据《四川省财政厅</w:t>
      </w:r>
      <w:r>
        <w:rPr>
          <w:rFonts w:ascii="Times New Roman" w:eastAsia="仿宋_GB2312" w:hAnsi="Times New Roman" w:cs="Times New Roman" w:hint="eastAsia"/>
          <w:snapToGrid/>
          <w:kern w:val="2"/>
          <w:sz w:val="32"/>
          <w:szCs w:val="32"/>
          <w:lang w:val="zh-CN" w:eastAsia="zh-CN"/>
        </w:rPr>
        <w:t xml:space="preserve"> </w:t>
      </w:r>
      <w:r>
        <w:rPr>
          <w:rFonts w:ascii="Times New Roman" w:eastAsia="仿宋_GB2312" w:hAnsi="Times New Roman" w:cs="Times New Roman" w:hint="eastAsia"/>
          <w:snapToGrid/>
          <w:kern w:val="2"/>
          <w:sz w:val="32"/>
          <w:szCs w:val="32"/>
          <w:lang w:val="zh-CN" w:eastAsia="zh-CN"/>
        </w:rPr>
        <w:t>四川省药品监督管理局关于提前通知</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年中央财政药品监管补助资金预算的通知》（</w:t>
      </w:r>
      <w:proofErr w:type="gramStart"/>
      <w:r>
        <w:rPr>
          <w:rFonts w:ascii="Times New Roman" w:eastAsia="仿宋_GB2312" w:hAnsi="Times New Roman" w:cs="Times New Roman" w:hint="eastAsia"/>
          <w:snapToGrid/>
          <w:kern w:val="2"/>
          <w:sz w:val="32"/>
          <w:szCs w:val="32"/>
          <w:lang w:val="zh-CN" w:eastAsia="zh-CN"/>
        </w:rPr>
        <w:t>川财行</w:t>
      </w:r>
      <w:proofErr w:type="gramEnd"/>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2024</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145</w:t>
      </w:r>
      <w:r>
        <w:rPr>
          <w:rFonts w:ascii="Times New Roman" w:eastAsia="仿宋_GB2312" w:hAnsi="Times New Roman" w:cs="Times New Roman" w:hint="eastAsia"/>
          <w:snapToGrid/>
          <w:kern w:val="2"/>
          <w:sz w:val="32"/>
          <w:szCs w:val="32"/>
          <w:lang w:val="zh-CN" w:eastAsia="zh-CN"/>
        </w:rPr>
        <w:t>号）和《四川省财政厅</w:t>
      </w:r>
      <w:r>
        <w:rPr>
          <w:rFonts w:ascii="Times New Roman" w:eastAsia="仿宋_GB2312" w:hAnsi="Times New Roman" w:cs="Times New Roman" w:hint="eastAsia"/>
          <w:snapToGrid/>
          <w:kern w:val="2"/>
          <w:sz w:val="32"/>
          <w:szCs w:val="32"/>
          <w:lang w:val="zh-CN" w:eastAsia="zh-CN"/>
        </w:rPr>
        <w:t xml:space="preserve"> </w:t>
      </w:r>
      <w:r>
        <w:rPr>
          <w:rFonts w:ascii="Times New Roman" w:eastAsia="仿宋_GB2312" w:hAnsi="Times New Roman" w:cs="Times New Roman" w:hint="eastAsia"/>
          <w:snapToGrid/>
          <w:kern w:val="2"/>
          <w:sz w:val="32"/>
          <w:szCs w:val="32"/>
          <w:lang w:val="zh-CN" w:eastAsia="zh-CN"/>
        </w:rPr>
        <w:t>四川省药品监督管理局关于下达</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年中央财政药品监管补助资金的通知》（</w:t>
      </w:r>
      <w:proofErr w:type="gramStart"/>
      <w:r>
        <w:rPr>
          <w:rFonts w:ascii="Times New Roman" w:eastAsia="仿宋_GB2312" w:hAnsi="Times New Roman" w:cs="Times New Roman" w:hint="eastAsia"/>
          <w:snapToGrid/>
          <w:kern w:val="2"/>
          <w:sz w:val="32"/>
          <w:szCs w:val="32"/>
          <w:lang w:val="zh-CN" w:eastAsia="zh-CN"/>
        </w:rPr>
        <w:t>川财行</w:t>
      </w:r>
      <w:proofErr w:type="gramEnd"/>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59</w:t>
      </w:r>
      <w:r>
        <w:rPr>
          <w:rFonts w:ascii="Times New Roman" w:eastAsia="仿宋_GB2312" w:hAnsi="Times New Roman" w:cs="Times New Roman" w:hint="eastAsia"/>
          <w:snapToGrid/>
          <w:kern w:val="2"/>
          <w:sz w:val="32"/>
          <w:szCs w:val="32"/>
          <w:lang w:val="zh-CN" w:eastAsia="zh-CN"/>
        </w:rPr>
        <w:t>号）文要求，安排我市中央药品专项资金</w:t>
      </w:r>
      <w:r>
        <w:rPr>
          <w:rFonts w:ascii="Times New Roman" w:eastAsia="仿宋_GB2312" w:hAnsi="Times New Roman" w:cs="Times New Roman" w:hint="eastAsia"/>
          <w:snapToGrid/>
          <w:kern w:val="2"/>
          <w:sz w:val="32"/>
          <w:szCs w:val="32"/>
          <w:lang w:val="zh-CN" w:eastAsia="zh-CN"/>
        </w:rPr>
        <w:t>61</w:t>
      </w:r>
      <w:r>
        <w:rPr>
          <w:rFonts w:ascii="Times New Roman" w:eastAsia="仿宋_GB2312" w:hAnsi="Times New Roman" w:cs="Times New Roman" w:hint="eastAsia"/>
          <w:snapToGrid/>
          <w:kern w:val="2"/>
          <w:sz w:val="32"/>
          <w:szCs w:val="32"/>
          <w:lang w:val="zh-CN" w:eastAsia="zh-CN"/>
        </w:rPr>
        <w:t>万元。攀枝花市市场监管局按照专项资金管理办法，由相关业务科室按照省药监局下达的专项实施方案及绩效目标任务，综合考虑</w:t>
      </w:r>
      <w:r>
        <w:rPr>
          <w:rFonts w:ascii="Times New Roman" w:eastAsia="仿宋_GB2312" w:hAnsi="Times New Roman" w:cs="Times New Roman" w:hint="eastAsia"/>
          <w:snapToGrid/>
          <w:kern w:val="2"/>
          <w:sz w:val="32"/>
          <w:szCs w:val="32"/>
          <w:lang w:val="zh-CN" w:eastAsia="zh-CN"/>
        </w:rPr>
        <w:lastRenderedPageBreak/>
        <w:t>专项工作任务、年度重点工作安排、药品监管企业数等因素确定专项工作任务、专项项目及资金分配方案，局财务科汇总形成中央药品监管专项资金分配建议方案，经攀枝花市市场监管局党组会议研究审议通过后，</w:t>
      </w:r>
      <w:proofErr w:type="gramStart"/>
      <w:r>
        <w:rPr>
          <w:rFonts w:ascii="Times New Roman" w:eastAsia="仿宋_GB2312" w:hAnsi="Times New Roman" w:cs="Times New Roman" w:hint="eastAsia"/>
          <w:snapToGrid/>
          <w:kern w:val="2"/>
          <w:sz w:val="32"/>
          <w:szCs w:val="32"/>
          <w:lang w:val="zh-CN" w:eastAsia="zh-CN"/>
        </w:rPr>
        <w:t>会商市</w:t>
      </w:r>
      <w:proofErr w:type="gramEnd"/>
      <w:r>
        <w:rPr>
          <w:rFonts w:ascii="Times New Roman" w:eastAsia="仿宋_GB2312" w:hAnsi="Times New Roman" w:cs="Times New Roman" w:hint="eastAsia"/>
          <w:snapToGrid/>
          <w:kern w:val="2"/>
          <w:sz w:val="32"/>
          <w:szCs w:val="32"/>
          <w:lang w:val="zh-CN" w:eastAsia="zh-CN"/>
        </w:rPr>
        <w:t>财政局联合发文报市政府同意后，由攀枝花市财政局下达资金。资金分配具体情况如下：</w:t>
      </w:r>
    </w:p>
    <w:p w:rsidR="004B0FC1" w:rsidRDefault="00A976D9">
      <w:pPr>
        <w:widowControl w:val="0"/>
        <w:kinsoku/>
        <w:autoSpaceDE/>
        <w:autoSpaceDN/>
        <w:spacing w:line="600" w:lineRule="exact"/>
        <w:ind w:firstLine="720"/>
        <w:jc w:val="center"/>
        <w:textAlignment w:val="auto"/>
        <w:rPr>
          <w:rFonts w:ascii="Times New Roman" w:eastAsia="仿宋_GB2312" w:hAnsi="Times New Roman" w:cs="Times New Roman"/>
          <w:b/>
          <w:bCs/>
          <w:snapToGrid/>
          <w:kern w:val="2"/>
          <w:sz w:val="32"/>
          <w:szCs w:val="32"/>
          <w:lang w:val="zh-CN" w:eastAsia="zh-CN"/>
        </w:rPr>
      </w:pPr>
      <w:r>
        <w:rPr>
          <w:rFonts w:ascii="Times New Roman" w:eastAsia="仿宋_GB2312" w:hAnsi="Times New Roman" w:cs="Times New Roman"/>
          <w:b/>
          <w:bCs/>
          <w:snapToGrid/>
          <w:kern w:val="2"/>
          <w:sz w:val="32"/>
          <w:szCs w:val="32"/>
          <w:lang w:val="zh-CN" w:eastAsia="zh-CN"/>
        </w:rPr>
        <w:t>2025</w:t>
      </w:r>
      <w:r>
        <w:rPr>
          <w:rFonts w:ascii="Times New Roman" w:eastAsia="仿宋_GB2312" w:hAnsi="Times New Roman" w:cs="Times New Roman"/>
          <w:b/>
          <w:bCs/>
          <w:snapToGrid/>
          <w:kern w:val="2"/>
          <w:sz w:val="32"/>
          <w:szCs w:val="32"/>
          <w:lang w:val="zh-CN" w:eastAsia="zh-CN"/>
        </w:rPr>
        <w:t>年中央财政药品监管补助资金分配表</w:t>
      </w:r>
    </w:p>
    <w:p w:rsidR="004B0FC1" w:rsidRDefault="00A976D9">
      <w:pPr>
        <w:spacing w:line="560" w:lineRule="exact"/>
        <w:ind w:firstLineChars="200" w:firstLine="472"/>
        <w:jc w:val="right"/>
        <w:rPr>
          <w:rFonts w:ascii="方正仿宋_GBK" w:eastAsia="方正仿宋_GBK"/>
          <w:sz w:val="24"/>
          <w:szCs w:val="24"/>
        </w:rPr>
      </w:pPr>
      <w:r>
        <w:rPr>
          <w:rFonts w:ascii="方正仿宋_GBK" w:eastAsia="方正仿宋_GBK" w:hint="eastAsia"/>
          <w:sz w:val="24"/>
          <w:szCs w:val="24"/>
        </w:rPr>
        <w:t>金额单位：万元</w:t>
      </w:r>
    </w:p>
    <w:tbl>
      <w:tblPr>
        <w:tblW w:w="8700" w:type="dxa"/>
        <w:tblInd w:w="93" w:type="dxa"/>
        <w:tblLayout w:type="fixed"/>
        <w:tblLook w:val="04A0" w:firstRow="1" w:lastRow="0" w:firstColumn="1" w:lastColumn="0" w:noHBand="0" w:noVBand="1"/>
      </w:tblPr>
      <w:tblGrid>
        <w:gridCol w:w="2400"/>
        <w:gridCol w:w="1420"/>
        <w:gridCol w:w="1380"/>
        <w:gridCol w:w="1700"/>
        <w:gridCol w:w="1800"/>
      </w:tblGrid>
      <w:tr w:rsidR="004B0FC1">
        <w:trPr>
          <w:trHeight w:val="358"/>
        </w:trPr>
        <w:tc>
          <w:tcPr>
            <w:tcW w:w="24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4B0FC1" w:rsidRDefault="00A976D9">
            <w:pPr>
              <w:jc w:val="center"/>
              <w:rPr>
                <w:rFonts w:eastAsia="仿宋"/>
                <w:kern w:val="2"/>
                <w:sz w:val="24"/>
                <w:szCs w:val="22"/>
              </w:rPr>
            </w:pPr>
            <w:r>
              <w:rPr>
                <w:rFonts w:eastAsia="仿宋" w:hint="eastAsia"/>
                <w:kern w:val="2"/>
                <w:sz w:val="24"/>
                <w:szCs w:val="22"/>
              </w:rPr>
              <w:t>单位</w:t>
            </w:r>
          </w:p>
        </w:tc>
        <w:tc>
          <w:tcPr>
            <w:tcW w:w="6300" w:type="dxa"/>
            <w:gridSpan w:val="4"/>
            <w:tcBorders>
              <w:top w:val="single" w:sz="4" w:space="0" w:color="auto"/>
              <w:left w:val="nil"/>
              <w:bottom w:val="single" w:sz="4" w:space="0" w:color="auto"/>
              <w:right w:val="single" w:sz="4" w:space="0" w:color="auto"/>
            </w:tcBorders>
            <w:shd w:val="clear" w:color="auto" w:fill="auto"/>
            <w:vAlign w:val="center"/>
          </w:tcPr>
          <w:p w:rsidR="004B0FC1" w:rsidRDefault="00A976D9">
            <w:pPr>
              <w:jc w:val="center"/>
              <w:rPr>
                <w:rFonts w:eastAsia="仿宋"/>
                <w:kern w:val="2"/>
                <w:sz w:val="24"/>
                <w:szCs w:val="22"/>
                <w:lang w:eastAsia="zh-CN"/>
              </w:rPr>
            </w:pPr>
            <w:r>
              <w:rPr>
                <w:rFonts w:eastAsia="仿宋" w:hint="eastAsia"/>
                <w:kern w:val="2"/>
                <w:sz w:val="24"/>
                <w:szCs w:val="22"/>
                <w:lang w:eastAsia="zh-CN"/>
              </w:rPr>
              <w:t>中央财政药品监管补助资金</w:t>
            </w:r>
          </w:p>
        </w:tc>
      </w:tr>
      <w:tr w:rsidR="004B0FC1">
        <w:trPr>
          <w:trHeight w:val="624"/>
        </w:trPr>
        <w:tc>
          <w:tcPr>
            <w:tcW w:w="2400"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4B0FC1" w:rsidRDefault="004B0FC1">
            <w:pPr>
              <w:jc w:val="center"/>
              <w:rPr>
                <w:rFonts w:eastAsia="仿宋"/>
                <w:kern w:val="2"/>
                <w:sz w:val="24"/>
                <w:szCs w:val="22"/>
                <w:lang w:eastAsia="zh-CN"/>
              </w:rPr>
            </w:pPr>
          </w:p>
        </w:tc>
        <w:tc>
          <w:tcPr>
            <w:tcW w:w="1420" w:type="dxa"/>
            <w:vMerge w:val="restart"/>
            <w:tcBorders>
              <w:top w:val="nil"/>
              <w:left w:val="single" w:sz="4" w:space="0" w:color="auto"/>
              <w:bottom w:val="single" w:sz="4" w:space="0" w:color="auto"/>
              <w:right w:val="single" w:sz="4" w:space="0" w:color="auto"/>
            </w:tcBorders>
            <w:shd w:val="clear" w:color="auto" w:fill="auto"/>
            <w:vAlign w:val="center"/>
          </w:tcPr>
          <w:p w:rsidR="004B0FC1" w:rsidRDefault="00A976D9">
            <w:pPr>
              <w:jc w:val="center"/>
              <w:rPr>
                <w:rFonts w:eastAsia="仿宋"/>
                <w:kern w:val="2"/>
                <w:sz w:val="24"/>
                <w:szCs w:val="22"/>
              </w:rPr>
            </w:pPr>
            <w:r>
              <w:rPr>
                <w:rFonts w:eastAsia="仿宋" w:hint="eastAsia"/>
                <w:kern w:val="2"/>
                <w:sz w:val="24"/>
                <w:szCs w:val="22"/>
              </w:rPr>
              <w:t>小计</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rsidR="004B0FC1" w:rsidRDefault="00A976D9">
            <w:pPr>
              <w:jc w:val="center"/>
              <w:rPr>
                <w:rFonts w:eastAsia="仿宋"/>
                <w:kern w:val="2"/>
                <w:sz w:val="24"/>
                <w:szCs w:val="22"/>
              </w:rPr>
            </w:pPr>
            <w:r>
              <w:rPr>
                <w:rFonts w:eastAsia="仿宋" w:hint="eastAsia"/>
                <w:kern w:val="2"/>
                <w:sz w:val="24"/>
                <w:szCs w:val="22"/>
              </w:rPr>
              <w:t>药品综合监管</w:t>
            </w:r>
          </w:p>
        </w:tc>
        <w:tc>
          <w:tcPr>
            <w:tcW w:w="1700" w:type="dxa"/>
            <w:vMerge w:val="restart"/>
            <w:tcBorders>
              <w:top w:val="nil"/>
              <w:left w:val="single" w:sz="4" w:space="0" w:color="auto"/>
              <w:bottom w:val="single" w:sz="4" w:space="0" w:color="auto"/>
              <w:right w:val="single" w:sz="4" w:space="0" w:color="auto"/>
            </w:tcBorders>
            <w:shd w:val="clear" w:color="auto" w:fill="auto"/>
            <w:vAlign w:val="center"/>
          </w:tcPr>
          <w:p w:rsidR="004B0FC1" w:rsidRDefault="00A976D9">
            <w:pPr>
              <w:jc w:val="center"/>
              <w:rPr>
                <w:rFonts w:eastAsia="仿宋"/>
                <w:kern w:val="2"/>
                <w:sz w:val="24"/>
                <w:szCs w:val="22"/>
              </w:rPr>
            </w:pPr>
            <w:r>
              <w:rPr>
                <w:rFonts w:eastAsia="仿宋" w:hint="eastAsia"/>
                <w:kern w:val="2"/>
                <w:sz w:val="24"/>
                <w:szCs w:val="22"/>
              </w:rPr>
              <w:t>药品不良反应监测</w:t>
            </w:r>
          </w:p>
        </w:tc>
        <w:tc>
          <w:tcPr>
            <w:tcW w:w="1800" w:type="dxa"/>
            <w:vMerge w:val="restart"/>
            <w:tcBorders>
              <w:top w:val="nil"/>
              <w:left w:val="single" w:sz="4" w:space="0" w:color="auto"/>
              <w:bottom w:val="single" w:sz="4" w:space="0" w:color="auto"/>
              <w:right w:val="single" w:sz="4" w:space="0" w:color="auto"/>
            </w:tcBorders>
            <w:shd w:val="clear" w:color="auto" w:fill="auto"/>
            <w:vAlign w:val="center"/>
          </w:tcPr>
          <w:p w:rsidR="004B0FC1" w:rsidRDefault="00A976D9">
            <w:pPr>
              <w:jc w:val="center"/>
              <w:rPr>
                <w:rFonts w:eastAsia="仿宋"/>
                <w:kern w:val="2"/>
                <w:sz w:val="24"/>
                <w:szCs w:val="22"/>
              </w:rPr>
            </w:pPr>
            <w:r>
              <w:rPr>
                <w:rFonts w:eastAsia="仿宋" w:hint="eastAsia"/>
                <w:kern w:val="2"/>
                <w:sz w:val="24"/>
                <w:szCs w:val="22"/>
              </w:rPr>
              <w:t>因素分配</w:t>
            </w:r>
          </w:p>
        </w:tc>
      </w:tr>
      <w:tr w:rsidR="004B0FC1">
        <w:trPr>
          <w:trHeight w:val="624"/>
        </w:trPr>
        <w:tc>
          <w:tcPr>
            <w:tcW w:w="2400" w:type="dxa"/>
            <w:vMerge/>
            <w:tcBorders>
              <w:top w:val="single" w:sz="4" w:space="0" w:color="auto"/>
              <w:left w:val="single" w:sz="4" w:space="0" w:color="auto"/>
              <w:bottom w:val="single" w:sz="4" w:space="0" w:color="000000"/>
              <w:right w:val="single" w:sz="4" w:space="0" w:color="auto"/>
            </w:tcBorders>
            <w:vAlign w:val="center"/>
          </w:tcPr>
          <w:p w:rsidR="004B0FC1" w:rsidRDefault="004B0FC1">
            <w:pPr>
              <w:jc w:val="center"/>
              <w:rPr>
                <w:rFonts w:eastAsia="仿宋"/>
                <w:kern w:val="2"/>
                <w:sz w:val="24"/>
                <w:szCs w:val="22"/>
              </w:rPr>
            </w:pPr>
          </w:p>
        </w:tc>
        <w:tc>
          <w:tcPr>
            <w:tcW w:w="1420" w:type="dxa"/>
            <w:vMerge/>
            <w:tcBorders>
              <w:top w:val="nil"/>
              <w:left w:val="single" w:sz="4" w:space="0" w:color="auto"/>
              <w:bottom w:val="single" w:sz="4" w:space="0" w:color="auto"/>
              <w:right w:val="single" w:sz="4" w:space="0" w:color="auto"/>
            </w:tcBorders>
            <w:vAlign w:val="center"/>
          </w:tcPr>
          <w:p w:rsidR="004B0FC1" w:rsidRDefault="004B0FC1">
            <w:pPr>
              <w:jc w:val="center"/>
              <w:rPr>
                <w:rFonts w:eastAsia="仿宋"/>
                <w:kern w:val="2"/>
                <w:sz w:val="24"/>
                <w:szCs w:val="22"/>
              </w:rPr>
            </w:pPr>
          </w:p>
        </w:tc>
        <w:tc>
          <w:tcPr>
            <w:tcW w:w="1380" w:type="dxa"/>
            <w:vMerge/>
            <w:tcBorders>
              <w:top w:val="nil"/>
              <w:left w:val="single" w:sz="4" w:space="0" w:color="auto"/>
              <w:bottom w:val="single" w:sz="4" w:space="0" w:color="auto"/>
              <w:right w:val="single" w:sz="4" w:space="0" w:color="auto"/>
            </w:tcBorders>
            <w:vAlign w:val="center"/>
          </w:tcPr>
          <w:p w:rsidR="004B0FC1" w:rsidRDefault="004B0FC1">
            <w:pPr>
              <w:jc w:val="center"/>
              <w:rPr>
                <w:rFonts w:eastAsia="仿宋"/>
                <w:kern w:val="2"/>
                <w:sz w:val="24"/>
                <w:szCs w:val="22"/>
              </w:rPr>
            </w:pPr>
          </w:p>
        </w:tc>
        <w:tc>
          <w:tcPr>
            <w:tcW w:w="1700" w:type="dxa"/>
            <w:vMerge/>
            <w:tcBorders>
              <w:top w:val="nil"/>
              <w:left w:val="single" w:sz="4" w:space="0" w:color="auto"/>
              <w:bottom w:val="single" w:sz="4" w:space="0" w:color="auto"/>
              <w:right w:val="single" w:sz="4" w:space="0" w:color="auto"/>
            </w:tcBorders>
            <w:vAlign w:val="center"/>
          </w:tcPr>
          <w:p w:rsidR="004B0FC1" w:rsidRDefault="004B0FC1">
            <w:pPr>
              <w:jc w:val="center"/>
              <w:rPr>
                <w:rFonts w:eastAsia="仿宋"/>
                <w:kern w:val="2"/>
                <w:sz w:val="24"/>
                <w:szCs w:val="22"/>
              </w:rPr>
            </w:pPr>
          </w:p>
        </w:tc>
        <w:tc>
          <w:tcPr>
            <w:tcW w:w="1800" w:type="dxa"/>
            <w:vMerge/>
            <w:tcBorders>
              <w:top w:val="nil"/>
              <w:left w:val="single" w:sz="4" w:space="0" w:color="auto"/>
              <w:bottom w:val="single" w:sz="4" w:space="0" w:color="auto"/>
              <w:right w:val="single" w:sz="4" w:space="0" w:color="auto"/>
            </w:tcBorders>
            <w:vAlign w:val="center"/>
          </w:tcPr>
          <w:p w:rsidR="004B0FC1" w:rsidRDefault="004B0FC1">
            <w:pPr>
              <w:jc w:val="center"/>
              <w:rPr>
                <w:rFonts w:eastAsia="仿宋"/>
                <w:kern w:val="2"/>
                <w:sz w:val="24"/>
                <w:szCs w:val="22"/>
              </w:rPr>
            </w:pPr>
          </w:p>
        </w:tc>
      </w:tr>
      <w:tr w:rsidR="004B0FC1">
        <w:trPr>
          <w:trHeight w:val="412"/>
        </w:trPr>
        <w:tc>
          <w:tcPr>
            <w:tcW w:w="2400" w:type="dxa"/>
            <w:tcBorders>
              <w:top w:val="nil"/>
              <w:left w:val="single" w:sz="4" w:space="0" w:color="auto"/>
              <w:bottom w:val="single" w:sz="4" w:space="0" w:color="auto"/>
              <w:right w:val="single" w:sz="4" w:space="0" w:color="auto"/>
            </w:tcBorders>
            <w:shd w:val="clear" w:color="auto" w:fill="auto"/>
            <w:vAlign w:val="center"/>
          </w:tcPr>
          <w:p w:rsidR="004B0FC1" w:rsidRDefault="00A976D9">
            <w:pPr>
              <w:jc w:val="center"/>
              <w:rPr>
                <w:rFonts w:eastAsia="仿宋"/>
                <w:kern w:val="2"/>
                <w:sz w:val="24"/>
                <w:szCs w:val="22"/>
              </w:rPr>
            </w:pPr>
            <w:r>
              <w:rPr>
                <w:rFonts w:eastAsia="仿宋" w:hint="eastAsia"/>
                <w:kern w:val="2"/>
                <w:sz w:val="24"/>
                <w:szCs w:val="22"/>
              </w:rPr>
              <w:t>市市场监管局</w:t>
            </w:r>
          </w:p>
        </w:tc>
        <w:tc>
          <w:tcPr>
            <w:tcW w:w="1420" w:type="dxa"/>
            <w:tcBorders>
              <w:top w:val="nil"/>
              <w:left w:val="nil"/>
              <w:bottom w:val="single" w:sz="4" w:space="0" w:color="auto"/>
              <w:right w:val="single" w:sz="4" w:space="0" w:color="auto"/>
            </w:tcBorders>
            <w:shd w:val="clear" w:color="auto" w:fill="auto"/>
            <w:noWrap/>
            <w:vAlign w:val="center"/>
          </w:tcPr>
          <w:p w:rsidR="004B0FC1" w:rsidRDefault="00A976D9">
            <w:pPr>
              <w:jc w:val="center"/>
              <w:rPr>
                <w:rFonts w:eastAsia="仿宋"/>
                <w:kern w:val="2"/>
                <w:sz w:val="24"/>
                <w:szCs w:val="22"/>
              </w:rPr>
            </w:pPr>
            <w:r>
              <w:rPr>
                <w:rFonts w:eastAsia="仿宋"/>
                <w:kern w:val="2"/>
                <w:sz w:val="24"/>
                <w:szCs w:val="22"/>
              </w:rPr>
              <w:t>16.84</w:t>
            </w:r>
          </w:p>
        </w:tc>
        <w:tc>
          <w:tcPr>
            <w:tcW w:w="1380" w:type="dxa"/>
            <w:tcBorders>
              <w:top w:val="nil"/>
              <w:left w:val="nil"/>
              <w:bottom w:val="single" w:sz="4" w:space="0" w:color="auto"/>
              <w:right w:val="single" w:sz="4" w:space="0" w:color="auto"/>
            </w:tcBorders>
            <w:shd w:val="clear" w:color="auto" w:fill="auto"/>
            <w:noWrap/>
            <w:vAlign w:val="center"/>
          </w:tcPr>
          <w:p w:rsidR="004B0FC1" w:rsidRDefault="00A976D9">
            <w:pPr>
              <w:jc w:val="center"/>
              <w:rPr>
                <w:rFonts w:eastAsia="仿宋"/>
                <w:kern w:val="2"/>
                <w:sz w:val="24"/>
                <w:szCs w:val="22"/>
              </w:rPr>
            </w:pPr>
            <w:r>
              <w:rPr>
                <w:rFonts w:eastAsia="仿宋"/>
                <w:kern w:val="2"/>
                <w:sz w:val="24"/>
                <w:szCs w:val="22"/>
              </w:rPr>
              <w:t>16.84</w:t>
            </w:r>
          </w:p>
        </w:tc>
        <w:tc>
          <w:tcPr>
            <w:tcW w:w="1700" w:type="dxa"/>
            <w:tcBorders>
              <w:top w:val="nil"/>
              <w:left w:val="nil"/>
              <w:bottom w:val="single" w:sz="4" w:space="0" w:color="auto"/>
              <w:right w:val="single" w:sz="4" w:space="0" w:color="auto"/>
            </w:tcBorders>
            <w:shd w:val="clear" w:color="auto" w:fill="auto"/>
            <w:noWrap/>
            <w:vAlign w:val="center"/>
          </w:tcPr>
          <w:p w:rsidR="004B0FC1" w:rsidRDefault="004B0FC1">
            <w:pPr>
              <w:jc w:val="center"/>
              <w:rPr>
                <w:rFonts w:eastAsia="仿宋"/>
                <w:kern w:val="2"/>
                <w:sz w:val="24"/>
                <w:szCs w:val="22"/>
              </w:rPr>
            </w:pPr>
          </w:p>
        </w:tc>
        <w:tc>
          <w:tcPr>
            <w:tcW w:w="1800" w:type="dxa"/>
            <w:tcBorders>
              <w:top w:val="nil"/>
              <w:left w:val="nil"/>
              <w:bottom w:val="single" w:sz="4" w:space="0" w:color="auto"/>
              <w:right w:val="single" w:sz="4" w:space="0" w:color="auto"/>
            </w:tcBorders>
            <w:shd w:val="clear" w:color="auto" w:fill="auto"/>
            <w:noWrap/>
            <w:vAlign w:val="center"/>
          </w:tcPr>
          <w:p w:rsidR="004B0FC1" w:rsidRDefault="004B0FC1">
            <w:pPr>
              <w:jc w:val="center"/>
              <w:rPr>
                <w:rFonts w:eastAsia="仿宋"/>
                <w:kern w:val="2"/>
                <w:sz w:val="24"/>
                <w:szCs w:val="22"/>
              </w:rPr>
            </w:pPr>
          </w:p>
        </w:tc>
      </w:tr>
      <w:tr w:rsidR="004B0FC1">
        <w:trPr>
          <w:trHeight w:val="600"/>
        </w:trPr>
        <w:tc>
          <w:tcPr>
            <w:tcW w:w="2400" w:type="dxa"/>
            <w:tcBorders>
              <w:top w:val="nil"/>
              <w:left w:val="single" w:sz="4" w:space="0" w:color="auto"/>
              <w:bottom w:val="single" w:sz="4" w:space="0" w:color="auto"/>
              <w:right w:val="single" w:sz="4" w:space="0" w:color="auto"/>
            </w:tcBorders>
            <w:shd w:val="clear" w:color="auto" w:fill="auto"/>
            <w:vAlign w:val="center"/>
          </w:tcPr>
          <w:p w:rsidR="004B0FC1" w:rsidRDefault="00A976D9">
            <w:pPr>
              <w:jc w:val="center"/>
              <w:rPr>
                <w:rFonts w:eastAsia="仿宋"/>
                <w:kern w:val="2"/>
                <w:sz w:val="24"/>
                <w:szCs w:val="22"/>
              </w:rPr>
            </w:pPr>
            <w:r>
              <w:rPr>
                <w:rFonts w:eastAsia="仿宋" w:hint="eastAsia"/>
                <w:kern w:val="2"/>
                <w:sz w:val="24"/>
                <w:szCs w:val="22"/>
              </w:rPr>
              <w:t>东区市场监管局</w:t>
            </w:r>
          </w:p>
        </w:tc>
        <w:tc>
          <w:tcPr>
            <w:tcW w:w="1420" w:type="dxa"/>
            <w:tcBorders>
              <w:top w:val="nil"/>
              <w:left w:val="nil"/>
              <w:bottom w:val="single" w:sz="4" w:space="0" w:color="auto"/>
              <w:right w:val="single" w:sz="4" w:space="0" w:color="auto"/>
            </w:tcBorders>
            <w:shd w:val="clear" w:color="auto" w:fill="auto"/>
            <w:noWrap/>
            <w:vAlign w:val="center"/>
          </w:tcPr>
          <w:p w:rsidR="004B0FC1" w:rsidRDefault="00A976D9">
            <w:pPr>
              <w:jc w:val="center"/>
              <w:rPr>
                <w:rFonts w:eastAsia="仿宋"/>
                <w:kern w:val="2"/>
                <w:sz w:val="24"/>
                <w:szCs w:val="22"/>
              </w:rPr>
            </w:pPr>
            <w:r>
              <w:rPr>
                <w:rFonts w:eastAsia="仿宋"/>
                <w:kern w:val="2"/>
                <w:sz w:val="24"/>
                <w:szCs w:val="22"/>
              </w:rPr>
              <w:t>9.72</w:t>
            </w:r>
          </w:p>
        </w:tc>
        <w:tc>
          <w:tcPr>
            <w:tcW w:w="1380" w:type="dxa"/>
            <w:tcBorders>
              <w:top w:val="nil"/>
              <w:left w:val="nil"/>
              <w:bottom w:val="single" w:sz="4" w:space="0" w:color="auto"/>
              <w:right w:val="single" w:sz="4" w:space="0" w:color="auto"/>
            </w:tcBorders>
            <w:shd w:val="clear" w:color="auto" w:fill="auto"/>
            <w:noWrap/>
            <w:vAlign w:val="center"/>
          </w:tcPr>
          <w:p w:rsidR="004B0FC1" w:rsidRDefault="004B0FC1">
            <w:pPr>
              <w:jc w:val="center"/>
              <w:rPr>
                <w:rFonts w:eastAsia="仿宋"/>
                <w:kern w:val="2"/>
                <w:sz w:val="24"/>
                <w:szCs w:val="22"/>
                <w:lang w:eastAsia="zh-CN"/>
              </w:rPr>
            </w:pPr>
          </w:p>
        </w:tc>
        <w:tc>
          <w:tcPr>
            <w:tcW w:w="1700" w:type="dxa"/>
            <w:tcBorders>
              <w:top w:val="nil"/>
              <w:left w:val="nil"/>
              <w:bottom w:val="single" w:sz="4" w:space="0" w:color="auto"/>
              <w:right w:val="single" w:sz="4" w:space="0" w:color="auto"/>
            </w:tcBorders>
            <w:shd w:val="clear" w:color="auto" w:fill="auto"/>
            <w:noWrap/>
            <w:vAlign w:val="center"/>
          </w:tcPr>
          <w:p w:rsidR="004B0FC1" w:rsidRDefault="004B0FC1">
            <w:pPr>
              <w:jc w:val="center"/>
              <w:rPr>
                <w:rFonts w:eastAsia="仿宋"/>
                <w:kern w:val="2"/>
                <w:sz w:val="24"/>
                <w:szCs w:val="22"/>
              </w:rPr>
            </w:pPr>
          </w:p>
        </w:tc>
        <w:tc>
          <w:tcPr>
            <w:tcW w:w="1800" w:type="dxa"/>
            <w:tcBorders>
              <w:top w:val="nil"/>
              <w:left w:val="nil"/>
              <w:bottom w:val="single" w:sz="4" w:space="0" w:color="auto"/>
              <w:right w:val="single" w:sz="4" w:space="0" w:color="auto"/>
            </w:tcBorders>
            <w:shd w:val="clear" w:color="auto" w:fill="auto"/>
            <w:vAlign w:val="center"/>
          </w:tcPr>
          <w:p w:rsidR="004B0FC1" w:rsidRDefault="00A976D9">
            <w:pPr>
              <w:jc w:val="center"/>
              <w:rPr>
                <w:rFonts w:eastAsia="仿宋"/>
                <w:kern w:val="2"/>
                <w:sz w:val="24"/>
                <w:szCs w:val="22"/>
              </w:rPr>
            </w:pPr>
            <w:r>
              <w:rPr>
                <w:rFonts w:eastAsia="仿宋"/>
                <w:kern w:val="2"/>
                <w:sz w:val="24"/>
                <w:szCs w:val="22"/>
              </w:rPr>
              <w:t>9.72</w:t>
            </w:r>
          </w:p>
        </w:tc>
      </w:tr>
      <w:tr w:rsidR="004B0FC1">
        <w:trPr>
          <w:trHeight w:val="600"/>
        </w:trPr>
        <w:tc>
          <w:tcPr>
            <w:tcW w:w="2400" w:type="dxa"/>
            <w:tcBorders>
              <w:top w:val="nil"/>
              <w:left w:val="single" w:sz="4" w:space="0" w:color="auto"/>
              <w:bottom w:val="single" w:sz="4" w:space="0" w:color="auto"/>
              <w:right w:val="single" w:sz="4" w:space="0" w:color="auto"/>
            </w:tcBorders>
            <w:shd w:val="clear" w:color="auto" w:fill="auto"/>
            <w:vAlign w:val="center"/>
          </w:tcPr>
          <w:p w:rsidR="004B0FC1" w:rsidRDefault="00A976D9">
            <w:pPr>
              <w:jc w:val="center"/>
              <w:rPr>
                <w:rFonts w:eastAsia="仿宋"/>
                <w:kern w:val="2"/>
                <w:sz w:val="24"/>
                <w:szCs w:val="22"/>
              </w:rPr>
            </w:pPr>
            <w:r>
              <w:rPr>
                <w:rFonts w:eastAsia="仿宋" w:hint="eastAsia"/>
                <w:kern w:val="2"/>
                <w:sz w:val="24"/>
                <w:szCs w:val="22"/>
              </w:rPr>
              <w:t>西区市场监管局</w:t>
            </w:r>
          </w:p>
        </w:tc>
        <w:tc>
          <w:tcPr>
            <w:tcW w:w="1420" w:type="dxa"/>
            <w:tcBorders>
              <w:top w:val="nil"/>
              <w:left w:val="nil"/>
              <w:bottom w:val="single" w:sz="4" w:space="0" w:color="auto"/>
              <w:right w:val="single" w:sz="4" w:space="0" w:color="auto"/>
            </w:tcBorders>
            <w:shd w:val="clear" w:color="auto" w:fill="auto"/>
            <w:noWrap/>
            <w:vAlign w:val="center"/>
          </w:tcPr>
          <w:p w:rsidR="004B0FC1" w:rsidRDefault="00A976D9">
            <w:pPr>
              <w:jc w:val="center"/>
              <w:rPr>
                <w:rFonts w:eastAsia="仿宋"/>
                <w:kern w:val="2"/>
                <w:sz w:val="24"/>
                <w:szCs w:val="22"/>
              </w:rPr>
            </w:pPr>
            <w:r>
              <w:rPr>
                <w:rFonts w:eastAsia="仿宋"/>
                <w:kern w:val="2"/>
                <w:sz w:val="24"/>
                <w:szCs w:val="22"/>
              </w:rPr>
              <w:t>3.28</w:t>
            </w:r>
          </w:p>
        </w:tc>
        <w:tc>
          <w:tcPr>
            <w:tcW w:w="1380" w:type="dxa"/>
            <w:tcBorders>
              <w:top w:val="nil"/>
              <w:left w:val="nil"/>
              <w:bottom w:val="single" w:sz="4" w:space="0" w:color="auto"/>
              <w:right w:val="single" w:sz="4" w:space="0" w:color="auto"/>
            </w:tcBorders>
            <w:shd w:val="clear" w:color="auto" w:fill="auto"/>
            <w:noWrap/>
            <w:vAlign w:val="center"/>
          </w:tcPr>
          <w:p w:rsidR="004B0FC1" w:rsidRDefault="004B0FC1">
            <w:pPr>
              <w:jc w:val="center"/>
              <w:rPr>
                <w:rFonts w:eastAsia="仿宋"/>
                <w:kern w:val="2"/>
                <w:sz w:val="24"/>
                <w:szCs w:val="22"/>
                <w:lang w:eastAsia="zh-CN"/>
              </w:rPr>
            </w:pPr>
          </w:p>
        </w:tc>
        <w:tc>
          <w:tcPr>
            <w:tcW w:w="1700" w:type="dxa"/>
            <w:tcBorders>
              <w:top w:val="nil"/>
              <w:left w:val="nil"/>
              <w:bottom w:val="single" w:sz="4" w:space="0" w:color="auto"/>
              <w:right w:val="single" w:sz="4" w:space="0" w:color="auto"/>
            </w:tcBorders>
            <w:shd w:val="clear" w:color="auto" w:fill="auto"/>
            <w:noWrap/>
            <w:vAlign w:val="center"/>
          </w:tcPr>
          <w:p w:rsidR="004B0FC1" w:rsidRDefault="004B0FC1">
            <w:pPr>
              <w:jc w:val="center"/>
              <w:rPr>
                <w:rFonts w:eastAsia="仿宋"/>
                <w:kern w:val="2"/>
                <w:sz w:val="24"/>
                <w:szCs w:val="22"/>
              </w:rPr>
            </w:pPr>
          </w:p>
        </w:tc>
        <w:tc>
          <w:tcPr>
            <w:tcW w:w="1800" w:type="dxa"/>
            <w:tcBorders>
              <w:top w:val="nil"/>
              <w:left w:val="nil"/>
              <w:bottom w:val="single" w:sz="4" w:space="0" w:color="auto"/>
              <w:right w:val="single" w:sz="4" w:space="0" w:color="auto"/>
            </w:tcBorders>
            <w:shd w:val="clear" w:color="auto" w:fill="auto"/>
            <w:vAlign w:val="center"/>
          </w:tcPr>
          <w:p w:rsidR="004B0FC1" w:rsidRDefault="00A976D9">
            <w:pPr>
              <w:jc w:val="center"/>
              <w:rPr>
                <w:rFonts w:eastAsia="仿宋"/>
                <w:kern w:val="2"/>
                <w:sz w:val="24"/>
                <w:szCs w:val="22"/>
              </w:rPr>
            </w:pPr>
            <w:r>
              <w:rPr>
                <w:rFonts w:eastAsia="仿宋"/>
                <w:kern w:val="2"/>
                <w:sz w:val="24"/>
                <w:szCs w:val="22"/>
              </w:rPr>
              <w:t>3.28</w:t>
            </w:r>
          </w:p>
        </w:tc>
      </w:tr>
      <w:tr w:rsidR="004B0FC1">
        <w:trPr>
          <w:trHeight w:val="600"/>
        </w:trPr>
        <w:tc>
          <w:tcPr>
            <w:tcW w:w="2400" w:type="dxa"/>
            <w:tcBorders>
              <w:top w:val="nil"/>
              <w:left w:val="single" w:sz="4" w:space="0" w:color="auto"/>
              <w:bottom w:val="single" w:sz="4" w:space="0" w:color="auto"/>
              <w:right w:val="single" w:sz="4" w:space="0" w:color="auto"/>
            </w:tcBorders>
            <w:shd w:val="clear" w:color="auto" w:fill="auto"/>
            <w:vAlign w:val="center"/>
          </w:tcPr>
          <w:p w:rsidR="004B0FC1" w:rsidRDefault="00A976D9">
            <w:pPr>
              <w:jc w:val="center"/>
              <w:rPr>
                <w:rFonts w:eastAsia="仿宋"/>
                <w:kern w:val="2"/>
                <w:sz w:val="24"/>
                <w:szCs w:val="22"/>
              </w:rPr>
            </w:pPr>
            <w:r>
              <w:rPr>
                <w:rFonts w:eastAsia="仿宋" w:hint="eastAsia"/>
                <w:kern w:val="2"/>
                <w:sz w:val="24"/>
                <w:szCs w:val="22"/>
              </w:rPr>
              <w:t>仁和区市场监管局</w:t>
            </w:r>
          </w:p>
        </w:tc>
        <w:tc>
          <w:tcPr>
            <w:tcW w:w="1420" w:type="dxa"/>
            <w:tcBorders>
              <w:top w:val="nil"/>
              <w:left w:val="nil"/>
              <w:bottom w:val="single" w:sz="4" w:space="0" w:color="auto"/>
              <w:right w:val="single" w:sz="4" w:space="0" w:color="auto"/>
            </w:tcBorders>
            <w:shd w:val="clear" w:color="auto" w:fill="auto"/>
            <w:noWrap/>
            <w:vAlign w:val="center"/>
          </w:tcPr>
          <w:p w:rsidR="004B0FC1" w:rsidRDefault="00A976D9">
            <w:pPr>
              <w:jc w:val="center"/>
              <w:rPr>
                <w:rFonts w:eastAsia="仿宋"/>
                <w:kern w:val="2"/>
                <w:sz w:val="24"/>
                <w:szCs w:val="22"/>
              </w:rPr>
            </w:pPr>
            <w:r>
              <w:rPr>
                <w:rFonts w:eastAsia="仿宋"/>
                <w:kern w:val="2"/>
                <w:sz w:val="24"/>
                <w:szCs w:val="22"/>
              </w:rPr>
              <w:t>6.5</w:t>
            </w:r>
          </w:p>
        </w:tc>
        <w:tc>
          <w:tcPr>
            <w:tcW w:w="1380" w:type="dxa"/>
            <w:tcBorders>
              <w:top w:val="nil"/>
              <w:left w:val="nil"/>
              <w:bottom w:val="single" w:sz="4" w:space="0" w:color="auto"/>
              <w:right w:val="single" w:sz="4" w:space="0" w:color="auto"/>
            </w:tcBorders>
            <w:shd w:val="clear" w:color="auto" w:fill="auto"/>
            <w:noWrap/>
            <w:vAlign w:val="center"/>
          </w:tcPr>
          <w:p w:rsidR="004B0FC1" w:rsidRDefault="004B0FC1">
            <w:pPr>
              <w:jc w:val="center"/>
              <w:rPr>
                <w:rFonts w:eastAsia="仿宋"/>
                <w:kern w:val="2"/>
                <w:sz w:val="24"/>
                <w:szCs w:val="22"/>
                <w:lang w:eastAsia="zh-CN"/>
              </w:rPr>
            </w:pPr>
          </w:p>
        </w:tc>
        <w:tc>
          <w:tcPr>
            <w:tcW w:w="1700" w:type="dxa"/>
            <w:tcBorders>
              <w:top w:val="nil"/>
              <w:left w:val="nil"/>
              <w:bottom w:val="single" w:sz="4" w:space="0" w:color="auto"/>
              <w:right w:val="single" w:sz="4" w:space="0" w:color="auto"/>
            </w:tcBorders>
            <w:shd w:val="clear" w:color="auto" w:fill="auto"/>
            <w:noWrap/>
            <w:vAlign w:val="center"/>
          </w:tcPr>
          <w:p w:rsidR="004B0FC1" w:rsidRDefault="004B0FC1">
            <w:pPr>
              <w:jc w:val="center"/>
              <w:rPr>
                <w:rFonts w:eastAsia="仿宋"/>
                <w:kern w:val="2"/>
                <w:sz w:val="24"/>
                <w:szCs w:val="22"/>
              </w:rPr>
            </w:pPr>
          </w:p>
        </w:tc>
        <w:tc>
          <w:tcPr>
            <w:tcW w:w="1800" w:type="dxa"/>
            <w:tcBorders>
              <w:top w:val="nil"/>
              <w:left w:val="nil"/>
              <w:bottom w:val="single" w:sz="4" w:space="0" w:color="auto"/>
              <w:right w:val="single" w:sz="4" w:space="0" w:color="auto"/>
            </w:tcBorders>
            <w:shd w:val="clear" w:color="auto" w:fill="auto"/>
            <w:vAlign w:val="center"/>
          </w:tcPr>
          <w:p w:rsidR="004B0FC1" w:rsidRDefault="00A976D9">
            <w:pPr>
              <w:jc w:val="center"/>
              <w:rPr>
                <w:rFonts w:eastAsia="仿宋"/>
                <w:kern w:val="2"/>
                <w:sz w:val="24"/>
                <w:szCs w:val="22"/>
              </w:rPr>
            </w:pPr>
            <w:r>
              <w:rPr>
                <w:rFonts w:eastAsia="仿宋"/>
                <w:kern w:val="2"/>
                <w:sz w:val="24"/>
                <w:szCs w:val="22"/>
              </w:rPr>
              <w:t>6.5</w:t>
            </w:r>
          </w:p>
        </w:tc>
      </w:tr>
      <w:tr w:rsidR="004B0FC1">
        <w:trPr>
          <w:trHeight w:val="600"/>
        </w:trPr>
        <w:tc>
          <w:tcPr>
            <w:tcW w:w="2400" w:type="dxa"/>
            <w:tcBorders>
              <w:top w:val="nil"/>
              <w:left w:val="single" w:sz="4" w:space="0" w:color="auto"/>
              <w:bottom w:val="single" w:sz="4" w:space="0" w:color="auto"/>
              <w:right w:val="single" w:sz="4" w:space="0" w:color="auto"/>
            </w:tcBorders>
            <w:shd w:val="clear" w:color="auto" w:fill="auto"/>
            <w:vAlign w:val="center"/>
          </w:tcPr>
          <w:p w:rsidR="004B0FC1" w:rsidRDefault="00A976D9">
            <w:pPr>
              <w:jc w:val="center"/>
              <w:rPr>
                <w:rFonts w:eastAsia="仿宋"/>
                <w:kern w:val="2"/>
                <w:sz w:val="24"/>
                <w:szCs w:val="22"/>
              </w:rPr>
            </w:pPr>
            <w:r>
              <w:rPr>
                <w:rFonts w:eastAsia="仿宋" w:hint="eastAsia"/>
                <w:kern w:val="2"/>
                <w:sz w:val="24"/>
                <w:szCs w:val="22"/>
              </w:rPr>
              <w:t>米易县市场监管局</w:t>
            </w:r>
          </w:p>
        </w:tc>
        <w:tc>
          <w:tcPr>
            <w:tcW w:w="1420" w:type="dxa"/>
            <w:tcBorders>
              <w:top w:val="nil"/>
              <w:left w:val="nil"/>
              <w:bottom w:val="single" w:sz="4" w:space="0" w:color="auto"/>
              <w:right w:val="single" w:sz="4" w:space="0" w:color="auto"/>
            </w:tcBorders>
            <w:shd w:val="clear" w:color="auto" w:fill="auto"/>
            <w:noWrap/>
            <w:vAlign w:val="center"/>
          </w:tcPr>
          <w:p w:rsidR="004B0FC1" w:rsidRDefault="00A976D9">
            <w:pPr>
              <w:jc w:val="center"/>
              <w:rPr>
                <w:rFonts w:eastAsia="仿宋"/>
                <w:kern w:val="2"/>
                <w:sz w:val="24"/>
                <w:szCs w:val="22"/>
              </w:rPr>
            </w:pPr>
            <w:r>
              <w:rPr>
                <w:rFonts w:eastAsia="仿宋"/>
                <w:kern w:val="2"/>
                <w:sz w:val="24"/>
                <w:szCs w:val="22"/>
              </w:rPr>
              <w:t>4.61</w:t>
            </w:r>
          </w:p>
        </w:tc>
        <w:tc>
          <w:tcPr>
            <w:tcW w:w="1380" w:type="dxa"/>
            <w:tcBorders>
              <w:top w:val="nil"/>
              <w:left w:val="nil"/>
              <w:bottom w:val="single" w:sz="4" w:space="0" w:color="auto"/>
              <w:right w:val="single" w:sz="4" w:space="0" w:color="auto"/>
            </w:tcBorders>
            <w:shd w:val="clear" w:color="auto" w:fill="auto"/>
            <w:noWrap/>
            <w:vAlign w:val="center"/>
          </w:tcPr>
          <w:p w:rsidR="004B0FC1" w:rsidRDefault="004B0FC1">
            <w:pPr>
              <w:jc w:val="center"/>
              <w:rPr>
                <w:rFonts w:eastAsia="仿宋"/>
                <w:kern w:val="2"/>
                <w:sz w:val="24"/>
                <w:szCs w:val="22"/>
              </w:rPr>
            </w:pPr>
          </w:p>
        </w:tc>
        <w:tc>
          <w:tcPr>
            <w:tcW w:w="1700" w:type="dxa"/>
            <w:tcBorders>
              <w:top w:val="nil"/>
              <w:left w:val="nil"/>
              <w:bottom w:val="single" w:sz="4" w:space="0" w:color="auto"/>
              <w:right w:val="single" w:sz="4" w:space="0" w:color="auto"/>
            </w:tcBorders>
            <w:shd w:val="clear" w:color="auto" w:fill="auto"/>
            <w:noWrap/>
            <w:vAlign w:val="center"/>
          </w:tcPr>
          <w:p w:rsidR="004B0FC1" w:rsidRDefault="004B0FC1">
            <w:pPr>
              <w:jc w:val="center"/>
              <w:rPr>
                <w:rFonts w:eastAsia="仿宋"/>
                <w:kern w:val="2"/>
                <w:sz w:val="24"/>
                <w:szCs w:val="22"/>
              </w:rPr>
            </w:pPr>
          </w:p>
        </w:tc>
        <w:tc>
          <w:tcPr>
            <w:tcW w:w="1800" w:type="dxa"/>
            <w:tcBorders>
              <w:top w:val="nil"/>
              <w:left w:val="nil"/>
              <w:bottom w:val="single" w:sz="4" w:space="0" w:color="auto"/>
              <w:right w:val="single" w:sz="4" w:space="0" w:color="auto"/>
            </w:tcBorders>
            <w:shd w:val="clear" w:color="auto" w:fill="auto"/>
            <w:vAlign w:val="center"/>
          </w:tcPr>
          <w:p w:rsidR="004B0FC1" w:rsidRDefault="00A976D9">
            <w:pPr>
              <w:jc w:val="center"/>
              <w:rPr>
                <w:rFonts w:eastAsia="仿宋"/>
                <w:kern w:val="2"/>
                <w:sz w:val="24"/>
                <w:szCs w:val="22"/>
              </w:rPr>
            </w:pPr>
            <w:r>
              <w:rPr>
                <w:rFonts w:eastAsia="仿宋"/>
                <w:kern w:val="2"/>
                <w:sz w:val="24"/>
                <w:szCs w:val="22"/>
              </w:rPr>
              <w:t>4.61</w:t>
            </w:r>
          </w:p>
        </w:tc>
      </w:tr>
      <w:tr w:rsidR="004B0FC1">
        <w:trPr>
          <w:trHeight w:val="600"/>
        </w:trPr>
        <w:tc>
          <w:tcPr>
            <w:tcW w:w="2400" w:type="dxa"/>
            <w:tcBorders>
              <w:top w:val="nil"/>
              <w:left w:val="single" w:sz="4" w:space="0" w:color="auto"/>
              <w:bottom w:val="single" w:sz="4" w:space="0" w:color="auto"/>
              <w:right w:val="single" w:sz="4" w:space="0" w:color="auto"/>
            </w:tcBorders>
            <w:shd w:val="clear" w:color="auto" w:fill="auto"/>
            <w:vAlign w:val="center"/>
          </w:tcPr>
          <w:p w:rsidR="004B0FC1" w:rsidRDefault="00A976D9">
            <w:pPr>
              <w:jc w:val="center"/>
              <w:rPr>
                <w:rFonts w:eastAsia="仿宋"/>
                <w:kern w:val="2"/>
                <w:sz w:val="24"/>
                <w:szCs w:val="22"/>
              </w:rPr>
            </w:pPr>
            <w:r>
              <w:rPr>
                <w:rFonts w:eastAsia="仿宋" w:hint="eastAsia"/>
                <w:kern w:val="2"/>
                <w:sz w:val="24"/>
                <w:szCs w:val="22"/>
              </w:rPr>
              <w:t>盐边县市场监管局</w:t>
            </w:r>
          </w:p>
        </w:tc>
        <w:tc>
          <w:tcPr>
            <w:tcW w:w="1420" w:type="dxa"/>
            <w:tcBorders>
              <w:top w:val="nil"/>
              <w:left w:val="nil"/>
              <w:bottom w:val="single" w:sz="4" w:space="0" w:color="auto"/>
              <w:right w:val="single" w:sz="4" w:space="0" w:color="auto"/>
            </w:tcBorders>
            <w:shd w:val="clear" w:color="auto" w:fill="auto"/>
            <w:noWrap/>
            <w:vAlign w:val="center"/>
          </w:tcPr>
          <w:p w:rsidR="004B0FC1" w:rsidRDefault="00A976D9">
            <w:pPr>
              <w:jc w:val="center"/>
              <w:rPr>
                <w:rFonts w:eastAsia="仿宋"/>
                <w:kern w:val="2"/>
                <w:sz w:val="24"/>
                <w:szCs w:val="22"/>
              </w:rPr>
            </w:pPr>
            <w:r>
              <w:rPr>
                <w:rFonts w:eastAsia="仿宋"/>
                <w:kern w:val="2"/>
                <w:sz w:val="24"/>
                <w:szCs w:val="22"/>
              </w:rPr>
              <w:t>6.05</w:t>
            </w:r>
          </w:p>
        </w:tc>
        <w:tc>
          <w:tcPr>
            <w:tcW w:w="1380" w:type="dxa"/>
            <w:tcBorders>
              <w:top w:val="nil"/>
              <w:left w:val="nil"/>
              <w:bottom w:val="single" w:sz="4" w:space="0" w:color="auto"/>
              <w:right w:val="single" w:sz="4" w:space="0" w:color="auto"/>
            </w:tcBorders>
            <w:shd w:val="clear" w:color="auto" w:fill="auto"/>
            <w:noWrap/>
            <w:vAlign w:val="center"/>
          </w:tcPr>
          <w:p w:rsidR="004B0FC1" w:rsidRDefault="004B0FC1">
            <w:pPr>
              <w:jc w:val="center"/>
              <w:rPr>
                <w:rFonts w:eastAsia="仿宋"/>
                <w:kern w:val="2"/>
                <w:sz w:val="24"/>
                <w:szCs w:val="22"/>
              </w:rPr>
            </w:pPr>
          </w:p>
        </w:tc>
        <w:tc>
          <w:tcPr>
            <w:tcW w:w="1700" w:type="dxa"/>
            <w:tcBorders>
              <w:top w:val="nil"/>
              <w:left w:val="nil"/>
              <w:bottom w:val="single" w:sz="4" w:space="0" w:color="auto"/>
              <w:right w:val="single" w:sz="4" w:space="0" w:color="auto"/>
            </w:tcBorders>
            <w:shd w:val="clear" w:color="auto" w:fill="auto"/>
            <w:noWrap/>
            <w:vAlign w:val="center"/>
          </w:tcPr>
          <w:p w:rsidR="004B0FC1" w:rsidRDefault="004B0FC1">
            <w:pPr>
              <w:jc w:val="center"/>
              <w:rPr>
                <w:rFonts w:eastAsia="仿宋"/>
                <w:kern w:val="2"/>
                <w:sz w:val="24"/>
                <w:szCs w:val="22"/>
              </w:rPr>
            </w:pPr>
          </w:p>
        </w:tc>
        <w:tc>
          <w:tcPr>
            <w:tcW w:w="1800" w:type="dxa"/>
            <w:tcBorders>
              <w:top w:val="nil"/>
              <w:left w:val="nil"/>
              <w:bottom w:val="single" w:sz="4" w:space="0" w:color="auto"/>
              <w:right w:val="single" w:sz="4" w:space="0" w:color="auto"/>
            </w:tcBorders>
            <w:shd w:val="clear" w:color="auto" w:fill="auto"/>
            <w:vAlign w:val="center"/>
          </w:tcPr>
          <w:p w:rsidR="004B0FC1" w:rsidRDefault="00A976D9">
            <w:pPr>
              <w:jc w:val="center"/>
              <w:rPr>
                <w:rFonts w:eastAsia="仿宋"/>
                <w:kern w:val="2"/>
                <w:sz w:val="24"/>
                <w:szCs w:val="22"/>
              </w:rPr>
            </w:pPr>
            <w:r>
              <w:rPr>
                <w:rFonts w:eastAsia="仿宋"/>
                <w:kern w:val="2"/>
                <w:sz w:val="24"/>
                <w:szCs w:val="22"/>
              </w:rPr>
              <w:t>6.05</w:t>
            </w:r>
          </w:p>
        </w:tc>
      </w:tr>
      <w:tr w:rsidR="004B0FC1">
        <w:trPr>
          <w:trHeight w:val="600"/>
        </w:trPr>
        <w:tc>
          <w:tcPr>
            <w:tcW w:w="2400" w:type="dxa"/>
            <w:tcBorders>
              <w:top w:val="nil"/>
              <w:left w:val="single" w:sz="4" w:space="0" w:color="auto"/>
              <w:bottom w:val="single" w:sz="4" w:space="0" w:color="auto"/>
              <w:right w:val="single" w:sz="4" w:space="0" w:color="auto"/>
            </w:tcBorders>
            <w:shd w:val="clear" w:color="auto" w:fill="auto"/>
            <w:vAlign w:val="center"/>
          </w:tcPr>
          <w:p w:rsidR="004B0FC1" w:rsidRDefault="00A976D9">
            <w:pPr>
              <w:jc w:val="center"/>
              <w:rPr>
                <w:rFonts w:eastAsia="仿宋"/>
                <w:kern w:val="2"/>
                <w:sz w:val="24"/>
                <w:szCs w:val="22"/>
              </w:rPr>
            </w:pPr>
            <w:r>
              <w:rPr>
                <w:rFonts w:eastAsia="仿宋" w:hint="eastAsia"/>
                <w:kern w:val="2"/>
                <w:sz w:val="24"/>
                <w:szCs w:val="22"/>
              </w:rPr>
              <w:t>攀西钒钛检验检测院</w:t>
            </w:r>
          </w:p>
        </w:tc>
        <w:tc>
          <w:tcPr>
            <w:tcW w:w="1420" w:type="dxa"/>
            <w:tcBorders>
              <w:top w:val="nil"/>
              <w:left w:val="nil"/>
              <w:bottom w:val="single" w:sz="4" w:space="0" w:color="auto"/>
              <w:right w:val="single" w:sz="4" w:space="0" w:color="auto"/>
            </w:tcBorders>
            <w:shd w:val="clear" w:color="auto" w:fill="auto"/>
            <w:noWrap/>
            <w:vAlign w:val="center"/>
          </w:tcPr>
          <w:p w:rsidR="004B0FC1" w:rsidRDefault="00A976D9">
            <w:pPr>
              <w:jc w:val="center"/>
              <w:rPr>
                <w:rFonts w:eastAsia="仿宋"/>
                <w:kern w:val="2"/>
                <w:sz w:val="24"/>
                <w:szCs w:val="22"/>
              </w:rPr>
            </w:pPr>
            <w:r>
              <w:rPr>
                <w:rFonts w:eastAsia="仿宋"/>
                <w:kern w:val="2"/>
                <w:sz w:val="24"/>
                <w:szCs w:val="22"/>
              </w:rPr>
              <w:t>14</w:t>
            </w:r>
          </w:p>
        </w:tc>
        <w:tc>
          <w:tcPr>
            <w:tcW w:w="1380" w:type="dxa"/>
            <w:tcBorders>
              <w:top w:val="nil"/>
              <w:left w:val="nil"/>
              <w:bottom w:val="single" w:sz="4" w:space="0" w:color="auto"/>
              <w:right w:val="single" w:sz="4" w:space="0" w:color="auto"/>
            </w:tcBorders>
            <w:shd w:val="clear" w:color="auto" w:fill="auto"/>
            <w:noWrap/>
            <w:vAlign w:val="center"/>
          </w:tcPr>
          <w:p w:rsidR="004B0FC1" w:rsidRDefault="004B0FC1">
            <w:pPr>
              <w:jc w:val="center"/>
              <w:rPr>
                <w:rFonts w:eastAsia="仿宋"/>
                <w:kern w:val="2"/>
                <w:sz w:val="24"/>
                <w:szCs w:val="22"/>
              </w:rPr>
            </w:pPr>
          </w:p>
        </w:tc>
        <w:tc>
          <w:tcPr>
            <w:tcW w:w="1700" w:type="dxa"/>
            <w:tcBorders>
              <w:top w:val="nil"/>
              <w:left w:val="nil"/>
              <w:bottom w:val="single" w:sz="4" w:space="0" w:color="auto"/>
              <w:right w:val="single" w:sz="4" w:space="0" w:color="auto"/>
            </w:tcBorders>
            <w:shd w:val="clear" w:color="auto" w:fill="auto"/>
            <w:noWrap/>
            <w:vAlign w:val="center"/>
          </w:tcPr>
          <w:p w:rsidR="004B0FC1" w:rsidRDefault="00A976D9">
            <w:pPr>
              <w:jc w:val="center"/>
              <w:rPr>
                <w:rFonts w:eastAsia="仿宋"/>
                <w:kern w:val="2"/>
                <w:sz w:val="24"/>
                <w:szCs w:val="22"/>
              </w:rPr>
            </w:pPr>
            <w:r>
              <w:rPr>
                <w:rFonts w:eastAsia="仿宋"/>
                <w:kern w:val="2"/>
                <w:sz w:val="24"/>
                <w:szCs w:val="22"/>
              </w:rPr>
              <w:t>14</w:t>
            </w:r>
          </w:p>
        </w:tc>
        <w:tc>
          <w:tcPr>
            <w:tcW w:w="1800" w:type="dxa"/>
            <w:tcBorders>
              <w:top w:val="nil"/>
              <w:left w:val="nil"/>
              <w:bottom w:val="single" w:sz="4" w:space="0" w:color="auto"/>
              <w:right w:val="single" w:sz="4" w:space="0" w:color="auto"/>
            </w:tcBorders>
            <w:shd w:val="clear" w:color="auto" w:fill="auto"/>
            <w:vAlign w:val="center"/>
          </w:tcPr>
          <w:p w:rsidR="004B0FC1" w:rsidRDefault="004B0FC1">
            <w:pPr>
              <w:jc w:val="center"/>
              <w:rPr>
                <w:rFonts w:eastAsia="仿宋"/>
                <w:kern w:val="2"/>
                <w:sz w:val="24"/>
                <w:szCs w:val="22"/>
              </w:rPr>
            </w:pPr>
          </w:p>
        </w:tc>
      </w:tr>
      <w:tr w:rsidR="004B0FC1">
        <w:trPr>
          <w:trHeight w:val="132"/>
        </w:trPr>
        <w:tc>
          <w:tcPr>
            <w:tcW w:w="2400" w:type="dxa"/>
            <w:tcBorders>
              <w:top w:val="nil"/>
              <w:left w:val="single" w:sz="4" w:space="0" w:color="auto"/>
              <w:bottom w:val="single" w:sz="4" w:space="0" w:color="auto"/>
              <w:right w:val="single" w:sz="4" w:space="0" w:color="auto"/>
            </w:tcBorders>
            <w:shd w:val="clear" w:color="auto" w:fill="auto"/>
            <w:vAlign w:val="center"/>
          </w:tcPr>
          <w:p w:rsidR="004B0FC1" w:rsidRDefault="00A976D9">
            <w:pPr>
              <w:jc w:val="center"/>
              <w:rPr>
                <w:rFonts w:eastAsia="仿宋"/>
                <w:kern w:val="2"/>
                <w:sz w:val="24"/>
                <w:szCs w:val="22"/>
              </w:rPr>
            </w:pPr>
            <w:r>
              <w:rPr>
                <w:rFonts w:eastAsia="仿宋" w:hint="eastAsia"/>
                <w:kern w:val="2"/>
                <w:sz w:val="24"/>
                <w:szCs w:val="22"/>
              </w:rPr>
              <w:t>攀枝花市小计</w:t>
            </w:r>
          </w:p>
        </w:tc>
        <w:tc>
          <w:tcPr>
            <w:tcW w:w="1420" w:type="dxa"/>
            <w:tcBorders>
              <w:top w:val="nil"/>
              <w:left w:val="nil"/>
              <w:bottom w:val="single" w:sz="4" w:space="0" w:color="auto"/>
              <w:right w:val="single" w:sz="4" w:space="0" w:color="auto"/>
            </w:tcBorders>
            <w:shd w:val="clear" w:color="auto" w:fill="auto"/>
            <w:noWrap/>
            <w:vAlign w:val="center"/>
          </w:tcPr>
          <w:p w:rsidR="004B0FC1" w:rsidRDefault="00A976D9">
            <w:pPr>
              <w:jc w:val="center"/>
              <w:rPr>
                <w:rFonts w:eastAsia="仿宋"/>
                <w:kern w:val="2"/>
                <w:sz w:val="24"/>
                <w:szCs w:val="22"/>
              </w:rPr>
            </w:pPr>
            <w:r>
              <w:rPr>
                <w:rFonts w:eastAsia="仿宋"/>
                <w:kern w:val="2"/>
                <w:sz w:val="24"/>
                <w:szCs w:val="22"/>
              </w:rPr>
              <w:t>61</w:t>
            </w:r>
          </w:p>
        </w:tc>
        <w:tc>
          <w:tcPr>
            <w:tcW w:w="1380" w:type="dxa"/>
            <w:tcBorders>
              <w:top w:val="nil"/>
              <w:left w:val="nil"/>
              <w:bottom w:val="single" w:sz="4" w:space="0" w:color="auto"/>
              <w:right w:val="single" w:sz="4" w:space="0" w:color="auto"/>
            </w:tcBorders>
            <w:shd w:val="clear" w:color="auto" w:fill="auto"/>
            <w:noWrap/>
            <w:vAlign w:val="center"/>
          </w:tcPr>
          <w:p w:rsidR="004B0FC1" w:rsidRDefault="00A976D9">
            <w:pPr>
              <w:jc w:val="center"/>
              <w:rPr>
                <w:rFonts w:eastAsia="仿宋"/>
                <w:kern w:val="2"/>
                <w:sz w:val="24"/>
                <w:szCs w:val="22"/>
              </w:rPr>
            </w:pPr>
            <w:r>
              <w:rPr>
                <w:rFonts w:eastAsia="仿宋"/>
                <w:kern w:val="2"/>
                <w:sz w:val="24"/>
                <w:szCs w:val="22"/>
              </w:rPr>
              <w:t>16.84</w:t>
            </w:r>
          </w:p>
        </w:tc>
        <w:tc>
          <w:tcPr>
            <w:tcW w:w="1700" w:type="dxa"/>
            <w:tcBorders>
              <w:top w:val="nil"/>
              <w:left w:val="nil"/>
              <w:bottom w:val="single" w:sz="4" w:space="0" w:color="auto"/>
              <w:right w:val="single" w:sz="4" w:space="0" w:color="auto"/>
            </w:tcBorders>
            <w:shd w:val="clear" w:color="auto" w:fill="auto"/>
            <w:noWrap/>
            <w:vAlign w:val="center"/>
          </w:tcPr>
          <w:p w:rsidR="004B0FC1" w:rsidRDefault="00A976D9">
            <w:pPr>
              <w:jc w:val="center"/>
              <w:rPr>
                <w:rFonts w:eastAsia="仿宋"/>
                <w:kern w:val="2"/>
                <w:sz w:val="24"/>
                <w:szCs w:val="22"/>
              </w:rPr>
            </w:pPr>
            <w:r>
              <w:rPr>
                <w:rFonts w:eastAsia="仿宋"/>
                <w:kern w:val="2"/>
                <w:sz w:val="24"/>
                <w:szCs w:val="22"/>
              </w:rPr>
              <w:t>14</w:t>
            </w:r>
          </w:p>
        </w:tc>
        <w:tc>
          <w:tcPr>
            <w:tcW w:w="1800" w:type="dxa"/>
            <w:tcBorders>
              <w:top w:val="nil"/>
              <w:left w:val="nil"/>
              <w:bottom w:val="single" w:sz="4" w:space="0" w:color="auto"/>
              <w:right w:val="single" w:sz="4" w:space="0" w:color="auto"/>
            </w:tcBorders>
            <w:shd w:val="clear" w:color="auto" w:fill="auto"/>
            <w:noWrap/>
            <w:vAlign w:val="center"/>
          </w:tcPr>
          <w:p w:rsidR="004B0FC1" w:rsidRDefault="00A976D9">
            <w:pPr>
              <w:jc w:val="center"/>
              <w:rPr>
                <w:rFonts w:eastAsia="仿宋"/>
                <w:kern w:val="2"/>
                <w:sz w:val="24"/>
                <w:szCs w:val="22"/>
              </w:rPr>
            </w:pPr>
            <w:r>
              <w:rPr>
                <w:rFonts w:eastAsia="仿宋"/>
                <w:kern w:val="2"/>
                <w:sz w:val="24"/>
                <w:szCs w:val="22"/>
              </w:rPr>
              <w:t>30.16</w:t>
            </w:r>
          </w:p>
        </w:tc>
      </w:tr>
    </w:tbl>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hint="eastAsia"/>
          <w:b/>
          <w:snapToGrid/>
          <w:kern w:val="2"/>
          <w:sz w:val="32"/>
          <w:szCs w:val="32"/>
          <w:lang w:val="zh-CN" w:eastAsia="zh-CN"/>
        </w:rPr>
        <w:t>（三）项目绩效目标设置。</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年度中央财政药品监管补助资金项目下达区域绩效目标一级指标</w:t>
      </w:r>
      <w:r>
        <w:rPr>
          <w:rFonts w:ascii="Times New Roman" w:eastAsia="仿宋_GB2312" w:hAnsi="Times New Roman" w:cs="Times New Roman" w:hint="eastAsia"/>
          <w:snapToGrid/>
          <w:kern w:val="2"/>
          <w:sz w:val="32"/>
          <w:szCs w:val="32"/>
          <w:lang w:val="zh-CN" w:eastAsia="zh-CN"/>
        </w:rPr>
        <w:t>3</w:t>
      </w:r>
      <w:r>
        <w:rPr>
          <w:rFonts w:ascii="Times New Roman" w:eastAsia="仿宋_GB2312" w:hAnsi="Times New Roman" w:cs="Times New Roman" w:hint="eastAsia"/>
          <w:snapToGrid/>
          <w:kern w:val="2"/>
          <w:sz w:val="32"/>
          <w:szCs w:val="32"/>
          <w:lang w:val="zh-CN" w:eastAsia="zh-CN"/>
        </w:rPr>
        <w:t>个，二级指标</w:t>
      </w:r>
      <w:r>
        <w:rPr>
          <w:rFonts w:ascii="Times New Roman" w:eastAsia="仿宋_GB2312" w:hAnsi="Times New Roman" w:cs="Times New Roman" w:hint="eastAsia"/>
          <w:snapToGrid/>
          <w:kern w:val="2"/>
          <w:sz w:val="32"/>
          <w:szCs w:val="32"/>
          <w:lang w:val="zh-CN" w:eastAsia="zh-CN"/>
        </w:rPr>
        <w:t>7</w:t>
      </w:r>
      <w:r>
        <w:rPr>
          <w:rFonts w:ascii="Times New Roman" w:eastAsia="仿宋_GB2312" w:hAnsi="Times New Roman" w:cs="Times New Roman" w:hint="eastAsia"/>
          <w:snapToGrid/>
          <w:kern w:val="2"/>
          <w:sz w:val="32"/>
          <w:szCs w:val="32"/>
          <w:lang w:val="zh-CN" w:eastAsia="zh-CN"/>
        </w:rPr>
        <w:t>个，三级指标</w:t>
      </w:r>
      <w:r>
        <w:rPr>
          <w:rFonts w:ascii="Times New Roman" w:eastAsia="仿宋_GB2312" w:hAnsi="Times New Roman" w:cs="Times New Roman" w:hint="eastAsia"/>
          <w:snapToGrid/>
          <w:kern w:val="2"/>
          <w:sz w:val="32"/>
          <w:szCs w:val="32"/>
          <w:lang w:val="zh-CN" w:eastAsia="zh-CN"/>
        </w:rPr>
        <w:t>14</w:t>
      </w:r>
      <w:r>
        <w:rPr>
          <w:rFonts w:ascii="Times New Roman" w:eastAsia="仿宋_GB2312" w:hAnsi="Times New Roman" w:cs="Times New Roman" w:hint="eastAsia"/>
          <w:snapToGrid/>
          <w:kern w:val="2"/>
          <w:sz w:val="32"/>
          <w:szCs w:val="32"/>
          <w:lang w:val="zh-CN" w:eastAsia="zh-CN"/>
        </w:rPr>
        <w:t>个。</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市市场监督管理局、各县（区）市场监督管理局组织开展</w:t>
      </w:r>
      <w:r>
        <w:rPr>
          <w:rFonts w:ascii="Times New Roman" w:eastAsia="仿宋_GB2312" w:hAnsi="Times New Roman" w:cs="Times New Roman" w:hint="eastAsia"/>
          <w:snapToGrid/>
          <w:kern w:val="2"/>
          <w:sz w:val="32"/>
          <w:szCs w:val="32"/>
          <w:lang w:val="zh-CN" w:eastAsia="zh-CN"/>
        </w:rPr>
        <w:lastRenderedPageBreak/>
        <w:t>辖区内药品经营使用单位日常监督检查和专项整治等，纠正药品经营使用单位违规行为，对涉嫌违法行为依法查处；组织完成辖区内药品零售企业分类分级评定、公示等具体工作；开展医疗器械经营使用单位日常监管和专项检查等相关工作，其中无菌植入类医疗器械经营使用单位检查面不得低于辖区内同类单位总数的</w:t>
      </w:r>
      <w:r>
        <w:rPr>
          <w:rFonts w:ascii="Times New Roman" w:eastAsia="仿宋_GB2312" w:hAnsi="Times New Roman" w:cs="Times New Roman" w:hint="eastAsia"/>
          <w:snapToGrid/>
          <w:kern w:val="2"/>
          <w:sz w:val="32"/>
          <w:szCs w:val="32"/>
          <w:lang w:val="zh-CN" w:eastAsia="zh-CN"/>
        </w:rPr>
        <w:t>15%</w:t>
      </w:r>
      <w:r>
        <w:rPr>
          <w:rFonts w:ascii="Times New Roman" w:eastAsia="仿宋_GB2312" w:hAnsi="Times New Roman" w:cs="Times New Roman" w:hint="eastAsia"/>
          <w:snapToGrid/>
          <w:kern w:val="2"/>
          <w:sz w:val="32"/>
          <w:szCs w:val="32"/>
          <w:lang w:val="zh-CN" w:eastAsia="zh-CN"/>
        </w:rPr>
        <w:t>，对发现的违法违规行为依法查处；组织开展药品相关法律法规的宣传，加大科普宣传力度，完成国家局布置的“两品</w:t>
      </w:r>
      <w:proofErr w:type="gramStart"/>
      <w:r>
        <w:rPr>
          <w:rFonts w:ascii="Times New Roman" w:eastAsia="仿宋_GB2312" w:hAnsi="Times New Roman" w:cs="Times New Roman" w:hint="eastAsia"/>
          <w:snapToGrid/>
          <w:kern w:val="2"/>
          <w:sz w:val="32"/>
          <w:szCs w:val="32"/>
          <w:lang w:val="zh-CN" w:eastAsia="zh-CN"/>
        </w:rPr>
        <w:t>一</w:t>
      </w:r>
      <w:proofErr w:type="gramEnd"/>
      <w:r>
        <w:rPr>
          <w:rFonts w:ascii="Times New Roman" w:eastAsia="仿宋_GB2312" w:hAnsi="Times New Roman" w:cs="Times New Roman" w:hint="eastAsia"/>
          <w:snapToGrid/>
          <w:kern w:val="2"/>
          <w:sz w:val="32"/>
          <w:szCs w:val="32"/>
          <w:lang w:val="zh-CN" w:eastAsia="zh-CN"/>
        </w:rPr>
        <w:t>械”安全宣传周</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次，提高公众识别、防范药品安全风险的意识。</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攀西检测院完成药品不良反应每百万人口报告数</w:t>
      </w:r>
      <w:r>
        <w:rPr>
          <w:rFonts w:ascii="Times New Roman" w:eastAsia="仿宋_GB2312" w:hAnsi="Times New Roman" w:cs="Times New Roman" w:hint="eastAsia"/>
          <w:snapToGrid/>
          <w:kern w:val="2"/>
          <w:sz w:val="32"/>
          <w:szCs w:val="32"/>
          <w:lang w:val="en" w:eastAsia="zh-CN"/>
        </w:rPr>
        <w:t>9</w:t>
      </w:r>
      <w:r>
        <w:rPr>
          <w:rFonts w:ascii="Times New Roman" w:eastAsia="仿宋_GB2312" w:hAnsi="Times New Roman" w:cs="Times New Roman" w:hint="eastAsia"/>
          <w:snapToGrid/>
          <w:kern w:val="2"/>
          <w:sz w:val="32"/>
          <w:szCs w:val="32"/>
          <w:lang w:val="zh-CN" w:eastAsia="zh-CN"/>
        </w:rPr>
        <w:t>00</w:t>
      </w:r>
      <w:r>
        <w:rPr>
          <w:rFonts w:ascii="Times New Roman" w:eastAsia="仿宋_GB2312" w:hAnsi="Times New Roman" w:cs="Times New Roman" w:hint="eastAsia"/>
          <w:snapToGrid/>
          <w:kern w:val="2"/>
          <w:sz w:val="32"/>
          <w:szCs w:val="32"/>
          <w:lang w:val="zh-CN" w:eastAsia="zh-CN"/>
        </w:rPr>
        <w:t>份以上；开展药械化不良反应</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不良事件及药物滥用宣传</w:t>
      </w: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次；推进药物滥用监测机构国家级哨点建设。</w:t>
      </w:r>
    </w:p>
    <w:p w:rsidR="004B0FC1" w:rsidRDefault="00A976D9">
      <w:pPr>
        <w:widowControl w:val="0"/>
        <w:kinsoku/>
        <w:autoSpaceDE/>
        <w:autoSpaceDN/>
        <w:spacing w:line="578" w:lineRule="exact"/>
        <w:ind w:firstLineChars="200" w:firstLine="632"/>
        <w:jc w:val="both"/>
        <w:textAlignment w:val="auto"/>
        <w:rPr>
          <w:rFonts w:ascii="Times New Roman" w:eastAsia="黑体" w:hAnsi="Times New Roman" w:cs="Times New Roman"/>
          <w:snapToGrid/>
          <w:kern w:val="2"/>
          <w:sz w:val="32"/>
          <w:szCs w:val="32"/>
          <w:lang w:eastAsia="zh-CN"/>
        </w:rPr>
      </w:pPr>
      <w:r>
        <w:rPr>
          <w:rFonts w:ascii="Times New Roman" w:eastAsia="黑体" w:hAnsi="Times New Roman" w:cs="Times New Roman" w:hint="eastAsia"/>
          <w:snapToGrid/>
          <w:kern w:val="2"/>
          <w:sz w:val="32"/>
          <w:szCs w:val="32"/>
          <w:lang w:eastAsia="zh-CN"/>
        </w:rPr>
        <w:t>二、评价实施</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（一）评价目的。</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通过开展项目绩效自评，全面检验资金使用的合</w:t>
      </w:r>
      <w:proofErr w:type="gramStart"/>
      <w:r>
        <w:rPr>
          <w:rFonts w:ascii="Times New Roman" w:eastAsia="仿宋_GB2312" w:hAnsi="Times New Roman" w:cs="Times New Roman" w:hint="eastAsia"/>
          <w:snapToGrid/>
          <w:kern w:val="2"/>
          <w:sz w:val="32"/>
          <w:szCs w:val="32"/>
          <w:lang w:val="zh-CN" w:eastAsia="zh-CN"/>
        </w:rPr>
        <w:t>规</w:t>
      </w:r>
      <w:proofErr w:type="gramEnd"/>
      <w:r>
        <w:rPr>
          <w:rFonts w:ascii="Times New Roman" w:eastAsia="仿宋_GB2312" w:hAnsi="Times New Roman" w:cs="Times New Roman" w:hint="eastAsia"/>
          <w:snapToGrid/>
          <w:kern w:val="2"/>
          <w:sz w:val="32"/>
          <w:szCs w:val="32"/>
          <w:lang w:val="zh-CN" w:eastAsia="zh-CN"/>
        </w:rPr>
        <w:t>性、效率性和成效性：一是对照既定绩效目标，系统核查资金在监管执法等方面的落实情况，客观评估目标完成度；二是规范资金管理流程，排查使用过程中是否存在截留、挤占、挪用等违规问题，确保专款专用、安全高效；三是总结项目实施中的经验与短板，精准识别监管工作薄弱环节，为后续资金分配、项目优化提供数据支撑；四是强化绩效导向，推动监管资源向核心</w:t>
      </w:r>
      <w:r>
        <w:rPr>
          <w:rFonts w:ascii="Times New Roman" w:eastAsia="仿宋_GB2312" w:hAnsi="Times New Roman" w:cs="Times New Roman" w:hint="eastAsia"/>
          <w:snapToGrid/>
          <w:kern w:val="2"/>
          <w:sz w:val="32"/>
          <w:szCs w:val="32"/>
          <w:lang w:val="zh-CN" w:eastAsia="zh-CN"/>
        </w:rPr>
        <w:lastRenderedPageBreak/>
        <w:t>任务倾斜，进一步提升药品安全保障能力、监管治理效能，最终实现“以评促改”，</w:t>
      </w:r>
      <w:proofErr w:type="gramStart"/>
      <w:r>
        <w:rPr>
          <w:rFonts w:ascii="Times New Roman" w:eastAsia="仿宋_GB2312" w:hAnsi="Times New Roman" w:cs="Times New Roman" w:hint="eastAsia"/>
          <w:snapToGrid/>
          <w:kern w:val="2"/>
          <w:sz w:val="32"/>
          <w:szCs w:val="32"/>
          <w:lang w:val="zh-CN" w:eastAsia="zh-CN"/>
        </w:rPr>
        <w:t>更好保障</w:t>
      </w:r>
      <w:proofErr w:type="gramEnd"/>
      <w:r>
        <w:rPr>
          <w:rFonts w:ascii="Times New Roman" w:eastAsia="仿宋_GB2312" w:hAnsi="Times New Roman" w:cs="Times New Roman" w:hint="eastAsia"/>
          <w:snapToGrid/>
          <w:kern w:val="2"/>
          <w:sz w:val="32"/>
          <w:szCs w:val="32"/>
          <w:lang w:val="zh-CN" w:eastAsia="zh-CN"/>
        </w:rPr>
        <w:t>公众用药</w:t>
      </w:r>
      <w:proofErr w:type="gramStart"/>
      <w:r>
        <w:rPr>
          <w:rFonts w:ascii="Times New Roman" w:eastAsia="仿宋_GB2312" w:hAnsi="Times New Roman" w:cs="Times New Roman" w:hint="eastAsia"/>
          <w:snapToGrid/>
          <w:kern w:val="2"/>
          <w:sz w:val="32"/>
          <w:szCs w:val="32"/>
          <w:lang w:val="zh-CN" w:eastAsia="zh-CN"/>
        </w:rPr>
        <w:t>用械用妆</w:t>
      </w:r>
      <w:proofErr w:type="gramEnd"/>
      <w:r>
        <w:rPr>
          <w:rFonts w:ascii="Times New Roman" w:eastAsia="仿宋_GB2312" w:hAnsi="Times New Roman" w:cs="Times New Roman" w:hint="eastAsia"/>
          <w:snapToGrid/>
          <w:kern w:val="2"/>
          <w:sz w:val="32"/>
          <w:szCs w:val="32"/>
          <w:lang w:val="zh-CN" w:eastAsia="zh-CN"/>
        </w:rPr>
        <w:t>安全。</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（二）预设问题及评价重点。</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按照绩效评价指标体系，重点关注资金管理与使用，方案执行、自评组织合理性、量化产出指标完成率等，核查问题整改落实情况及自评结果应用价值，全面判断资金使用全过程合</w:t>
      </w:r>
      <w:proofErr w:type="gramStart"/>
      <w:r>
        <w:rPr>
          <w:rFonts w:ascii="Times New Roman" w:eastAsia="仿宋_GB2312" w:hAnsi="Times New Roman" w:cs="Times New Roman" w:hint="eastAsia"/>
          <w:snapToGrid/>
          <w:kern w:val="2"/>
          <w:sz w:val="32"/>
          <w:szCs w:val="32"/>
          <w:lang w:val="zh-CN" w:eastAsia="zh-CN"/>
        </w:rPr>
        <w:t>规</w:t>
      </w:r>
      <w:proofErr w:type="gramEnd"/>
      <w:r>
        <w:rPr>
          <w:rFonts w:ascii="Times New Roman" w:eastAsia="仿宋_GB2312" w:hAnsi="Times New Roman" w:cs="Times New Roman" w:hint="eastAsia"/>
          <w:snapToGrid/>
          <w:kern w:val="2"/>
          <w:sz w:val="32"/>
          <w:szCs w:val="32"/>
          <w:lang w:val="zh-CN" w:eastAsia="zh-CN"/>
        </w:rPr>
        <w:t>性与实施成效。</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（三）评价选点。</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本项目绩效自评采用辖区内各项目</w:t>
      </w:r>
      <w:proofErr w:type="gramStart"/>
      <w:r>
        <w:rPr>
          <w:rFonts w:ascii="Times New Roman" w:eastAsia="仿宋_GB2312" w:hAnsi="Times New Roman" w:cs="Times New Roman" w:hint="eastAsia"/>
          <w:snapToGrid/>
          <w:kern w:val="2"/>
          <w:sz w:val="32"/>
          <w:szCs w:val="32"/>
          <w:lang w:val="zh-CN" w:eastAsia="zh-CN"/>
        </w:rPr>
        <w:t>点位全覆盖</w:t>
      </w:r>
      <w:proofErr w:type="gramEnd"/>
      <w:r>
        <w:rPr>
          <w:rFonts w:ascii="Times New Roman" w:eastAsia="仿宋_GB2312" w:hAnsi="Times New Roman" w:cs="Times New Roman" w:hint="eastAsia"/>
          <w:snapToGrid/>
          <w:kern w:val="2"/>
          <w:sz w:val="32"/>
          <w:szCs w:val="32"/>
          <w:lang w:val="zh-CN" w:eastAsia="zh-CN"/>
        </w:rPr>
        <w:t>自评，包括攀枝花市市场监管局机关、攀西院等</w:t>
      </w:r>
      <w:r>
        <w:rPr>
          <w:rFonts w:ascii="Times New Roman" w:eastAsia="仿宋_GB2312" w:hAnsi="Times New Roman" w:cs="Times New Roman" w:hint="eastAsia"/>
          <w:snapToGrid/>
          <w:kern w:val="2"/>
          <w:sz w:val="32"/>
          <w:szCs w:val="32"/>
          <w:lang w:val="zh-CN" w:eastAsia="zh-CN"/>
        </w:rPr>
        <w:t>7</w:t>
      </w:r>
      <w:r>
        <w:rPr>
          <w:rFonts w:ascii="Times New Roman" w:eastAsia="仿宋_GB2312" w:hAnsi="Times New Roman" w:cs="Times New Roman" w:hint="eastAsia"/>
          <w:snapToGrid/>
          <w:kern w:val="2"/>
          <w:sz w:val="32"/>
          <w:szCs w:val="32"/>
          <w:lang w:val="zh-CN" w:eastAsia="zh-CN"/>
        </w:rPr>
        <w:t>个点位。</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（四）评价方法。</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评价方法主要是根据资金使用的预设绩效目标，与相关业务科室通过单位自评的方法逐项对比实际完成情况与目标值，评估资金使用的效果。</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（五）评价组织。</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由市局财务科总牵头，各县（区）局、攀西院及市局各业务科室履行绩效自评主体责任，就各自负责绩效目标和工作任务完成情况、取得效益开展自评，并提供相关佐证资料，财务科进行审核汇总，形成自评报告，并就绩效评价过程中发现的问题督促整改优化，促进财政资金效益最大化。</w:t>
      </w:r>
    </w:p>
    <w:p w:rsidR="004B0FC1" w:rsidRDefault="00A976D9">
      <w:pPr>
        <w:widowControl w:val="0"/>
        <w:kinsoku/>
        <w:autoSpaceDE/>
        <w:autoSpaceDN/>
        <w:spacing w:line="578" w:lineRule="exact"/>
        <w:ind w:firstLineChars="200" w:firstLine="632"/>
        <w:jc w:val="both"/>
        <w:textAlignment w:val="auto"/>
        <w:rPr>
          <w:rFonts w:ascii="Times New Roman" w:eastAsia="黑体" w:hAnsi="Times New Roman" w:cs="Times New Roman"/>
          <w:snapToGrid/>
          <w:kern w:val="2"/>
          <w:sz w:val="32"/>
          <w:szCs w:val="32"/>
          <w:lang w:val="zh-CN" w:eastAsia="zh-CN"/>
        </w:rPr>
      </w:pPr>
      <w:r>
        <w:rPr>
          <w:rFonts w:ascii="Times New Roman" w:eastAsia="黑体" w:hAnsi="Times New Roman" w:cs="Times New Roman" w:hint="eastAsia"/>
          <w:snapToGrid/>
          <w:kern w:val="2"/>
          <w:sz w:val="32"/>
          <w:szCs w:val="32"/>
          <w:lang w:eastAsia="zh-CN"/>
        </w:rPr>
        <w:t>三、绩效分析</w:t>
      </w:r>
      <w:r>
        <w:rPr>
          <w:rFonts w:ascii="Times New Roman" w:eastAsia="黑体" w:hAnsi="Times New Roman" w:cs="Times New Roman" w:hint="eastAsia"/>
          <w:snapToGrid/>
          <w:kern w:val="2"/>
          <w:sz w:val="32"/>
          <w:szCs w:val="32"/>
          <w:lang w:val="zh-CN" w:eastAsia="zh-CN"/>
        </w:rPr>
        <w:tab/>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lastRenderedPageBreak/>
        <w:t>（一）通用指标绩效分析。</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项目决策。</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本项目决策程序严密，符合资金管理基本规范和决策程序要求；项目规划符合中央、省委省政府有关决策部署安排，项目对于支持攀枝花市药品监管事业发展提供强有力支撑，项目具有前瞻性、合理性和可行性，绩效目标设置科学合理、规范完整，能够量化细化，并与预算匹配。项目资金投向符合政府支持范围，且符合财政事权支出责任划分规定；资金投向与项目总体规划、相关行业事业发展相匹配；聚焦重大任务、重点领域、重点环节和重点项目。自评得分</w:t>
      </w:r>
      <w:r>
        <w:rPr>
          <w:rFonts w:ascii="Times New Roman" w:eastAsia="仿宋_GB2312" w:hAnsi="Times New Roman" w:cs="Times New Roman" w:hint="eastAsia"/>
          <w:snapToGrid/>
          <w:kern w:val="2"/>
          <w:sz w:val="32"/>
          <w:szCs w:val="32"/>
          <w:lang w:val="zh-CN" w:eastAsia="zh-CN"/>
        </w:rPr>
        <w:t>18</w:t>
      </w:r>
      <w:r>
        <w:rPr>
          <w:rFonts w:ascii="Times New Roman" w:eastAsia="仿宋_GB2312" w:hAnsi="Times New Roman" w:cs="Times New Roman" w:hint="eastAsia"/>
          <w:snapToGrid/>
          <w:kern w:val="2"/>
          <w:sz w:val="32"/>
          <w:szCs w:val="32"/>
          <w:lang w:val="zh-CN" w:eastAsia="zh-CN"/>
        </w:rPr>
        <w:t>分。</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项目管理。</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项目资金严格按照《食品药品监管补助资金管理办法》（</w:t>
      </w:r>
      <w:proofErr w:type="gramStart"/>
      <w:r>
        <w:rPr>
          <w:rFonts w:ascii="Times New Roman" w:eastAsia="仿宋_GB2312" w:hAnsi="Times New Roman" w:cs="Times New Roman" w:hint="eastAsia"/>
          <w:snapToGrid/>
          <w:kern w:val="2"/>
          <w:sz w:val="32"/>
          <w:szCs w:val="32"/>
          <w:lang w:val="zh-CN" w:eastAsia="zh-CN"/>
        </w:rPr>
        <w:t>财行〔</w:t>
      </w:r>
      <w:r>
        <w:rPr>
          <w:rFonts w:ascii="Times New Roman" w:eastAsia="仿宋_GB2312" w:hAnsi="Times New Roman" w:cs="Times New Roman" w:hint="eastAsia"/>
          <w:snapToGrid/>
          <w:kern w:val="2"/>
          <w:sz w:val="32"/>
          <w:szCs w:val="32"/>
          <w:lang w:val="zh-CN" w:eastAsia="zh-CN"/>
        </w:rPr>
        <w:t>2024</w:t>
      </w:r>
      <w:r>
        <w:rPr>
          <w:rFonts w:ascii="Times New Roman" w:eastAsia="仿宋_GB2312" w:hAnsi="Times New Roman" w:cs="Times New Roman" w:hint="eastAsia"/>
          <w:snapToGrid/>
          <w:kern w:val="2"/>
          <w:sz w:val="32"/>
          <w:szCs w:val="32"/>
          <w:lang w:val="zh-CN" w:eastAsia="zh-CN"/>
        </w:rPr>
        <w:t>〕</w:t>
      </w:r>
      <w:proofErr w:type="gramEnd"/>
      <w:r>
        <w:rPr>
          <w:rFonts w:ascii="Times New Roman" w:eastAsia="仿宋_GB2312" w:hAnsi="Times New Roman" w:cs="Times New Roman" w:hint="eastAsia"/>
          <w:snapToGrid/>
          <w:kern w:val="2"/>
          <w:sz w:val="32"/>
          <w:szCs w:val="32"/>
          <w:lang w:val="zh-CN" w:eastAsia="zh-CN"/>
        </w:rPr>
        <w:t>140</w:t>
      </w:r>
      <w:r>
        <w:rPr>
          <w:rFonts w:ascii="Times New Roman" w:eastAsia="仿宋_GB2312" w:hAnsi="Times New Roman" w:cs="Times New Roman" w:hint="eastAsia"/>
          <w:snapToGrid/>
          <w:kern w:val="2"/>
          <w:sz w:val="32"/>
          <w:szCs w:val="32"/>
          <w:lang w:val="zh-CN" w:eastAsia="zh-CN"/>
        </w:rPr>
        <w:t>号）、《中央财政食品药品监管补助资金管理实施办法》（</w:t>
      </w:r>
      <w:proofErr w:type="gramStart"/>
      <w:r>
        <w:rPr>
          <w:rFonts w:ascii="Times New Roman" w:eastAsia="仿宋_GB2312" w:hAnsi="Times New Roman" w:cs="Times New Roman" w:hint="eastAsia"/>
          <w:snapToGrid/>
          <w:kern w:val="2"/>
          <w:sz w:val="32"/>
          <w:szCs w:val="32"/>
          <w:lang w:val="zh-CN" w:eastAsia="zh-CN"/>
        </w:rPr>
        <w:t>川财行</w:t>
      </w:r>
      <w:proofErr w:type="gramEnd"/>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2024</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111</w:t>
      </w:r>
      <w:r>
        <w:rPr>
          <w:rFonts w:ascii="Times New Roman" w:eastAsia="仿宋_GB2312" w:hAnsi="Times New Roman" w:cs="Times New Roman" w:hint="eastAsia"/>
          <w:snapToGrid/>
          <w:kern w:val="2"/>
          <w:sz w:val="32"/>
          <w:szCs w:val="32"/>
          <w:lang w:val="zh-CN" w:eastAsia="zh-CN"/>
        </w:rPr>
        <w:t>号）相关规定，进行严格管理，做到专款专用，保障资金使用安全、财务处理及时、会计核算规范，保障专项资金的有效性和效益最大化，同时对各县（区）专项资金使用情况实时跟进，无挤占、挪用情况发生。严格按照《四川省财政厅</w:t>
      </w:r>
      <w:r>
        <w:rPr>
          <w:rFonts w:ascii="Times New Roman" w:eastAsia="仿宋_GB2312" w:hAnsi="Times New Roman" w:cs="Times New Roman" w:hint="eastAsia"/>
          <w:snapToGrid/>
          <w:kern w:val="2"/>
          <w:sz w:val="32"/>
          <w:szCs w:val="32"/>
          <w:lang w:val="zh-CN" w:eastAsia="zh-CN"/>
        </w:rPr>
        <w:t xml:space="preserve"> </w:t>
      </w:r>
      <w:r>
        <w:rPr>
          <w:rFonts w:ascii="Times New Roman" w:eastAsia="仿宋_GB2312" w:hAnsi="Times New Roman" w:cs="Times New Roman" w:hint="eastAsia"/>
          <w:snapToGrid/>
          <w:kern w:val="2"/>
          <w:sz w:val="32"/>
          <w:szCs w:val="32"/>
          <w:lang w:val="zh-CN" w:eastAsia="zh-CN"/>
        </w:rPr>
        <w:t>四川省药品监督管理局关于下达</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年中央财政药品监管补助资金的通知》（</w:t>
      </w:r>
      <w:proofErr w:type="gramStart"/>
      <w:r>
        <w:rPr>
          <w:rFonts w:ascii="Times New Roman" w:eastAsia="仿宋_GB2312" w:hAnsi="Times New Roman" w:cs="Times New Roman" w:hint="eastAsia"/>
          <w:snapToGrid/>
          <w:kern w:val="2"/>
          <w:sz w:val="32"/>
          <w:szCs w:val="32"/>
          <w:lang w:val="zh-CN" w:eastAsia="zh-CN"/>
        </w:rPr>
        <w:t>川财行</w:t>
      </w:r>
      <w:proofErr w:type="gramEnd"/>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59</w:t>
      </w:r>
      <w:r>
        <w:rPr>
          <w:rFonts w:ascii="Times New Roman" w:eastAsia="仿宋_GB2312" w:hAnsi="Times New Roman" w:cs="Times New Roman" w:hint="eastAsia"/>
          <w:snapToGrid/>
          <w:kern w:val="2"/>
          <w:sz w:val="32"/>
          <w:szCs w:val="32"/>
          <w:lang w:val="zh-CN" w:eastAsia="zh-CN"/>
        </w:rPr>
        <w:t>号）下达</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年度省级药品监管专项资金项目的目标任务执行。自评得分</w:t>
      </w:r>
      <w:r>
        <w:rPr>
          <w:rFonts w:ascii="Times New Roman" w:eastAsia="仿宋_GB2312" w:hAnsi="Times New Roman" w:cs="Times New Roman" w:hint="eastAsia"/>
          <w:snapToGrid/>
          <w:kern w:val="2"/>
          <w:sz w:val="32"/>
          <w:szCs w:val="32"/>
          <w:lang w:val="zh-CN" w:eastAsia="zh-CN"/>
        </w:rPr>
        <w:t>18</w:t>
      </w:r>
      <w:r>
        <w:rPr>
          <w:rFonts w:ascii="Times New Roman" w:eastAsia="仿宋_GB2312" w:hAnsi="Times New Roman" w:cs="Times New Roman" w:hint="eastAsia"/>
          <w:snapToGrid/>
          <w:kern w:val="2"/>
          <w:sz w:val="32"/>
          <w:szCs w:val="32"/>
          <w:lang w:val="zh-CN" w:eastAsia="zh-CN"/>
        </w:rPr>
        <w:t>分。</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lastRenderedPageBreak/>
        <w:t>3.</w:t>
      </w:r>
      <w:r>
        <w:rPr>
          <w:rFonts w:ascii="Times New Roman" w:eastAsia="仿宋_GB2312" w:hAnsi="Times New Roman" w:cs="Times New Roman" w:hint="eastAsia"/>
          <w:snapToGrid/>
          <w:kern w:val="2"/>
          <w:sz w:val="32"/>
          <w:szCs w:val="32"/>
          <w:lang w:val="zh-CN" w:eastAsia="zh-CN"/>
        </w:rPr>
        <w:t>项目实施。</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）预算执行。根据《四川省财政厅</w:t>
      </w:r>
      <w:r>
        <w:rPr>
          <w:rFonts w:ascii="Times New Roman" w:eastAsia="仿宋_GB2312" w:hAnsi="Times New Roman" w:cs="Times New Roman" w:hint="eastAsia"/>
          <w:snapToGrid/>
          <w:kern w:val="2"/>
          <w:sz w:val="32"/>
          <w:szCs w:val="32"/>
          <w:lang w:val="zh-CN" w:eastAsia="zh-CN"/>
        </w:rPr>
        <w:t xml:space="preserve"> </w:t>
      </w:r>
      <w:r>
        <w:rPr>
          <w:rFonts w:ascii="Times New Roman" w:eastAsia="仿宋_GB2312" w:hAnsi="Times New Roman" w:cs="Times New Roman" w:hint="eastAsia"/>
          <w:snapToGrid/>
          <w:kern w:val="2"/>
          <w:sz w:val="32"/>
          <w:szCs w:val="32"/>
          <w:lang w:val="zh-CN" w:eastAsia="zh-CN"/>
        </w:rPr>
        <w:t>四川省药品监督管理局关于提前通知</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年中央财政药品监管补助资金预算的通知》（</w:t>
      </w:r>
      <w:proofErr w:type="gramStart"/>
      <w:r>
        <w:rPr>
          <w:rFonts w:ascii="Times New Roman" w:eastAsia="仿宋_GB2312" w:hAnsi="Times New Roman" w:cs="Times New Roman" w:hint="eastAsia"/>
          <w:snapToGrid/>
          <w:kern w:val="2"/>
          <w:sz w:val="32"/>
          <w:szCs w:val="32"/>
          <w:lang w:val="zh-CN" w:eastAsia="zh-CN"/>
        </w:rPr>
        <w:t>川财行</w:t>
      </w:r>
      <w:proofErr w:type="gramEnd"/>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59</w:t>
      </w:r>
      <w:r>
        <w:rPr>
          <w:rFonts w:ascii="Times New Roman" w:eastAsia="仿宋_GB2312" w:hAnsi="Times New Roman" w:cs="Times New Roman" w:hint="eastAsia"/>
          <w:snapToGrid/>
          <w:kern w:val="2"/>
          <w:sz w:val="32"/>
          <w:szCs w:val="32"/>
          <w:lang w:val="zh-CN" w:eastAsia="zh-CN"/>
        </w:rPr>
        <w:t>号）、《四川省财政厅</w:t>
      </w:r>
      <w:r>
        <w:rPr>
          <w:rFonts w:ascii="Times New Roman" w:eastAsia="仿宋_GB2312" w:hAnsi="Times New Roman" w:cs="Times New Roman" w:hint="eastAsia"/>
          <w:snapToGrid/>
          <w:kern w:val="2"/>
          <w:sz w:val="32"/>
          <w:szCs w:val="32"/>
          <w:lang w:val="zh-CN" w:eastAsia="zh-CN"/>
        </w:rPr>
        <w:t xml:space="preserve"> </w:t>
      </w:r>
      <w:r>
        <w:rPr>
          <w:rFonts w:ascii="Times New Roman" w:eastAsia="仿宋_GB2312" w:hAnsi="Times New Roman" w:cs="Times New Roman" w:hint="eastAsia"/>
          <w:snapToGrid/>
          <w:kern w:val="2"/>
          <w:sz w:val="32"/>
          <w:szCs w:val="32"/>
          <w:lang w:val="zh-CN" w:eastAsia="zh-CN"/>
        </w:rPr>
        <w:t>四川省药品监督管理局关于下达</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年中央财政药品监管补助资金的通知》（</w:t>
      </w:r>
      <w:proofErr w:type="gramStart"/>
      <w:r>
        <w:rPr>
          <w:rFonts w:ascii="Times New Roman" w:eastAsia="仿宋_GB2312" w:hAnsi="Times New Roman" w:cs="Times New Roman" w:hint="eastAsia"/>
          <w:snapToGrid/>
          <w:kern w:val="2"/>
          <w:sz w:val="32"/>
          <w:szCs w:val="32"/>
          <w:lang w:val="zh-CN" w:eastAsia="zh-CN"/>
        </w:rPr>
        <w:t>川财行</w:t>
      </w:r>
      <w:proofErr w:type="gramEnd"/>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59</w:t>
      </w:r>
      <w:r>
        <w:rPr>
          <w:rFonts w:ascii="Times New Roman" w:eastAsia="仿宋_GB2312" w:hAnsi="Times New Roman" w:cs="Times New Roman" w:hint="eastAsia"/>
          <w:snapToGrid/>
          <w:kern w:val="2"/>
          <w:sz w:val="32"/>
          <w:szCs w:val="32"/>
          <w:lang w:val="zh-CN" w:eastAsia="zh-CN"/>
        </w:rPr>
        <w:t>号）文件精神，我市及时分配下达资金，财政资金拨付率</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，各项</w:t>
      </w:r>
      <w:proofErr w:type="gramStart"/>
      <w:r>
        <w:rPr>
          <w:rFonts w:ascii="Times New Roman" w:eastAsia="仿宋_GB2312" w:hAnsi="Times New Roman" w:cs="Times New Roman" w:hint="eastAsia"/>
          <w:snapToGrid/>
          <w:kern w:val="2"/>
          <w:sz w:val="32"/>
          <w:szCs w:val="32"/>
          <w:lang w:val="zh-CN" w:eastAsia="zh-CN"/>
        </w:rPr>
        <w:t>目单位</w:t>
      </w:r>
      <w:proofErr w:type="gramEnd"/>
      <w:r>
        <w:rPr>
          <w:rFonts w:ascii="Times New Roman" w:eastAsia="仿宋_GB2312" w:hAnsi="Times New Roman" w:cs="Times New Roman" w:hint="eastAsia"/>
          <w:snapToGrid/>
          <w:kern w:val="2"/>
          <w:sz w:val="32"/>
          <w:szCs w:val="32"/>
          <w:lang w:val="zh-CN" w:eastAsia="zh-CN"/>
        </w:rPr>
        <w:t>及时开展相关工作任务，加快预算执行，截至评价时点，预算执行率达</w:t>
      </w:r>
      <w:r>
        <w:rPr>
          <w:rFonts w:ascii="Times New Roman" w:eastAsia="仿宋_GB2312" w:hAnsi="Times New Roman" w:cs="Times New Roman" w:hint="eastAsia"/>
          <w:snapToGrid/>
          <w:kern w:val="2"/>
          <w:sz w:val="32"/>
          <w:szCs w:val="32"/>
          <w:lang w:val="zh-CN" w:eastAsia="zh-CN"/>
        </w:rPr>
        <w:t>98.</w:t>
      </w:r>
      <w:r>
        <w:rPr>
          <w:rFonts w:ascii="Times New Roman" w:eastAsia="仿宋_GB2312" w:hAnsi="Times New Roman" w:cs="Times New Roman" w:hint="eastAsia"/>
          <w:snapToGrid/>
          <w:kern w:val="2"/>
          <w:sz w:val="32"/>
          <w:szCs w:val="32"/>
          <w:lang w:eastAsia="zh-CN"/>
        </w:rPr>
        <w:t>9</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。自评得分</w:t>
      </w:r>
      <w:r>
        <w:rPr>
          <w:rFonts w:ascii="Times New Roman" w:eastAsia="仿宋_GB2312" w:hAnsi="Times New Roman" w:cs="Times New Roman" w:hint="eastAsia"/>
          <w:snapToGrid/>
          <w:kern w:val="2"/>
          <w:sz w:val="32"/>
          <w:szCs w:val="32"/>
          <w:lang w:val="zh-CN" w:eastAsia="zh-CN"/>
        </w:rPr>
        <w:t>5.98</w:t>
      </w:r>
      <w:r>
        <w:rPr>
          <w:rFonts w:ascii="Times New Roman" w:eastAsia="仿宋_GB2312" w:hAnsi="Times New Roman" w:cs="Times New Roman" w:hint="eastAsia"/>
          <w:snapToGrid/>
          <w:kern w:val="2"/>
          <w:sz w:val="32"/>
          <w:szCs w:val="32"/>
          <w:lang w:val="zh-CN" w:eastAsia="zh-CN"/>
        </w:rPr>
        <w:t>分。</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项目实施均遵守相关法律法规。自评得分</w:t>
      </w:r>
      <w:r>
        <w:rPr>
          <w:rFonts w:ascii="Times New Roman" w:eastAsia="仿宋_GB2312" w:hAnsi="Times New Roman" w:cs="Times New Roman" w:hint="eastAsia"/>
          <w:snapToGrid/>
          <w:kern w:val="2"/>
          <w:sz w:val="32"/>
          <w:szCs w:val="32"/>
          <w:lang w:val="zh-CN" w:eastAsia="zh-CN"/>
        </w:rPr>
        <w:t>3</w:t>
      </w:r>
      <w:r>
        <w:rPr>
          <w:rFonts w:ascii="Times New Roman" w:eastAsia="仿宋_GB2312" w:hAnsi="Times New Roman" w:cs="Times New Roman" w:hint="eastAsia"/>
          <w:snapToGrid/>
          <w:kern w:val="2"/>
          <w:sz w:val="32"/>
          <w:szCs w:val="32"/>
          <w:lang w:val="zh-CN" w:eastAsia="zh-CN"/>
        </w:rPr>
        <w:t>分。</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4.</w:t>
      </w:r>
      <w:r>
        <w:rPr>
          <w:rFonts w:ascii="Times New Roman" w:eastAsia="仿宋_GB2312" w:hAnsi="Times New Roman" w:cs="Times New Roman" w:hint="eastAsia"/>
          <w:snapToGrid/>
          <w:kern w:val="2"/>
          <w:sz w:val="32"/>
          <w:szCs w:val="32"/>
          <w:lang w:val="zh-CN" w:eastAsia="zh-CN"/>
        </w:rPr>
        <w:t>项目结果。</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）目标完成。本项目涉及所有目标任务均已完成，项目实施结果与绩效目标一致。自评得分</w:t>
      </w:r>
      <w:r>
        <w:rPr>
          <w:rFonts w:ascii="Times New Roman" w:eastAsia="仿宋_GB2312" w:hAnsi="Times New Roman" w:cs="Times New Roman" w:hint="eastAsia"/>
          <w:snapToGrid/>
          <w:kern w:val="2"/>
          <w:sz w:val="32"/>
          <w:szCs w:val="32"/>
          <w:lang w:val="zh-CN" w:eastAsia="zh-CN"/>
        </w:rPr>
        <w:t>6</w:t>
      </w:r>
      <w:r>
        <w:rPr>
          <w:rFonts w:ascii="Times New Roman" w:eastAsia="仿宋_GB2312" w:hAnsi="Times New Roman" w:cs="Times New Roman" w:hint="eastAsia"/>
          <w:snapToGrid/>
          <w:kern w:val="2"/>
          <w:sz w:val="32"/>
          <w:szCs w:val="32"/>
          <w:lang w:val="zh-CN" w:eastAsia="zh-CN"/>
        </w:rPr>
        <w:t>分。</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）完成时效。所有项目均于</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w:t>
      </w:r>
      <w:r>
        <w:rPr>
          <w:rFonts w:ascii="Times New Roman" w:eastAsia="仿宋_GB2312" w:hAnsi="Times New Roman" w:cs="Times New Roman" w:hint="eastAsia"/>
          <w:snapToGrid/>
          <w:kern w:val="2"/>
          <w:sz w:val="32"/>
          <w:szCs w:val="32"/>
          <w:lang w:val="zh-CN" w:eastAsia="zh-CN"/>
        </w:rPr>
        <w:t>12</w:t>
      </w:r>
      <w:r>
        <w:rPr>
          <w:rFonts w:ascii="Times New Roman" w:eastAsia="仿宋_GB2312" w:hAnsi="Times New Roman" w:cs="Times New Roman" w:hint="eastAsia"/>
          <w:snapToGrid/>
          <w:kern w:val="2"/>
          <w:sz w:val="32"/>
          <w:szCs w:val="32"/>
          <w:lang w:val="zh-CN" w:eastAsia="zh-CN"/>
        </w:rPr>
        <w:t>月</w:t>
      </w:r>
      <w:r>
        <w:rPr>
          <w:rFonts w:ascii="Times New Roman" w:eastAsia="仿宋_GB2312" w:hAnsi="Times New Roman" w:cs="Times New Roman" w:hint="eastAsia"/>
          <w:snapToGrid/>
          <w:kern w:val="2"/>
          <w:sz w:val="32"/>
          <w:szCs w:val="32"/>
          <w:lang w:val="zh-CN" w:eastAsia="zh-CN"/>
        </w:rPr>
        <w:t>31</w:t>
      </w:r>
      <w:r>
        <w:rPr>
          <w:rFonts w:ascii="Times New Roman" w:eastAsia="仿宋_GB2312" w:hAnsi="Times New Roman" w:cs="Times New Roman" w:hint="eastAsia"/>
          <w:snapToGrid/>
          <w:kern w:val="2"/>
          <w:sz w:val="32"/>
          <w:szCs w:val="32"/>
          <w:lang w:val="zh-CN" w:eastAsia="zh-CN"/>
        </w:rPr>
        <w:t>日前完成，符合项目实施方案要求。自评得分</w:t>
      </w:r>
      <w:r>
        <w:rPr>
          <w:rFonts w:ascii="Times New Roman" w:eastAsia="仿宋_GB2312" w:hAnsi="Times New Roman" w:cs="Times New Roman" w:hint="eastAsia"/>
          <w:snapToGrid/>
          <w:kern w:val="2"/>
          <w:sz w:val="32"/>
          <w:szCs w:val="32"/>
          <w:lang w:val="zh-CN" w:eastAsia="zh-CN"/>
        </w:rPr>
        <w:t>3</w:t>
      </w:r>
      <w:r>
        <w:rPr>
          <w:rFonts w:ascii="Times New Roman" w:eastAsia="仿宋_GB2312" w:hAnsi="Times New Roman" w:cs="Times New Roman" w:hint="eastAsia"/>
          <w:snapToGrid/>
          <w:kern w:val="2"/>
          <w:sz w:val="32"/>
          <w:szCs w:val="32"/>
          <w:lang w:val="zh-CN" w:eastAsia="zh-CN"/>
        </w:rPr>
        <w:t>分。</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（二）专用指标绩效分析。</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用途合</w:t>
      </w:r>
      <w:proofErr w:type="gramStart"/>
      <w:r>
        <w:rPr>
          <w:rFonts w:ascii="Times New Roman" w:eastAsia="仿宋_GB2312" w:hAnsi="Times New Roman" w:cs="Times New Roman" w:hint="eastAsia"/>
          <w:snapToGrid/>
          <w:kern w:val="2"/>
          <w:sz w:val="32"/>
          <w:szCs w:val="32"/>
          <w:lang w:val="zh-CN" w:eastAsia="zh-CN"/>
        </w:rPr>
        <w:t>规</w:t>
      </w:r>
      <w:proofErr w:type="gramEnd"/>
      <w:r>
        <w:rPr>
          <w:rFonts w:ascii="Times New Roman" w:eastAsia="仿宋_GB2312" w:hAnsi="Times New Roman" w:cs="Times New Roman" w:hint="eastAsia"/>
          <w:snapToGrid/>
          <w:kern w:val="2"/>
          <w:sz w:val="32"/>
          <w:szCs w:val="32"/>
          <w:lang w:val="zh-CN" w:eastAsia="zh-CN"/>
        </w:rPr>
        <w:t>性。资金分配紧紧围绕《中央财政食品药品监</w:t>
      </w:r>
      <w:r>
        <w:rPr>
          <w:rFonts w:ascii="Times New Roman" w:eastAsia="仿宋_GB2312" w:hAnsi="Times New Roman" w:cs="Times New Roman" w:hint="eastAsia"/>
          <w:snapToGrid/>
          <w:kern w:val="2"/>
          <w:sz w:val="32"/>
          <w:szCs w:val="32"/>
          <w:lang w:val="zh-CN" w:eastAsia="zh-CN"/>
        </w:rPr>
        <w:lastRenderedPageBreak/>
        <w:t>管补助资金管理实施办法》规定用途、适用范围进行分配，符合</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年中央药品监管专项资金保障的范畴。自评得分</w:t>
      </w:r>
      <w:r>
        <w:rPr>
          <w:rFonts w:ascii="Times New Roman" w:eastAsia="仿宋_GB2312" w:hAnsi="Times New Roman" w:cs="Times New Roman" w:hint="eastAsia"/>
          <w:snapToGrid/>
          <w:kern w:val="2"/>
          <w:sz w:val="32"/>
          <w:szCs w:val="32"/>
          <w:lang w:val="zh-CN" w:eastAsia="zh-CN"/>
        </w:rPr>
        <w:t>10</w:t>
      </w:r>
      <w:r>
        <w:rPr>
          <w:rFonts w:ascii="Times New Roman" w:eastAsia="仿宋_GB2312" w:hAnsi="Times New Roman" w:cs="Times New Roman" w:hint="eastAsia"/>
          <w:snapToGrid/>
          <w:kern w:val="2"/>
          <w:sz w:val="32"/>
          <w:szCs w:val="32"/>
          <w:lang w:val="zh-CN" w:eastAsia="zh-CN"/>
        </w:rPr>
        <w:t>分。</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程序合</w:t>
      </w:r>
      <w:proofErr w:type="gramStart"/>
      <w:r>
        <w:rPr>
          <w:rFonts w:ascii="Times New Roman" w:eastAsia="仿宋_GB2312" w:hAnsi="Times New Roman" w:cs="Times New Roman" w:hint="eastAsia"/>
          <w:snapToGrid/>
          <w:kern w:val="2"/>
          <w:sz w:val="32"/>
          <w:szCs w:val="32"/>
          <w:lang w:val="zh-CN" w:eastAsia="zh-CN"/>
        </w:rPr>
        <w:t>规</w:t>
      </w:r>
      <w:proofErr w:type="gramEnd"/>
      <w:r>
        <w:rPr>
          <w:rFonts w:ascii="Times New Roman" w:eastAsia="仿宋_GB2312" w:hAnsi="Times New Roman" w:cs="Times New Roman" w:hint="eastAsia"/>
          <w:snapToGrid/>
          <w:kern w:val="2"/>
          <w:sz w:val="32"/>
          <w:szCs w:val="32"/>
          <w:lang w:val="zh-CN" w:eastAsia="zh-CN"/>
        </w:rPr>
        <w:t>性。资金分配依据清晰，经集体研究决策，程序合</w:t>
      </w:r>
      <w:proofErr w:type="gramStart"/>
      <w:r>
        <w:rPr>
          <w:rFonts w:ascii="Times New Roman" w:eastAsia="仿宋_GB2312" w:hAnsi="Times New Roman" w:cs="Times New Roman" w:hint="eastAsia"/>
          <w:snapToGrid/>
          <w:kern w:val="2"/>
          <w:sz w:val="32"/>
          <w:szCs w:val="32"/>
          <w:lang w:val="zh-CN" w:eastAsia="zh-CN"/>
        </w:rPr>
        <w:t>规</w:t>
      </w:r>
      <w:proofErr w:type="gramEnd"/>
      <w:r>
        <w:rPr>
          <w:rFonts w:ascii="Times New Roman" w:eastAsia="仿宋_GB2312" w:hAnsi="Times New Roman" w:cs="Times New Roman" w:hint="eastAsia"/>
          <w:snapToGrid/>
          <w:kern w:val="2"/>
          <w:sz w:val="32"/>
          <w:szCs w:val="32"/>
          <w:lang w:val="zh-CN" w:eastAsia="zh-CN"/>
        </w:rPr>
        <w:t>；资金支付与核算规范，单独核算专款专用。自评得分</w:t>
      </w:r>
      <w:r>
        <w:rPr>
          <w:rFonts w:ascii="Times New Roman" w:eastAsia="仿宋_GB2312" w:hAnsi="Times New Roman" w:cs="Times New Roman" w:hint="eastAsia"/>
          <w:snapToGrid/>
          <w:kern w:val="2"/>
          <w:sz w:val="32"/>
          <w:szCs w:val="32"/>
          <w:lang w:val="zh-CN" w:eastAsia="zh-CN"/>
        </w:rPr>
        <w:t>10</w:t>
      </w:r>
      <w:r>
        <w:rPr>
          <w:rFonts w:ascii="Times New Roman" w:eastAsia="仿宋_GB2312" w:hAnsi="Times New Roman" w:cs="Times New Roman" w:hint="eastAsia"/>
          <w:snapToGrid/>
          <w:kern w:val="2"/>
          <w:sz w:val="32"/>
          <w:szCs w:val="32"/>
          <w:lang w:val="zh-CN" w:eastAsia="zh-CN"/>
        </w:rPr>
        <w:t>分。</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3.</w:t>
      </w:r>
      <w:r>
        <w:rPr>
          <w:rFonts w:ascii="Times New Roman" w:eastAsia="仿宋_GB2312" w:hAnsi="Times New Roman" w:cs="Times New Roman" w:hint="eastAsia"/>
          <w:snapToGrid/>
          <w:kern w:val="2"/>
          <w:sz w:val="32"/>
          <w:szCs w:val="32"/>
          <w:lang w:val="zh-CN" w:eastAsia="zh-CN"/>
        </w:rPr>
        <w:t>标准合</w:t>
      </w:r>
      <w:proofErr w:type="gramStart"/>
      <w:r>
        <w:rPr>
          <w:rFonts w:ascii="Times New Roman" w:eastAsia="仿宋_GB2312" w:hAnsi="Times New Roman" w:cs="Times New Roman" w:hint="eastAsia"/>
          <w:snapToGrid/>
          <w:kern w:val="2"/>
          <w:sz w:val="32"/>
          <w:szCs w:val="32"/>
          <w:lang w:val="zh-CN" w:eastAsia="zh-CN"/>
        </w:rPr>
        <w:t>规</w:t>
      </w:r>
      <w:proofErr w:type="gramEnd"/>
      <w:r>
        <w:rPr>
          <w:rFonts w:ascii="Times New Roman" w:eastAsia="仿宋_GB2312" w:hAnsi="Times New Roman" w:cs="Times New Roman" w:hint="eastAsia"/>
          <w:snapToGrid/>
          <w:kern w:val="2"/>
          <w:sz w:val="32"/>
          <w:szCs w:val="32"/>
          <w:lang w:val="zh-CN" w:eastAsia="zh-CN"/>
        </w:rPr>
        <w:t>性。资金分配标准符合专项资金管理要求。自评得</w:t>
      </w:r>
      <w:r>
        <w:rPr>
          <w:rFonts w:ascii="Times New Roman" w:eastAsia="仿宋_GB2312" w:hAnsi="Times New Roman" w:cs="Times New Roman" w:hint="eastAsia"/>
          <w:snapToGrid/>
          <w:kern w:val="2"/>
          <w:sz w:val="32"/>
          <w:szCs w:val="32"/>
          <w:lang w:val="zh-CN" w:eastAsia="zh-CN"/>
        </w:rPr>
        <w:t>10</w:t>
      </w:r>
      <w:r>
        <w:rPr>
          <w:rFonts w:ascii="Times New Roman" w:eastAsia="仿宋_GB2312" w:hAnsi="Times New Roman" w:cs="Times New Roman" w:hint="eastAsia"/>
          <w:snapToGrid/>
          <w:kern w:val="2"/>
          <w:sz w:val="32"/>
          <w:szCs w:val="32"/>
          <w:lang w:val="zh-CN" w:eastAsia="zh-CN"/>
        </w:rPr>
        <w:t>分。</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（三）个性指标绩效分析。</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下达数量指标完成率。各点位按要求完成年度内的省级下达数量指标。</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下达质量达标率。除攀西钒钛检验检测院不涉及外，其余点位均完成下达质量达标率。</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3.</w:t>
      </w:r>
      <w:r>
        <w:rPr>
          <w:rFonts w:ascii="Times New Roman" w:eastAsia="仿宋_GB2312" w:hAnsi="Times New Roman" w:cs="Times New Roman" w:hint="eastAsia"/>
          <w:snapToGrid/>
          <w:kern w:val="2"/>
          <w:sz w:val="32"/>
          <w:szCs w:val="32"/>
          <w:lang w:val="zh-CN" w:eastAsia="zh-CN"/>
        </w:rPr>
        <w:t>时效指标。</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“两品</w:t>
      </w:r>
      <w:proofErr w:type="gramStart"/>
      <w:r>
        <w:rPr>
          <w:rFonts w:ascii="Times New Roman" w:eastAsia="仿宋_GB2312" w:hAnsi="Times New Roman" w:cs="Times New Roman" w:hint="eastAsia"/>
          <w:snapToGrid/>
          <w:kern w:val="2"/>
          <w:sz w:val="32"/>
          <w:szCs w:val="32"/>
          <w:lang w:val="zh-CN" w:eastAsia="zh-CN"/>
        </w:rPr>
        <w:t>一</w:t>
      </w:r>
      <w:proofErr w:type="gramEnd"/>
      <w:r>
        <w:rPr>
          <w:rFonts w:ascii="Times New Roman" w:eastAsia="仿宋_GB2312" w:hAnsi="Times New Roman" w:cs="Times New Roman" w:hint="eastAsia"/>
          <w:snapToGrid/>
          <w:kern w:val="2"/>
          <w:sz w:val="32"/>
          <w:szCs w:val="32"/>
          <w:lang w:val="zh-CN" w:eastAsia="zh-CN"/>
        </w:rPr>
        <w:t>械”安全宣传周、药械化不良反应</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不良事件及药物滥用宣传、监管人员培训工作均在</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w:t>
      </w:r>
      <w:r>
        <w:rPr>
          <w:rFonts w:ascii="Times New Roman" w:eastAsia="仿宋_GB2312" w:hAnsi="Times New Roman" w:cs="Times New Roman" w:hint="eastAsia"/>
          <w:snapToGrid/>
          <w:kern w:val="2"/>
          <w:sz w:val="32"/>
          <w:szCs w:val="32"/>
          <w:lang w:val="zh-CN" w:eastAsia="zh-CN"/>
        </w:rPr>
        <w:t>12</w:t>
      </w:r>
      <w:r>
        <w:rPr>
          <w:rFonts w:ascii="Times New Roman" w:eastAsia="仿宋_GB2312" w:hAnsi="Times New Roman" w:cs="Times New Roman" w:hint="eastAsia"/>
          <w:snapToGrid/>
          <w:kern w:val="2"/>
          <w:sz w:val="32"/>
          <w:szCs w:val="32"/>
          <w:lang w:val="zh-CN" w:eastAsia="zh-CN"/>
        </w:rPr>
        <w:t>月</w:t>
      </w:r>
      <w:r>
        <w:rPr>
          <w:rFonts w:ascii="Times New Roman" w:eastAsia="仿宋_GB2312" w:hAnsi="Times New Roman" w:cs="Times New Roman" w:hint="eastAsia"/>
          <w:snapToGrid/>
          <w:kern w:val="2"/>
          <w:sz w:val="32"/>
          <w:szCs w:val="32"/>
          <w:lang w:val="zh-CN" w:eastAsia="zh-CN"/>
        </w:rPr>
        <w:t>31</w:t>
      </w:r>
      <w:r>
        <w:rPr>
          <w:rFonts w:ascii="Times New Roman" w:eastAsia="仿宋_GB2312" w:hAnsi="Times New Roman" w:cs="Times New Roman" w:hint="eastAsia"/>
          <w:snapToGrid/>
          <w:kern w:val="2"/>
          <w:sz w:val="32"/>
          <w:szCs w:val="32"/>
          <w:lang w:val="zh-CN" w:eastAsia="zh-CN"/>
        </w:rPr>
        <w:t>日前完成。</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4.</w:t>
      </w:r>
      <w:r>
        <w:rPr>
          <w:rFonts w:ascii="Times New Roman" w:eastAsia="仿宋_GB2312" w:hAnsi="Times New Roman" w:cs="Times New Roman" w:hint="eastAsia"/>
          <w:snapToGrid/>
          <w:kern w:val="2"/>
          <w:sz w:val="32"/>
          <w:szCs w:val="32"/>
          <w:lang w:val="zh-CN" w:eastAsia="zh-CN"/>
        </w:rPr>
        <w:t>成本指标：</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年与开展全市药械化监管能力提升培训，培训成本不超过</w:t>
      </w:r>
      <w:r>
        <w:rPr>
          <w:rFonts w:ascii="Times New Roman" w:eastAsia="仿宋_GB2312" w:hAnsi="Times New Roman" w:cs="Times New Roman" w:hint="eastAsia"/>
          <w:snapToGrid/>
          <w:kern w:val="2"/>
          <w:sz w:val="32"/>
          <w:szCs w:val="32"/>
          <w:lang w:val="zh-CN" w:eastAsia="zh-CN"/>
        </w:rPr>
        <w:t>400</w:t>
      </w:r>
      <w:r>
        <w:rPr>
          <w:rFonts w:ascii="Times New Roman" w:eastAsia="仿宋_GB2312" w:hAnsi="Times New Roman" w:cs="Times New Roman" w:hint="eastAsia"/>
          <w:snapToGrid/>
          <w:kern w:val="2"/>
          <w:sz w:val="32"/>
          <w:szCs w:val="32"/>
          <w:lang w:val="zh-CN" w:eastAsia="zh-CN"/>
        </w:rPr>
        <w:t>元</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人</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天。</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5.</w:t>
      </w:r>
      <w:r>
        <w:rPr>
          <w:rFonts w:ascii="Times New Roman" w:eastAsia="仿宋_GB2312" w:hAnsi="Times New Roman" w:cs="Times New Roman" w:hint="eastAsia"/>
          <w:snapToGrid/>
          <w:kern w:val="2"/>
          <w:sz w:val="32"/>
          <w:szCs w:val="32"/>
          <w:lang w:val="zh-CN" w:eastAsia="zh-CN"/>
        </w:rPr>
        <w:t>效益指标：</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社会效益指标：通过药品、化妆品、医疗器械安全监管</w:t>
      </w:r>
      <w:r>
        <w:rPr>
          <w:rFonts w:ascii="Times New Roman" w:eastAsia="仿宋_GB2312" w:hAnsi="Times New Roman" w:cs="Times New Roman" w:hint="eastAsia"/>
          <w:snapToGrid/>
          <w:kern w:val="2"/>
          <w:sz w:val="32"/>
          <w:szCs w:val="32"/>
          <w:lang w:val="zh-CN" w:eastAsia="zh-CN"/>
        </w:rPr>
        <w:t xml:space="preserve"> </w:t>
      </w:r>
      <w:r>
        <w:rPr>
          <w:rFonts w:ascii="Times New Roman" w:eastAsia="仿宋_GB2312" w:hAnsi="Times New Roman" w:cs="Times New Roman" w:hint="eastAsia"/>
          <w:snapToGrid/>
          <w:kern w:val="2"/>
          <w:sz w:val="32"/>
          <w:szCs w:val="32"/>
          <w:lang w:val="zh-CN" w:eastAsia="zh-CN"/>
        </w:rPr>
        <w:t>培训，药品、化妆品、医疗器械安全执法能力和监管能力、经营</w:t>
      </w:r>
      <w:r>
        <w:rPr>
          <w:rFonts w:ascii="Times New Roman" w:eastAsia="仿宋_GB2312" w:hAnsi="Times New Roman" w:cs="Times New Roman" w:hint="eastAsia"/>
          <w:snapToGrid/>
          <w:kern w:val="2"/>
          <w:sz w:val="32"/>
          <w:szCs w:val="32"/>
          <w:lang w:val="zh-CN" w:eastAsia="zh-CN"/>
        </w:rPr>
        <w:lastRenderedPageBreak/>
        <w:t>安全监管水平得到逐步提高。通过药品抽检监测，药品抽检技术支撑能力和检验检测水平得到逐步提高。</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可持续影响指标：一是完善联合协作机制，加强与省药监局第五检查分局、市法院、市检察院、市公安局等部门合作，增强打击药品安全领域违法犯罪合力。“三医”协同持续深入，联合卫健、</w:t>
      </w:r>
      <w:proofErr w:type="gramStart"/>
      <w:r>
        <w:rPr>
          <w:rFonts w:ascii="Times New Roman" w:eastAsia="仿宋_GB2312" w:hAnsi="Times New Roman" w:cs="Times New Roman" w:hint="eastAsia"/>
          <w:snapToGrid/>
          <w:kern w:val="2"/>
          <w:sz w:val="32"/>
          <w:szCs w:val="32"/>
          <w:lang w:val="zh-CN" w:eastAsia="zh-CN"/>
        </w:rPr>
        <w:t>医</w:t>
      </w:r>
      <w:proofErr w:type="gramEnd"/>
      <w:r>
        <w:rPr>
          <w:rFonts w:ascii="Times New Roman" w:eastAsia="仿宋_GB2312" w:hAnsi="Times New Roman" w:cs="Times New Roman" w:hint="eastAsia"/>
          <w:snapToGrid/>
          <w:kern w:val="2"/>
          <w:sz w:val="32"/>
          <w:szCs w:val="32"/>
          <w:lang w:val="zh-CN" w:eastAsia="zh-CN"/>
        </w:rPr>
        <w:t>保部门联合印发“三医”协同发展和治理协作、紧密型县域</w:t>
      </w:r>
      <w:proofErr w:type="gramStart"/>
      <w:r>
        <w:rPr>
          <w:rFonts w:ascii="Times New Roman" w:eastAsia="仿宋_GB2312" w:hAnsi="Times New Roman" w:cs="Times New Roman" w:hint="eastAsia"/>
          <w:snapToGrid/>
          <w:kern w:val="2"/>
          <w:sz w:val="32"/>
          <w:szCs w:val="32"/>
          <w:lang w:val="zh-CN" w:eastAsia="zh-CN"/>
        </w:rPr>
        <w:t>医</w:t>
      </w:r>
      <w:proofErr w:type="gramEnd"/>
      <w:r>
        <w:rPr>
          <w:rFonts w:ascii="Times New Roman" w:eastAsia="仿宋_GB2312" w:hAnsi="Times New Roman" w:cs="Times New Roman" w:hint="eastAsia"/>
          <w:snapToGrid/>
          <w:kern w:val="2"/>
          <w:sz w:val="32"/>
          <w:szCs w:val="32"/>
          <w:lang w:val="zh-CN" w:eastAsia="zh-CN"/>
        </w:rPr>
        <w:t>共体急救药品调配等多项机制，有序推进医疗领域药品质量治理、公立医疗机构高质量发展示范项目建设、</w:t>
      </w:r>
      <w:proofErr w:type="gramStart"/>
      <w:r>
        <w:rPr>
          <w:rFonts w:ascii="Times New Roman" w:eastAsia="仿宋_GB2312" w:hAnsi="Times New Roman" w:cs="Times New Roman" w:hint="eastAsia"/>
          <w:snapToGrid/>
          <w:kern w:val="2"/>
          <w:sz w:val="32"/>
          <w:szCs w:val="32"/>
          <w:lang w:val="zh-CN" w:eastAsia="zh-CN"/>
        </w:rPr>
        <w:t>医</w:t>
      </w:r>
      <w:proofErr w:type="gramEnd"/>
      <w:r>
        <w:rPr>
          <w:rFonts w:ascii="Times New Roman" w:eastAsia="仿宋_GB2312" w:hAnsi="Times New Roman" w:cs="Times New Roman" w:hint="eastAsia"/>
          <w:snapToGrid/>
          <w:kern w:val="2"/>
          <w:sz w:val="32"/>
          <w:szCs w:val="32"/>
          <w:lang w:val="zh-CN" w:eastAsia="zh-CN"/>
        </w:rPr>
        <w:t>保基金突出问题专项治理等多项协同发展治理工作。二是有序开展抽检监测，围绕农村地区等重点区域和儿童用药、集采中选药品等重点品类，完成药械化抽样</w:t>
      </w:r>
      <w:r>
        <w:rPr>
          <w:rFonts w:ascii="Times New Roman" w:eastAsia="仿宋_GB2312" w:hAnsi="Times New Roman" w:cs="Times New Roman" w:hint="eastAsia"/>
          <w:snapToGrid/>
          <w:kern w:val="2"/>
          <w:sz w:val="32"/>
          <w:szCs w:val="32"/>
          <w:lang w:val="zh-CN" w:eastAsia="zh-CN"/>
        </w:rPr>
        <w:t>540</w:t>
      </w:r>
      <w:r>
        <w:rPr>
          <w:rFonts w:ascii="Times New Roman" w:eastAsia="仿宋_GB2312" w:hAnsi="Times New Roman" w:cs="Times New Roman" w:hint="eastAsia"/>
          <w:snapToGrid/>
          <w:kern w:val="2"/>
          <w:sz w:val="32"/>
          <w:szCs w:val="32"/>
          <w:lang w:val="zh-CN" w:eastAsia="zh-CN"/>
        </w:rPr>
        <w:t>批次，检验</w:t>
      </w:r>
      <w:r>
        <w:rPr>
          <w:rFonts w:ascii="Times New Roman" w:eastAsia="仿宋_GB2312" w:hAnsi="Times New Roman" w:cs="Times New Roman" w:hint="eastAsia"/>
          <w:snapToGrid/>
          <w:kern w:val="2"/>
          <w:sz w:val="32"/>
          <w:szCs w:val="32"/>
          <w:lang w:val="zh-CN" w:eastAsia="zh-CN"/>
        </w:rPr>
        <w:t>467</w:t>
      </w:r>
      <w:r>
        <w:rPr>
          <w:rFonts w:ascii="Times New Roman" w:eastAsia="仿宋_GB2312" w:hAnsi="Times New Roman" w:cs="Times New Roman" w:hint="eastAsia"/>
          <w:snapToGrid/>
          <w:kern w:val="2"/>
          <w:sz w:val="32"/>
          <w:szCs w:val="32"/>
          <w:lang w:val="zh-CN" w:eastAsia="zh-CN"/>
        </w:rPr>
        <w:t>批次，发现不合格药品、化妆品</w:t>
      </w: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批次，化妆品异常情况</w:t>
      </w:r>
      <w:r>
        <w:rPr>
          <w:rFonts w:ascii="Times New Roman" w:eastAsia="仿宋_GB2312" w:hAnsi="Times New Roman" w:cs="Times New Roman" w:hint="eastAsia"/>
          <w:snapToGrid/>
          <w:kern w:val="2"/>
          <w:sz w:val="32"/>
          <w:szCs w:val="32"/>
          <w:lang w:val="zh-CN" w:eastAsia="zh-CN"/>
        </w:rPr>
        <w:t>5</w:t>
      </w:r>
      <w:r>
        <w:rPr>
          <w:rFonts w:ascii="Times New Roman" w:eastAsia="仿宋_GB2312" w:hAnsi="Times New Roman" w:cs="Times New Roman" w:hint="eastAsia"/>
          <w:snapToGrid/>
          <w:kern w:val="2"/>
          <w:sz w:val="32"/>
          <w:szCs w:val="32"/>
          <w:lang w:val="zh-CN" w:eastAsia="zh-CN"/>
        </w:rPr>
        <w:t>起，均已依法依规处置；收集上报药械化安全性报告</w:t>
      </w:r>
      <w:r>
        <w:rPr>
          <w:rFonts w:ascii="Times New Roman" w:eastAsia="仿宋_GB2312" w:hAnsi="Times New Roman" w:cs="Times New Roman" w:hint="eastAsia"/>
          <w:snapToGrid/>
          <w:kern w:val="2"/>
          <w:sz w:val="32"/>
          <w:szCs w:val="32"/>
          <w:lang w:val="zh-CN" w:eastAsia="zh-CN"/>
        </w:rPr>
        <w:t>4620</w:t>
      </w:r>
      <w:r>
        <w:rPr>
          <w:rFonts w:ascii="Times New Roman" w:eastAsia="仿宋_GB2312" w:hAnsi="Times New Roman" w:cs="Times New Roman" w:hint="eastAsia"/>
          <w:snapToGrid/>
          <w:kern w:val="2"/>
          <w:sz w:val="32"/>
          <w:szCs w:val="32"/>
          <w:lang w:val="zh-CN" w:eastAsia="zh-CN"/>
        </w:rPr>
        <w:t>份、药物滥用调查表</w:t>
      </w:r>
      <w:r>
        <w:rPr>
          <w:rFonts w:ascii="Times New Roman" w:eastAsia="仿宋_GB2312" w:hAnsi="Times New Roman" w:cs="Times New Roman" w:hint="eastAsia"/>
          <w:snapToGrid/>
          <w:kern w:val="2"/>
          <w:sz w:val="32"/>
          <w:szCs w:val="32"/>
          <w:lang w:val="zh-CN" w:eastAsia="zh-CN"/>
        </w:rPr>
        <w:t>454</w:t>
      </w:r>
      <w:r>
        <w:rPr>
          <w:rFonts w:ascii="Times New Roman" w:eastAsia="仿宋_GB2312" w:hAnsi="Times New Roman" w:cs="Times New Roman" w:hint="eastAsia"/>
          <w:snapToGrid/>
          <w:kern w:val="2"/>
          <w:sz w:val="32"/>
          <w:szCs w:val="32"/>
          <w:lang w:val="zh-CN" w:eastAsia="zh-CN"/>
        </w:rPr>
        <w:t>份。</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6.</w:t>
      </w:r>
      <w:r>
        <w:rPr>
          <w:rFonts w:ascii="Times New Roman" w:eastAsia="仿宋_GB2312" w:hAnsi="Times New Roman" w:cs="Times New Roman" w:hint="eastAsia"/>
          <w:snapToGrid/>
          <w:kern w:val="2"/>
          <w:sz w:val="32"/>
          <w:szCs w:val="32"/>
          <w:lang w:val="zh-CN" w:eastAsia="zh-CN"/>
        </w:rPr>
        <w:t>满意度指标：</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持续优化政务服务持续优化，深化“最多跑一次”和“自公告”改革，持续提升增强“一网通办”服务能力，不深化“最多跑一次”和“自公告”改革，不断提升企业办事便利度和群众满意度，全年共办理药品类许可备案</w:t>
      </w:r>
      <w:r>
        <w:rPr>
          <w:rFonts w:ascii="Times New Roman" w:eastAsia="仿宋_GB2312" w:hAnsi="Times New Roman" w:cs="Times New Roman" w:hint="eastAsia"/>
          <w:snapToGrid/>
          <w:kern w:val="2"/>
          <w:sz w:val="32"/>
          <w:szCs w:val="32"/>
          <w:lang w:val="zh-CN" w:eastAsia="zh-CN"/>
        </w:rPr>
        <w:t>8058</w:t>
      </w:r>
      <w:r>
        <w:rPr>
          <w:rFonts w:ascii="Times New Roman" w:eastAsia="仿宋_GB2312" w:hAnsi="Times New Roman" w:cs="Times New Roman" w:hint="eastAsia"/>
          <w:snapToGrid/>
          <w:kern w:val="2"/>
          <w:sz w:val="32"/>
          <w:szCs w:val="32"/>
          <w:lang w:val="zh-CN" w:eastAsia="zh-CN"/>
        </w:rPr>
        <w:t>件、医疗器械类</w:t>
      </w:r>
      <w:r>
        <w:rPr>
          <w:rFonts w:ascii="Times New Roman" w:eastAsia="仿宋_GB2312" w:hAnsi="Times New Roman" w:cs="Times New Roman" w:hint="eastAsia"/>
          <w:snapToGrid/>
          <w:kern w:val="2"/>
          <w:sz w:val="32"/>
          <w:szCs w:val="32"/>
          <w:lang w:val="zh-CN" w:eastAsia="zh-CN"/>
        </w:rPr>
        <w:t>9531000</w:t>
      </w:r>
      <w:r>
        <w:rPr>
          <w:rFonts w:ascii="Times New Roman" w:eastAsia="仿宋_GB2312" w:hAnsi="Times New Roman" w:cs="Times New Roman" w:hint="eastAsia"/>
          <w:snapToGrid/>
          <w:kern w:val="2"/>
          <w:sz w:val="32"/>
          <w:szCs w:val="32"/>
          <w:lang w:val="zh-CN" w:eastAsia="zh-CN"/>
        </w:rPr>
        <w:t>件，实现“零超时”、群众满意率</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w:t>
      </w:r>
    </w:p>
    <w:p w:rsidR="004B0FC1" w:rsidRDefault="00A976D9">
      <w:pPr>
        <w:widowControl w:val="0"/>
        <w:kinsoku/>
        <w:autoSpaceDE/>
        <w:autoSpaceDN/>
        <w:spacing w:line="578" w:lineRule="exact"/>
        <w:ind w:firstLineChars="200" w:firstLine="632"/>
        <w:jc w:val="both"/>
        <w:textAlignment w:val="auto"/>
        <w:rPr>
          <w:rFonts w:ascii="Times New Roman" w:eastAsia="黑体" w:hAnsi="Times New Roman" w:cs="Times New Roman"/>
          <w:snapToGrid/>
          <w:kern w:val="2"/>
          <w:sz w:val="32"/>
          <w:szCs w:val="32"/>
          <w:lang w:eastAsia="zh-CN"/>
        </w:rPr>
      </w:pPr>
      <w:r>
        <w:rPr>
          <w:rFonts w:ascii="Times New Roman" w:eastAsia="黑体" w:hAnsi="Times New Roman" w:cs="Times New Roman" w:hint="eastAsia"/>
          <w:snapToGrid/>
          <w:kern w:val="2"/>
          <w:sz w:val="32"/>
          <w:szCs w:val="32"/>
          <w:lang w:eastAsia="zh-CN"/>
        </w:rPr>
        <w:t>四、评价结论</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lastRenderedPageBreak/>
        <w:t>本次评价选取</w:t>
      </w: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个市本级点位与</w:t>
      </w:r>
      <w:r>
        <w:rPr>
          <w:rFonts w:ascii="Times New Roman" w:eastAsia="仿宋_GB2312" w:hAnsi="Times New Roman" w:cs="Times New Roman" w:hint="eastAsia"/>
          <w:snapToGrid/>
          <w:kern w:val="2"/>
          <w:sz w:val="32"/>
          <w:szCs w:val="32"/>
          <w:lang w:val="zh-CN" w:eastAsia="zh-CN"/>
        </w:rPr>
        <w:t>5</w:t>
      </w:r>
      <w:r>
        <w:rPr>
          <w:rFonts w:ascii="Times New Roman" w:eastAsia="仿宋_GB2312" w:hAnsi="Times New Roman" w:cs="Times New Roman" w:hint="eastAsia"/>
          <w:snapToGrid/>
          <w:kern w:val="2"/>
          <w:sz w:val="32"/>
          <w:szCs w:val="32"/>
          <w:lang w:val="zh-CN" w:eastAsia="zh-CN"/>
        </w:rPr>
        <w:t>个县（区）作为评价点位，实现</w:t>
      </w:r>
      <w:proofErr w:type="gramStart"/>
      <w:r>
        <w:rPr>
          <w:rFonts w:ascii="Times New Roman" w:eastAsia="仿宋_GB2312" w:hAnsi="Times New Roman" w:cs="Times New Roman" w:hint="eastAsia"/>
          <w:snapToGrid/>
          <w:kern w:val="2"/>
          <w:sz w:val="32"/>
          <w:szCs w:val="32"/>
          <w:lang w:val="zh-CN" w:eastAsia="zh-CN"/>
        </w:rPr>
        <w:t>点位全覆盖</w:t>
      </w:r>
      <w:proofErr w:type="gramEnd"/>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年攀枝花市中央用品药品监管项目安排预算资金</w:t>
      </w:r>
      <w:r>
        <w:rPr>
          <w:rFonts w:ascii="Times New Roman" w:eastAsia="仿宋_GB2312" w:hAnsi="Times New Roman" w:cs="Times New Roman" w:hint="eastAsia"/>
          <w:snapToGrid/>
          <w:kern w:val="2"/>
          <w:sz w:val="32"/>
          <w:szCs w:val="32"/>
          <w:lang w:val="zh-CN" w:eastAsia="zh-CN"/>
        </w:rPr>
        <w:t>61</w:t>
      </w:r>
      <w:r>
        <w:rPr>
          <w:rFonts w:ascii="Times New Roman" w:eastAsia="仿宋_GB2312" w:hAnsi="Times New Roman" w:cs="Times New Roman" w:hint="eastAsia"/>
          <w:snapToGrid/>
          <w:kern w:val="2"/>
          <w:sz w:val="32"/>
          <w:szCs w:val="32"/>
          <w:lang w:val="zh-CN" w:eastAsia="zh-CN"/>
        </w:rPr>
        <w:t>万元。</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年度中央药品监管专项资金项目绩效评价得分</w:t>
      </w:r>
      <w:r>
        <w:rPr>
          <w:rFonts w:ascii="Times New Roman" w:eastAsia="仿宋_GB2312" w:hAnsi="Times New Roman" w:cs="Times New Roman" w:hint="eastAsia"/>
          <w:snapToGrid/>
          <w:kern w:val="2"/>
          <w:sz w:val="32"/>
          <w:szCs w:val="32"/>
          <w:lang w:val="zh-CN" w:eastAsia="zh-CN"/>
        </w:rPr>
        <w:t>99.98</w:t>
      </w:r>
      <w:r>
        <w:rPr>
          <w:rFonts w:ascii="Times New Roman" w:eastAsia="仿宋_GB2312" w:hAnsi="Times New Roman" w:cs="Times New Roman" w:hint="eastAsia"/>
          <w:snapToGrid/>
          <w:kern w:val="2"/>
          <w:sz w:val="32"/>
          <w:szCs w:val="32"/>
          <w:lang w:val="zh-CN" w:eastAsia="zh-CN"/>
        </w:rPr>
        <w:t>分。从评价结果来看，</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年度中央药品监管专项资金项目整体实施情况良好，项目实施和管理有效，资金分配程序和分配标准符合专项资金管理办法的要求。</w:t>
      </w:r>
    </w:p>
    <w:p w:rsidR="004B0FC1" w:rsidRDefault="00A976D9">
      <w:pPr>
        <w:widowControl w:val="0"/>
        <w:kinsoku/>
        <w:autoSpaceDE/>
        <w:autoSpaceDN/>
        <w:spacing w:line="578" w:lineRule="exact"/>
        <w:ind w:firstLineChars="200" w:firstLine="632"/>
        <w:jc w:val="both"/>
        <w:textAlignment w:val="auto"/>
        <w:rPr>
          <w:rFonts w:ascii="Times New Roman" w:eastAsia="黑体" w:hAnsi="Times New Roman" w:cs="Times New Roman"/>
          <w:snapToGrid/>
          <w:kern w:val="2"/>
          <w:sz w:val="32"/>
          <w:szCs w:val="32"/>
          <w:lang w:eastAsia="zh-CN"/>
        </w:rPr>
      </w:pPr>
      <w:r>
        <w:rPr>
          <w:rFonts w:ascii="Times New Roman" w:eastAsia="黑体" w:hAnsi="Times New Roman" w:cs="Times New Roman" w:hint="eastAsia"/>
          <w:snapToGrid/>
          <w:kern w:val="2"/>
          <w:sz w:val="32"/>
          <w:szCs w:val="32"/>
          <w:lang w:eastAsia="zh-CN"/>
        </w:rPr>
        <w:t>五、存在主要问题</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前期专项资金预算执行进度较慢，未达到资金执行进度要求。</w:t>
      </w:r>
    </w:p>
    <w:p w:rsidR="004B0FC1" w:rsidRDefault="00A976D9">
      <w:pPr>
        <w:widowControl w:val="0"/>
        <w:kinsoku/>
        <w:autoSpaceDE/>
        <w:autoSpaceDN/>
        <w:spacing w:line="578" w:lineRule="exact"/>
        <w:ind w:firstLineChars="200" w:firstLine="632"/>
        <w:jc w:val="both"/>
        <w:textAlignment w:val="auto"/>
        <w:rPr>
          <w:rFonts w:ascii="Times New Roman" w:eastAsia="黑体" w:hAnsi="Times New Roman" w:cs="Times New Roman"/>
          <w:snapToGrid/>
          <w:kern w:val="2"/>
          <w:sz w:val="32"/>
          <w:szCs w:val="32"/>
          <w:lang w:val="zh-CN" w:eastAsia="zh-CN"/>
        </w:rPr>
      </w:pPr>
      <w:r>
        <w:rPr>
          <w:rFonts w:ascii="Times New Roman" w:eastAsia="黑体" w:hAnsi="Times New Roman" w:cs="Times New Roman" w:hint="eastAsia"/>
          <w:snapToGrid/>
          <w:kern w:val="2"/>
          <w:sz w:val="32"/>
          <w:szCs w:val="32"/>
          <w:lang w:val="zh-CN" w:eastAsia="zh-CN"/>
        </w:rPr>
        <w:t>六、改进建议</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sectPr w:rsidR="004B0FC1">
          <w:pgSz w:w="11906" w:h="16838"/>
          <w:pgMar w:top="2098" w:right="1474" w:bottom="1984" w:left="1587" w:header="907" w:footer="1644" w:gutter="0"/>
          <w:cols w:space="0"/>
          <w:docGrid w:type="linesAndChars" w:linePitch="579" w:charSpace="-842"/>
        </w:sectPr>
      </w:pPr>
      <w:bookmarkStart w:id="66" w:name="_Hlk110546638"/>
      <w:r>
        <w:rPr>
          <w:rFonts w:ascii="Times New Roman" w:eastAsia="仿宋_GB2312" w:hAnsi="Times New Roman" w:cs="Times New Roman" w:hint="eastAsia"/>
          <w:snapToGrid/>
          <w:kern w:val="2"/>
          <w:sz w:val="32"/>
          <w:szCs w:val="32"/>
          <w:lang w:val="zh-CN" w:eastAsia="zh-CN"/>
        </w:rPr>
        <w:t>无。</w:t>
      </w:r>
    </w:p>
    <w:bookmarkEnd w:id="66"/>
    <w:p w:rsidR="004B0FC1" w:rsidRDefault="00A976D9">
      <w:pPr>
        <w:spacing w:before="101" w:line="360" w:lineRule="auto"/>
        <w:rPr>
          <w:rFonts w:ascii="黑体" w:eastAsia="黑体" w:hAnsi="黑体" w:cs="黑体"/>
          <w:sz w:val="31"/>
          <w:szCs w:val="31"/>
          <w:lang w:eastAsia="zh-CN"/>
        </w:rPr>
      </w:pPr>
      <w:r>
        <w:rPr>
          <w:rFonts w:ascii="黑体" w:eastAsia="黑体" w:hAnsi="黑体" w:cs="黑体"/>
          <w:spacing w:val="-2"/>
          <w:sz w:val="31"/>
          <w:szCs w:val="31"/>
          <w:lang w:eastAsia="zh-CN"/>
        </w:rPr>
        <w:lastRenderedPageBreak/>
        <w:t>附件2-3</w:t>
      </w:r>
    </w:p>
    <w:p w:rsidR="004B0FC1" w:rsidRDefault="00A976D9">
      <w:pPr>
        <w:widowControl w:val="0"/>
        <w:kinsoku/>
        <w:autoSpaceDE/>
        <w:autoSpaceDN/>
        <w:adjustRightInd/>
        <w:snapToGrid/>
        <w:spacing w:line="600" w:lineRule="exact"/>
        <w:jc w:val="center"/>
        <w:textAlignment w:val="auto"/>
        <w:rPr>
          <w:rFonts w:ascii="Times New Roman" w:eastAsia="方正小标宋简体" w:hAnsi="Times New Roman" w:cs="Times New Roman"/>
          <w:snapToGrid/>
          <w:kern w:val="2"/>
          <w:sz w:val="40"/>
          <w:szCs w:val="40"/>
          <w:lang w:eastAsia="zh-CN"/>
        </w:rPr>
      </w:pPr>
      <w:r>
        <w:rPr>
          <w:rFonts w:ascii="Times New Roman" w:eastAsia="方正小标宋简体" w:hAnsi="Times New Roman" w:cs="Times New Roman" w:hint="eastAsia"/>
          <w:snapToGrid/>
          <w:kern w:val="2"/>
          <w:sz w:val="40"/>
          <w:szCs w:val="40"/>
          <w:lang w:eastAsia="zh-CN"/>
        </w:rPr>
        <w:t>攀枝花市市场监督管理局</w:t>
      </w:r>
    </w:p>
    <w:p w:rsidR="004B0FC1" w:rsidRDefault="00A976D9">
      <w:pPr>
        <w:widowControl w:val="0"/>
        <w:kinsoku/>
        <w:autoSpaceDE/>
        <w:autoSpaceDN/>
        <w:adjustRightInd/>
        <w:snapToGrid/>
        <w:spacing w:line="600" w:lineRule="exact"/>
        <w:jc w:val="center"/>
        <w:textAlignment w:val="auto"/>
        <w:rPr>
          <w:rFonts w:ascii="Times New Roman" w:eastAsia="方正小标宋简体" w:hAnsi="Times New Roman" w:cs="Times New Roman"/>
          <w:snapToGrid/>
          <w:kern w:val="2"/>
          <w:sz w:val="40"/>
          <w:szCs w:val="40"/>
          <w:lang w:eastAsia="zh-CN"/>
        </w:rPr>
      </w:pPr>
      <w:r>
        <w:rPr>
          <w:rFonts w:ascii="Times New Roman" w:eastAsia="方正小标宋简体" w:hAnsi="Times New Roman" w:cs="Times New Roman" w:hint="eastAsia"/>
          <w:snapToGrid/>
          <w:kern w:val="2"/>
          <w:sz w:val="40"/>
          <w:szCs w:val="40"/>
          <w:lang w:eastAsia="zh-CN"/>
        </w:rPr>
        <w:t>2025</w:t>
      </w:r>
      <w:r>
        <w:rPr>
          <w:rFonts w:ascii="Times New Roman" w:eastAsia="方正小标宋简体" w:hAnsi="Times New Roman" w:cs="Times New Roman" w:hint="eastAsia"/>
          <w:snapToGrid/>
          <w:kern w:val="2"/>
          <w:sz w:val="40"/>
          <w:szCs w:val="40"/>
          <w:lang w:eastAsia="zh-CN"/>
        </w:rPr>
        <w:t>年省级财政药品监管资金绩效自评报告</w:t>
      </w:r>
    </w:p>
    <w:p w:rsidR="004B0FC1" w:rsidRDefault="004B0FC1">
      <w:pPr>
        <w:pStyle w:val="ab"/>
        <w:widowControl w:val="0"/>
        <w:kinsoku/>
        <w:autoSpaceDE/>
        <w:autoSpaceDN/>
        <w:adjustRightInd/>
        <w:snapToGrid/>
        <w:spacing w:line="0" w:lineRule="atLeast"/>
        <w:jc w:val="center"/>
        <w:textAlignment w:val="auto"/>
        <w:rPr>
          <w:rFonts w:ascii="方正小标宋_GBK" w:eastAsia="方正小标宋_GBK" w:hAnsi="Times New Roman" w:cs="Times New Roman"/>
          <w:b/>
          <w:snapToGrid/>
          <w:color w:val="auto"/>
          <w:kern w:val="2"/>
          <w:sz w:val="44"/>
          <w:szCs w:val="44"/>
          <w:lang w:val="en-US"/>
        </w:rPr>
      </w:pPr>
    </w:p>
    <w:p w:rsidR="004B0FC1" w:rsidRDefault="00A976D9">
      <w:pPr>
        <w:widowControl w:val="0"/>
        <w:kinsoku/>
        <w:autoSpaceDE/>
        <w:autoSpaceDN/>
        <w:spacing w:line="578" w:lineRule="exact"/>
        <w:ind w:firstLineChars="200" w:firstLine="632"/>
        <w:jc w:val="both"/>
        <w:textAlignment w:val="auto"/>
        <w:rPr>
          <w:rFonts w:ascii="Times New Roman" w:eastAsia="黑体" w:hAnsi="Times New Roman" w:cs="Times New Roman"/>
          <w:snapToGrid/>
          <w:color w:val="auto"/>
          <w:kern w:val="2"/>
          <w:sz w:val="32"/>
          <w:szCs w:val="32"/>
          <w:lang w:val="zh-CN" w:eastAsia="zh-CN"/>
        </w:rPr>
      </w:pPr>
      <w:r>
        <w:rPr>
          <w:rFonts w:ascii="Times New Roman" w:eastAsia="黑体" w:hAnsi="Times New Roman" w:cs="Times New Roman" w:hint="eastAsia"/>
          <w:snapToGrid/>
          <w:color w:val="auto"/>
          <w:kern w:val="2"/>
          <w:sz w:val="32"/>
          <w:szCs w:val="32"/>
          <w:lang w:eastAsia="zh-CN"/>
        </w:rPr>
        <w:t>一、</w:t>
      </w:r>
      <w:r>
        <w:rPr>
          <w:rFonts w:ascii="Times New Roman" w:eastAsia="黑体" w:hAnsi="Times New Roman" w:cs="Times New Roman" w:hint="eastAsia"/>
          <w:snapToGrid/>
          <w:color w:val="auto"/>
          <w:kern w:val="2"/>
          <w:sz w:val="32"/>
          <w:szCs w:val="32"/>
          <w:lang w:val="zh-CN" w:eastAsia="zh-CN"/>
        </w:rPr>
        <w:t>项目概况</w:t>
      </w:r>
    </w:p>
    <w:p w:rsidR="004B0FC1" w:rsidRDefault="00A976D9">
      <w:pPr>
        <w:kinsoku/>
        <w:autoSpaceDE/>
        <w:autoSpaceDN/>
        <w:spacing w:line="578" w:lineRule="exact"/>
        <w:ind w:firstLineChars="200" w:firstLine="632"/>
        <w:contextualSpacing/>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（一）实施目的及支持方向。</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年项目涉及市市场监管局本级、</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个所属事业单位及</w:t>
      </w:r>
      <w:r>
        <w:rPr>
          <w:rFonts w:ascii="Times New Roman" w:eastAsia="仿宋_GB2312" w:hAnsi="Times New Roman" w:cs="Times New Roman" w:hint="eastAsia"/>
          <w:snapToGrid/>
          <w:kern w:val="2"/>
          <w:sz w:val="32"/>
          <w:szCs w:val="32"/>
          <w:lang w:val="zh-CN" w:eastAsia="zh-CN"/>
        </w:rPr>
        <w:t>5</w:t>
      </w:r>
      <w:r>
        <w:rPr>
          <w:rFonts w:ascii="Times New Roman" w:eastAsia="仿宋_GB2312" w:hAnsi="Times New Roman" w:cs="Times New Roman" w:hint="eastAsia"/>
          <w:snapToGrid/>
          <w:kern w:val="2"/>
          <w:sz w:val="32"/>
          <w:szCs w:val="32"/>
          <w:lang w:val="zh-CN" w:eastAsia="zh-CN"/>
        </w:rPr>
        <w:t>个县（区）市场监督管理局。</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按照省药监局年度工作任务，主要用于各攀枝花市市场监管局完成省药监局安排布置的年度药品监管重点工作任务。切实加强药品安全监管，守牢药品安全底线，进一步规范药品生产经营和使用秩序；强化监督检查和稽查执法，加大对制售假劣药品违法犯罪活动的打击力度；完成省级药品抽检任务，提高药品抽检质量，强化药品技术支撑，做好省级药品要求品种的地方抽检和日常监督抽检。加强药品监管科学研究，提升药品监管水平。</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药品日常监管及专项整治。主要用于组织对辖区内药品经营使用单位开展监督检查、药品“清源”、无菌植入医疗器械专项整治等项目，配合省局开展辖区生产企业、批发企业监督检查，纠正药品经营使用单位违规行为，对涉嫌违法行为依法查处，组织开展药品相关法律法规的宣传，加大科普宣传力</w:t>
      </w:r>
      <w:r>
        <w:rPr>
          <w:rFonts w:ascii="Times New Roman" w:eastAsia="仿宋_GB2312" w:hAnsi="Times New Roman" w:cs="Times New Roman" w:hint="eastAsia"/>
          <w:snapToGrid/>
          <w:kern w:val="2"/>
          <w:sz w:val="32"/>
          <w:szCs w:val="32"/>
          <w:lang w:val="zh-CN" w:eastAsia="zh-CN"/>
        </w:rPr>
        <w:lastRenderedPageBreak/>
        <w:t>度，完成国家局布置的“两品</w:t>
      </w:r>
      <w:proofErr w:type="gramStart"/>
      <w:r>
        <w:rPr>
          <w:rFonts w:ascii="Times New Roman" w:eastAsia="仿宋_GB2312" w:hAnsi="Times New Roman" w:cs="Times New Roman" w:hint="eastAsia"/>
          <w:snapToGrid/>
          <w:kern w:val="2"/>
          <w:sz w:val="32"/>
          <w:szCs w:val="32"/>
          <w:lang w:val="zh-CN" w:eastAsia="zh-CN"/>
        </w:rPr>
        <w:t>一</w:t>
      </w:r>
      <w:proofErr w:type="gramEnd"/>
      <w:r>
        <w:rPr>
          <w:rFonts w:ascii="Times New Roman" w:eastAsia="仿宋_GB2312" w:hAnsi="Times New Roman" w:cs="Times New Roman" w:hint="eastAsia"/>
          <w:snapToGrid/>
          <w:kern w:val="2"/>
          <w:sz w:val="32"/>
          <w:szCs w:val="32"/>
          <w:lang w:val="zh-CN" w:eastAsia="zh-CN"/>
        </w:rPr>
        <w:t>械”安全宣传周</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次，提高公众识别、防范药品安全风险的意识。</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不良反应和药物滥用监测项目。完成药品不良反应每百万人口报告数</w:t>
      </w:r>
      <w:r>
        <w:rPr>
          <w:rFonts w:ascii="Times New Roman" w:eastAsia="仿宋_GB2312" w:hAnsi="Times New Roman" w:cs="Times New Roman" w:hint="eastAsia"/>
          <w:snapToGrid/>
          <w:kern w:val="2"/>
          <w:sz w:val="32"/>
          <w:szCs w:val="32"/>
          <w:lang w:val="zh-CN" w:eastAsia="zh-CN"/>
        </w:rPr>
        <w:t>800</w:t>
      </w:r>
      <w:r>
        <w:rPr>
          <w:rFonts w:ascii="Times New Roman" w:eastAsia="仿宋_GB2312" w:hAnsi="Times New Roman" w:cs="Times New Roman" w:hint="eastAsia"/>
          <w:snapToGrid/>
          <w:kern w:val="2"/>
          <w:sz w:val="32"/>
          <w:szCs w:val="32"/>
          <w:lang w:val="zh-CN" w:eastAsia="zh-CN"/>
        </w:rPr>
        <w:t>份以上，化妆品不良反应每百万人口报告数</w:t>
      </w:r>
      <w:r>
        <w:rPr>
          <w:rFonts w:ascii="Times New Roman" w:eastAsia="仿宋_GB2312" w:hAnsi="Times New Roman" w:cs="Times New Roman" w:hint="eastAsia"/>
          <w:snapToGrid/>
          <w:kern w:val="2"/>
          <w:sz w:val="32"/>
          <w:szCs w:val="32"/>
          <w:lang w:val="zh-CN" w:eastAsia="zh-CN"/>
        </w:rPr>
        <w:t>200</w:t>
      </w:r>
      <w:r>
        <w:rPr>
          <w:rFonts w:ascii="Times New Roman" w:eastAsia="仿宋_GB2312" w:hAnsi="Times New Roman" w:cs="Times New Roman" w:hint="eastAsia"/>
          <w:snapToGrid/>
          <w:kern w:val="2"/>
          <w:sz w:val="32"/>
          <w:szCs w:val="32"/>
          <w:lang w:val="zh-CN" w:eastAsia="zh-CN"/>
        </w:rPr>
        <w:t>份以上，医疗器械不良事件监测每百万人口报告数</w:t>
      </w:r>
      <w:r>
        <w:rPr>
          <w:rFonts w:ascii="Times New Roman" w:eastAsia="仿宋_GB2312" w:hAnsi="Times New Roman" w:cs="Times New Roman" w:hint="eastAsia"/>
          <w:snapToGrid/>
          <w:kern w:val="2"/>
          <w:sz w:val="32"/>
          <w:szCs w:val="32"/>
          <w:lang w:val="zh-CN" w:eastAsia="zh-CN"/>
        </w:rPr>
        <w:t>500</w:t>
      </w:r>
      <w:r>
        <w:rPr>
          <w:rFonts w:ascii="Times New Roman" w:eastAsia="仿宋_GB2312" w:hAnsi="Times New Roman" w:cs="Times New Roman" w:hint="eastAsia"/>
          <w:snapToGrid/>
          <w:kern w:val="2"/>
          <w:sz w:val="32"/>
          <w:szCs w:val="32"/>
          <w:lang w:val="zh-CN" w:eastAsia="zh-CN"/>
        </w:rPr>
        <w:t>份以上；开展药械化不良反应报告的调查核实和</w:t>
      </w: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次宣传、</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次培训任务；完成药物滥用监测调查表</w:t>
      </w:r>
      <w:r>
        <w:rPr>
          <w:rFonts w:ascii="Times New Roman" w:eastAsia="仿宋_GB2312" w:hAnsi="Times New Roman" w:cs="Times New Roman" w:hint="eastAsia"/>
          <w:snapToGrid/>
          <w:kern w:val="2"/>
          <w:sz w:val="32"/>
          <w:szCs w:val="32"/>
          <w:lang w:val="zh-CN" w:eastAsia="zh-CN"/>
        </w:rPr>
        <w:t>400</w:t>
      </w:r>
      <w:r>
        <w:rPr>
          <w:rFonts w:ascii="Times New Roman" w:eastAsia="仿宋_GB2312" w:hAnsi="Times New Roman" w:cs="Times New Roman" w:hint="eastAsia"/>
          <w:snapToGrid/>
          <w:kern w:val="2"/>
          <w:sz w:val="32"/>
          <w:szCs w:val="32"/>
          <w:lang w:val="zh-CN" w:eastAsia="zh-CN"/>
        </w:rPr>
        <w:t>份、开展药物滥用监测相关宣传</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次，推进药物滥用监测机构省级哨点建设。</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3.</w:t>
      </w:r>
      <w:r>
        <w:rPr>
          <w:rFonts w:ascii="Times New Roman" w:eastAsia="仿宋_GB2312" w:hAnsi="Times New Roman" w:cs="Times New Roman" w:hint="eastAsia"/>
          <w:snapToGrid/>
          <w:kern w:val="2"/>
          <w:sz w:val="32"/>
          <w:szCs w:val="32"/>
          <w:lang w:val="zh-CN" w:eastAsia="zh-CN"/>
        </w:rPr>
        <w:t>省级药品抽检项目。完成</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年省级药品抽样任务</w:t>
      </w:r>
      <w:r>
        <w:rPr>
          <w:rFonts w:ascii="Times New Roman" w:eastAsia="仿宋_GB2312" w:hAnsi="Times New Roman" w:cs="Times New Roman" w:hint="eastAsia"/>
          <w:snapToGrid/>
          <w:kern w:val="2"/>
          <w:sz w:val="32"/>
          <w:szCs w:val="32"/>
          <w:lang w:val="zh-CN" w:eastAsia="zh-CN"/>
        </w:rPr>
        <w:t>262</w:t>
      </w:r>
      <w:r>
        <w:rPr>
          <w:rFonts w:ascii="Times New Roman" w:eastAsia="仿宋_GB2312" w:hAnsi="Times New Roman" w:cs="Times New Roman" w:hint="eastAsia"/>
          <w:snapToGrid/>
          <w:kern w:val="2"/>
          <w:sz w:val="32"/>
          <w:szCs w:val="32"/>
          <w:lang w:val="zh-CN" w:eastAsia="zh-CN"/>
        </w:rPr>
        <w:t>批次、化妆品</w:t>
      </w:r>
      <w:proofErr w:type="gramStart"/>
      <w:r>
        <w:rPr>
          <w:rFonts w:ascii="Times New Roman" w:eastAsia="仿宋_GB2312" w:hAnsi="Times New Roman" w:cs="Times New Roman" w:hint="eastAsia"/>
          <w:snapToGrid/>
          <w:kern w:val="2"/>
          <w:sz w:val="32"/>
          <w:szCs w:val="32"/>
          <w:lang w:val="zh-CN" w:eastAsia="zh-CN"/>
        </w:rPr>
        <w:t>抽样共</w:t>
      </w:r>
      <w:proofErr w:type="gramEnd"/>
      <w:r>
        <w:rPr>
          <w:rFonts w:ascii="Times New Roman" w:eastAsia="仿宋_GB2312" w:hAnsi="Times New Roman" w:cs="Times New Roman" w:hint="eastAsia"/>
          <w:snapToGrid/>
          <w:kern w:val="2"/>
          <w:sz w:val="32"/>
          <w:szCs w:val="32"/>
          <w:lang w:val="zh-CN" w:eastAsia="zh-CN"/>
        </w:rPr>
        <w:t>50</w:t>
      </w:r>
      <w:r>
        <w:rPr>
          <w:rFonts w:ascii="Times New Roman" w:eastAsia="仿宋_GB2312" w:hAnsi="Times New Roman" w:cs="Times New Roman" w:hint="eastAsia"/>
          <w:snapToGrid/>
          <w:kern w:val="2"/>
          <w:sz w:val="32"/>
          <w:szCs w:val="32"/>
          <w:lang w:val="zh-CN" w:eastAsia="zh-CN"/>
        </w:rPr>
        <w:t>批次、医疗器械抽样</w:t>
      </w:r>
      <w:r>
        <w:rPr>
          <w:rFonts w:ascii="Times New Roman" w:eastAsia="仿宋_GB2312" w:hAnsi="Times New Roman" w:cs="Times New Roman" w:hint="eastAsia"/>
          <w:snapToGrid/>
          <w:kern w:val="2"/>
          <w:sz w:val="32"/>
          <w:szCs w:val="32"/>
          <w:lang w:val="zh-CN" w:eastAsia="zh-CN"/>
        </w:rPr>
        <w:t>25</w:t>
      </w:r>
      <w:r>
        <w:rPr>
          <w:rFonts w:ascii="Times New Roman" w:eastAsia="仿宋_GB2312" w:hAnsi="Times New Roman" w:cs="Times New Roman" w:hint="eastAsia"/>
          <w:snapToGrid/>
          <w:kern w:val="2"/>
          <w:sz w:val="32"/>
          <w:szCs w:val="32"/>
          <w:lang w:val="zh-CN" w:eastAsia="zh-CN"/>
        </w:rPr>
        <w:t>批次，完成</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年省级药品检验任务</w:t>
      </w:r>
      <w:r>
        <w:rPr>
          <w:rFonts w:ascii="Times New Roman" w:eastAsia="仿宋_GB2312" w:hAnsi="Times New Roman" w:cs="Times New Roman" w:hint="eastAsia"/>
          <w:snapToGrid/>
          <w:kern w:val="2"/>
          <w:sz w:val="32"/>
          <w:szCs w:val="32"/>
          <w:lang w:val="zh-CN" w:eastAsia="zh-CN"/>
        </w:rPr>
        <w:t>267</w:t>
      </w:r>
      <w:r>
        <w:rPr>
          <w:rFonts w:ascii="Times New Roman" w:eastAsia="仿宋_GB2312" w:hAnsi="Times New Roman" w:cs="Times New Roman" w:hint="eastAsia"/>
          <w:snapToGrid/>
          <w:kern w:val="2"/>
          <w:sz w:val="32"/>
          <w:szCs w:val="32"/>
          <w:lang w:val="zh-CN" w:eastAsia="zh-CN"/>
        </w:rPr>
        <w:t>批次。</w:t>
      </w:r>
    </w:p>
    <w:p w:rsidR="004B0FC1" w:rsidRDefault="00A976D9">
      <w:pPr>
        <w:kinsoku/>
        <w:autoSpaceDE/>
        <w:autoSpaceDN/>
        <w:spacing w:line="578" w:lineRule="exact"/>
        <w:ind w:firstLineChars="200" w:firstLine="632"/>
        <w:contextualSpacing/>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（二）预算安排及分配管理。</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bookmarkStart w:id="67" w:name="OLE_LINK4"/>
      <w:bookmarkStart w:id="68" w:name="OLE_LINK3"/>
      <w:r>
        <w:rPr>
          <w:rFonts w:ascii="Times New Roman" w:eastAsia="仿宋_GB2312" w:hAnsi="Times New Roman" w:cs="Times New Roman" w:hint="eastAsia"/>
          <w:snapToGrid/>
          <w:kern w:val="2"/>
          <w:sz w:val="32"/>
          <w:szCs w:val="32"/>
          <w:lang w:val="zh-CN" w:eastAsia="zh-CN"/>
        </w:rPr>
        <w:t>根据</w:t>
      </w:r>
      <w:bookmarkEnd w:id="67"/>
      <w:bookmarkEnd w:id="68"/>
      <w:r>
        <w:rPr>
          <w:rFonts w:ascii="Times New Roman" w:eastAsia="仿宋_GB2312" w:hAnsi="Times New Roman" w:cs="Times New Roman" w:hint="eastAsia"/>
          <w:snapToGrid/>
          <w:kern w:val="2"/>
          <w:sz w:val="32"/>
          <w:szCs w:val="32"/>
          <w:lang w:val="zh-CN" w:eastAsia="zh-CN"/>
        </w:rPr>
        <w:t>《四川省财政厅</w:t>
      </w:r>
      <w:r>
        <w:rPr>
          <w:rFonts w:ascii="Times New Roman" w:eastAsia="仿宋_GB2312" w:hAnsi="Times New Roman" w:cs="Times New Roman" w:hint="eastAsia"/>
          <w:snapToGrid/>
          <w:kern w:val="2"/>
          <w:sz w:val="32"/>
          <w:szCs w:val="32"/>
          <w:lang w:val="zh-CN" w:eastAsia="zh-CN"/>
        </w:rPr>
        <w:t xml:space="preserve"> </w:t>
      </w:r>
      <w:r>
        <w:rPr>
          <w:rFonts w:ascii="Times New Roman" w:eastAsia="仿宋_GB2312" w:hAnsi="Times New Roman" w:cs="Times New Roman" w:hint="eastAsia"/>
          <w:snapToGrid/>
          <w:kern w:val="2"/>
          <w:sz w:val="32"/>
          <w:szCs w:val="32"/>
          <w:lang w:val="zh-CN" w:eastAsia="zh-CN"/>
        </w:rPr>
        <w:t>四川省药品监督管理局关于下达</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年省级药品监管专项资金的通知》（</w:t>
      </w:r>
      <w:proofErr w:type="gramStart"/>
      <w:r>
        <w:rPr>
          <w:rFonts w:ascii="Times New Roman" w:eastAsia="仿宋_GB2312" w:hAnsi="Times New Roman" w:cs="Times New Roman" w:hint="eastAsia"/>
          <w:snapToGrid/>
          <w:kern w:val="2"/>
          <w:sz w:val="32"/>
          <w:szCs w:val="32"/>
          <w:lang w:val="zh-CN" w:eastAsia="zh-CN"/>
        </w:rPr>
        <w:t>川财行</w:t>
      </w:r>
      <w:proofErr w:type="gramEnd"/>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27</w:t>
      </w:r>
      <w:r>
        <w:rPr>
          <w:rFonts w:ascii="Times New Roman" w:eastAsia="仿宋_GB2312" w:hAnsi="Times New Roman" w:cs="Times New Roman" w:hint="eastAsia"/>
          <w:snapToGrid/>
          <w:kern w:val="2"/>
          <w:sz w:val="32"/>
          <w:szCs w:val="32"/>
          <w:lang w:val="zh-CN" w:eastAsia="zh-CN"/>
        </w:rPr>
        <w:t>号），安排我市</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年省级药品监管补助资金</w:t>
      </w:r>
      <w:r>
        <w:rPr>
          <w:rFonts w:ascii="Times New Roman" w:eastAsia="仿宋_GB2312" w:hAnsi="Times New Roman" w:cs="Times New Roman" w:hint="eastAsia"/>
          <w:snapToGrid/>
          <w:kern w:val="2"/>
          <w:sz w:val="32"/>
          <w:szCs w:val="32"/>
          <w:lang w:val="zh-CN" w:eastAsia="zh-CN"/>
        </w:rPr>
        <w:t>130</w:t>
      </w:r>
      <w:r>
        <w:rPr>
          <w:rFonts w:ascii="Times New Roman" w:eastAsia="仿宋_GB2312" w:hAnsi="Times New Roman" w:cs="Times New Roman" w:hint="eastAsia"/>
          <w:snapToGrid/>
          <w:kern w:val="2"/>
          <w:sz w:val="32"/>
          <w:szCs w:val="32"/>
          <w:lang w:val="zh-CN" w:eastAsia="zh-CN"/>
        </w:rPr>
        <w:t>万元。攀枝花市市场监管局按照专项资金管理办法，由相关业务科室按照省药监局下达的专项实施方案及绩效目标任务，综合考虑专项工作任务、年度重点工作安排等因素确定专项工作任务、专项项目及资金分配方案，经攀枝花市市场监管局党组会议研究审议通过后，</w:t>
      </w:r>
      <w:proofErr w:type="gramStart"/>
      <w:r>
        <w:rPr>
          <w:rFonts w:ascii="Times New Roman" w:eastAsia="仿宋_GB2312" w:hAnsi="Times New Roman" w:cs="Times New Roman" w:hint="eastAsia"/>
          <w:snapToGrid/>
          <w:kern w:val="2"/>
          <w:sz w:val="32"/>
          <w:szCs w:val="32"/>
          <w:lang w:val="zh-CN" w:eastAsia="zh-CN"/>
        </w:rPr>
        <w:t>会商市</w:t>
      </w:r>
      <w:proofErr w:type="gramEnd"/>
      <w:r>
        <w:rPr>
          <w:rFonts w:ascii="Times New Roman" w:eastAsia="仿宋_GB2312" w:hAnsi="Times New Roman" w:cs="Times New Roman" w:hint="eastAsia"/>
          <w:snapToGrid/>
          <w:kern w:val="2"/>
          <w:sz w:val="32"/>
          <w:szCs w:val="32"/>
          <w:lang w:val="zh-CN" w:eastAsia="zh-CN"/>
        </w:rPr>
        <w:t>财政局联合发文报市政府同意后，由攀枝花市财政局《关于下达</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年省级药品监管补助资金的通知》（攀财资</w:t>
      </w:r>
      <w:r>
        <w:rPr>
          <w:rFonts w:ascii="Times New Roman" w:eastAsia="仿宋_GB2312" w:hAnsi="Times New Roman" w:cs="Times New Roman" w:hint="eastAsia"/>
          <w:snapToGrid/>
          <w:kern w:val="2"/>
          <w:sz w:val="32"/>
          <w:szCs w:val="32"/>
          <w:lang w:val="zh-CN" w:eastAsia="zh-CN"/>
        </w:rPr>
        <w:lastRenderedPageBreak/>
        <w:t>行〔</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63</w:t>
      </w:r>
      <w:r>
        <w:rPr>
          <w:rFonts w:ascii="Times New Roman" w:eastAsia="仿宋_GB2312" w:hAnsi="Times New Roman" w:cs="Times New Roman" w:hint="eastAsia"/>
          <w:snapToGrid/>
          <w:kern w:val="2"/>
          <w:sz w:val="32"/>
          <w:szCs w:val="32"/>
          <w:lang w:val="zh-CN" w:eastAsia="zh-CN"/>
        </w:rPr>
        <w:t>号）下达全市省级药品监管资金</w:t>
      </w:r>
      <w:r>
        <w:rPr>
          <w:rFonts w:ascii="Times New Roman" w:eastAsia="仿宋_GB2312" w:hAnsi="Times New Roman" w:cs="Times New Roman" w:hint="eastAsia"/>
          <w:snapToGrid/>
          <w:kern w:val="2"/>
          <w:sz w:val="32"/>
          <w:szCs w:val="32"/>
          <w:lang w:val="zh-CN" w:eastAsia="zh-CN"/>
        </w:rPr>
        <w:t>130</w:t>
      </w:r>
      <w:r>
        <w:rPr>
          <w:rFonts w:ascii="Times New Roman" w:eastAsia="仿宋_GB2312" w:hAnsi="Times New Roman" w:cs="Times New Roman" w:hint="eastAsia"/>
          <w:snapToGrid/>
          <w:kern w:val="2"/>
          <w:sz w:val="32"/>
          <w:szCs w:val="32"/>
          <w:lang w:val="zh-CN" w:eastAsia="zh-CN"/>
        </w:rPr>
        <w:t>万元。资金分配具体情况如下：</w:t>
      </w:r>
    </w:p>
    <w:p w:rsidR="004B0FC1" w:rsidRDefault="00A976D9">
      <w:pPr>
        <w:pStyle w:val="NewNewNewNewNew"/>
        <w:jc w:val="center"/>
        <w:rPr>
          <w:rFonts w:ascii="Times New Roman" w:eastAsia="方正小标宋_GBK" w:hAnsi="Times New Roman"/>
          <w:sz w:val="36"/>
          <w:szCs w:val="36"/>
        </w:rPr>
      </w:pPr>
      <w:r>
        <w:rPr>
          <w:rFonts w:ascii="Times New Roman" w:eastAsia="方正小标宋_GBK" w:hAnsi="Times New Roman"/>
          <w:sz w:val="36"/>
          <w:szCs w:val="36"/>
        </w:rPr>
        <w:t>2025</w:t>
      </w:r>
      <w:r>
        <w:rPr>
          <w:rFonts w:ascii="Times New Roman" w:eastAsia="方正小标宋_GBK" w:hAnsi="Times New Roman"/>
          <w:sz w:val="36"/>
          <w:szCs w:val="36"/>
        </w:rPr>
        <w:t>年省级财政药品监管专项资金</w:t>
      </w:r>
      <w:r>
        <w:rPr>
          <w:rFonts w:ascii="Times New Roman" w:eastAsia="方正小标宋_GBK" w:hAnsi="Times New Roman" w:hint="eastAsia"/>
          <w:sz w:val="36"/>
          <w:szCs w:val="36"/>
        </w:rPr>
        <w:t>下达情况表</w:t>
      </w:r>
    </w:p>
    <w:p w:rsidR="004B0FC1" w:rsidRDefault="00A976D9">
      <w:pPr>
        <w:pStyle w:val="NewNewNewNewNew"/>
        <w:jc w:val="right"/>
        <w:rPr>
          <w:rFonts w:ascii="仿宋" w:eastAsia="仿宋" w:hAnsi="仿宋"/>
        </w:rPr>
      </w:pPr>
      <w:r>
        <w:t xml:space="preserve">                                                  </w:t>
      </w:r>
      <w:r>
        <w:rPr>
          <w:rFonts w:hint="eastAsia"/>
        </w:rPr>
        <w:t xml:space="preserve">               </w:t>
      </w:r>
      <w:r>
        <w:rPr>
          <w:rFonts w:ascii="仿宋" w:eastAsia="仿宋" w:hAnsi="仿宋" w:hint="eastAsia"/>
        </w:rPr>
        <w:t xml:space="preserve"> </w:t>
      </w:r>
      <w:r>
        <w:rPr>
          <w:rFonts w:ascii="仿宋" w:eastAsia="仿宋" w:hAnsi="仿宋"/>
        </w:rPr>
        <w:t>金额单位：万元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7"/>
        <w:gridCol w:w="1761"/>
        <w:gridCol w:w="1281"/>
        <w:gridCol w:w="1533"/>
        <w:gridCol w:w="1689"/>
      </w:tblGrid>
      <w:tr w:rsidR="004B0FC1">
        <w:trPr>
          <w:trHeight w:val="692"/>
          <w:jc w:val="center"/>
        </w:trPr>
        <w:tc>
          <w:tcPr>
            <w:tcW w:w="2797" w:type="dxa"/>
            <w:vMerge w:val="restart"/>
            <w:tcBorders>
              <w:top w:val="single" w:sz="4" w:space="0" w:color="auto"/>
              <w:left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单位</w:t>
            </w:r>
          </w:p>
        </w:tc>
        <w:tc>
          <w:tcPr>
            <w:tcW w:w="6264" w:type="dxa"/>
            <w:gridSpan w:val="4"/>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lang w:eastAsia="zh-CN"/>
              </w:rPr>
            </w:pPr>
            <w:r>
              <w:rPr>
                <w:rFonts w:eastAsia="仿宋"/>
                <w:kern w:val="2"/>
                <w:sz w:val="24"/>
                <w:szCs w:val="22"/>
                <w:lang w:eastAsia="zh-CN"/>
              </w:rPr>
              <w:t>省级药品监管专项资金</w:t>
            </w:r>
          </w:p>
        </w:tc>
      </w:tr>
      <w:tr w:rsidR="004B0FC1">
        <w:trPr>
          <w:trHeight w:val="613"/>
          <w:jc w:val="center"/>
        </w:trPr>
        <w:tc>
          <w:tcPr>
            <w:tcW w:w="2797" w:type="dxa"/>
            <w:vMerge/>
            <w:tcBorders>
              <w:top w:val="single" w:sz="4" w:space="0" w:color="auto"/>
              <w:left w:val="single" w:sz="4" w:space="0" w:color="auto"/>
              <w:bottom w:val="single" w:sz="4" w:space="0" w:color="auto"/>
              <w:right w:val="single" w:sz="4" w:space="0" w:color="auto"/>
            </w:tcBorders>
          </w:tcPr>
          <w:p w:rsidR="004B0FC1" w:rsidRDefault="004B0FC1">
            <w:pPr>
              <w:jc w:val="center"/>
              <w:rPr>
                <w:rFonts w:eastAsia="仿宋"/>
                <w:kern w:val="2"/>
                <w:sz w:val="24"/>
                <w:szCs w:val="22"/>
                <w:lang w:eastAsia="zh-CN"/>
              </w:rPr>
            </w:pPr>
          </w:p>
        </w:tc>
        <w:tc>
          <w:tcPr>
            <w:tcW w:w="1761"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小计</w:t>
            </w:r>
          </w:p>
        </w:tc>
        <w:tc>
          <w:tcPr>
            <w:tcW w:w="1281" w:type="dxa"/>
            <w:tcBorders>
              <w:top w:val="single" w:sz="4" w:space="0" w:color="auto"/>
              <w:left w:val="single" w:sz="4" w:space="0" w:color="auto"/>
              <w:bottom w:val="single" w:sz="4" w:space="0" w:color="auto"/>
              <w:right w:val="single" w:sz="4" w:space="0" w:color="auto"/>
            </w:tcBorders>
          </w:tcPr>
          <w:p w:rsidR="004B0FC1" w:rsidRDefault="00A976D9">
            <w:pPr>
              <w:jc w:val="center"/>
              <w:rPr>
                <w:rFonts w:eastAsia="仿宋"/>
                <w:kern w:val="2"/>
                <w:sz w:val="24"/>
                <w:szCs w:val="22"/>
              </w:rPr>
            </w:pPr>
            <w:r>
              <w:rPr>
                <w:rFonts w:eastAsia="仿宋"/>
                <w:kern w:val="2"/>
                <w:sz w:val="24"/>
                <w:szCs w:val="22"/>
              </w:rPr>
              <w:t>药品综合监管</w:t>
            </w:r>
          </w:p>
        </w:tc>
        <w:tc>
          <w:tcPr>
            <w:tcW w:w="1533" w:type="dxa"/>
            <w:tcBorders>
              <w:top w:val="single" w:sz="4" w:space="0" w:color="auto"/>
              <w:left w:val="single" w:sz="4" w:space="0" w:color="auto"/>
              <w:bottom w:val="single" w:sz="4" w:space="0" w:color="auto"/>
              <w:right w:val="single" w:sz="4" w:space="0" w:color="auto"/>
            </w:tcBorders>
          </w:tcPr>
          <w:p w:rsidR="004B0FC1" w:rsidRDefault="00A976D9">
            <w:pPr>
              <w:jc w:val="center"/>
              <w:rPr>
                <w:rFonts w:eastAsia="仿宋"/>
                <w:kern w:val="2"/>
                <w:sz w:val="24"/>
                <w:szCs w:val="22"/>
              </w:rPr>
            </w:pPr>
            <w:r>
              <w:rPr>
                <w:rFonts w:eastAsia="仿宋"/>
                <w:kern w:val="2"/>
                <w:sz w:val="24"/>
                <w:szCs w:val="22"/>
              </w:rPr>
              <w:t>药械化抽查检验</w:t>
            </w:r>
          </w:p>
        </w:tc>
        <w:tc>
          <w:tcPr>
            <w:tcW w:w="1689" w:type="dxa"/>
            <w:tcBorders>
              <w:top w:val="single" w:sz="4" w:space="0" w:color="auto"/>
              <w:left w:val="single" w:sz="4" w:space="0" w:color="auto"/>
              <w:bottom w:val="single" w:sz="4" w:space="0" w:color="auto"/>
              <w:right w:val="single" w:sz="4" w:space="0" w:color="auto"/>
            </w:tcBorders>
          </w:tcPr>
          <w:p w:rsidR="004B0FC1" w:rsidRDefault="00A976D9">
            <w:pPr>
              <w:jc w:val="center"/>
              <w:rPr>
                <w:rFonts w:eastAsia="仿宋"/>
                <w:kern w:val="2"/>
                <w:sz w:val="24"/>
                <w:szCs w:val="22"/>
              </w:rPr>
            </w:pPr>
            <w:r>
              <w:rPr>
                <w:rFonts w:eastAsia="仿宋"/>
                <w:kern w:val="2"/>
                <w:sz w:val="24"/>
                <w:szCs w:val="22"/>
              </w:rPr>
              <w:t>县区局因素法分配</w:t>
            </w:r>
          </w:p>
        </w:tc>
      </w:tr>
      <w:tr w:rsidR="004B0FC1">
        <w:trPr>
          <w:trHeight w:val="607"/>
          <w:jc w:val="center"/>
        </w:trPr>
        <w:tc>
          <w:tcPr>
            <w:tcW w:w="2797"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市市场监管局</w:t>
            </w:r>
          </w:p>
        </w:tc>
        <w:tc>
          <w:tcPr>
            <w:tcW w:w="1761"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25</w:t>
            </w:r>
          </w:p>
        </w:tc>
        <w:tc>
          <w:tcPr>
            <w:tcW w:w="1281"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25</w:t>
            </w:r>
          </w:p>
        </w:tc>
        <w:tc>
          <w:tcPr>
            <w:tcW w:w="1533" w:type="dxa"/>
            <w:tcBorders>
              <w:top w:val="single" w:sz="4" w:space="0" w:color="auto"/>
              <w:left w:val="single" w:sz="4" w:space="0" w:color="auto"/>
              <w:bottom w:val="single" w:sz="4" w:space="0" w:color="auto"/>
              <w:right w:val="single" w:sz="4" w:space="0" w:color="auto"/>
            </w:tcBorders>
            <w:vAlign w:val="center"/>
          </w:tcPr>
          <w:p w:rsidR="004B0FC1" w:rsidRDefault="004B0FC1">
            <w:pPr>
              <w:jc w:val="center"/>
              <w:rPr>
                <w:rFonts w:eastAsia="仿宋"/>
                <w:kern w:val="2"/>
                <w:sz w:val="24"/>
                <w:szCs w:val="22"/>
              </w:rPr>
            </w:pPr>
          </w:p>
        </w:tc>
        <w:tc>
          <w:tcPr>
            <w:tcW w:w="1689" w:type="dxa"/>
            <w:tcBorders>
              <w:top w:val="single" w:sz="4" w:space="0" w:color="auto"/>
              <w:left w:val="single" w:sz="4" w:space="0" w:color="auto"/>
              <w:bottom w:val="single" w:sz="4" w:space="0" w:color="auto"/>
              <w:right w:val="single" w:sz="4" w:space="0" w:color="auto"/>
            </w:tcBorders>
            <w:vAlign w:val="center"/>
          </w:tcPr>
          <w:p w:rsidR="004B0FC1" w:rsidRDefault="004B0FC1">
            <w:pPr>
              <w:jc w:val="center"/>
              <w:rPr>
                <w:rFonts w:eastAsia="仿宋"/>
                <w:kern w:val="2"/>
                <w:sz w:val="24"/>
                <w:szCs w:val="22"/>
              </w:rPr>
            </w:pPr>
          </w:p>
        </w:tc>
      </w:tr>
      <w:tr w:rsidR="004B0FC1">
        <w:trPr>
          <w:trHeight w:val="534"/>
          <w:jc w:val="center"/>
        </w:trPr>
        <w:tc>
          <w:tcPr>
            <w:tcW w:w="2797"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攀西钒钛检验检测院</w:t>
            </w:r>
          </w:p>
        </w:tc>
        <w:tc>
          <w:tcPr>
            <w:tcW w:w="1761"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90</w:t>
            </w:r>
          </w:p>
        </w:tc>
        <w:tc>
          <w:tcPr>
            <w:tcW w:w="1281"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8</w:t>
            </w:r>
          </w:p>
        </w:tc>
        <w:tc>
          <w:tcPr>
            <w:tcW w:w="1533"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82</w:t>
            </w:r>
          </w:p>
        </w:tc>
        <w:tc>
          <w:tcPr>
            <w:tcW w:w="1689" w:type="dxa"/>
            <w:tcBorders>
              <w:top w:val="single" w:sz="4" w:space="0" w:color="auto"/>
              <w:left w:val="single" w:sz="4" w:space="0" w:color="auto"/>
              <w:bottom w:val="single" w:sz="4" w:space="0" w:color="auto"/>
              <w:right w:val="single" w:sz="4" w:space="0" w:color="auto"/>
            </w:tcBorders>
            <w:vAlign w:val="center"/>
          </w:tcPr>
          <w:p w:rsidR="004B0FC1" w:rsidRDefault="004B0FC1">
            <w:pPr>
              <w:jc w:val="center"/>
              <w:rPr>
                <w:rFonts w:eastAsia="仿宋"/>
                <w:kern w:val="2"/>
                <w:sz w:val="24"/>
                <w:szCs w:val="22"/>
              </w:rPr>
            </w:pPr>
          </w:p>
        </w:tc>
      </w:tr>
      <w:tr w:rsidR="004B0FC1">
        <w:trPr>
          <w:trHeight w:val="95"/>
          <w:jc w:val="center"/>
        </w:trPr>
        <w:tc>
          <w:tcPr>
            <w:tcW w:w="2797"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东区市场</w:t>
            </w:r>
            <w:r>
              <w:rPr>
                <w:rFonts w:eastAsia="仿宋" w:hint="eastAsia"/>
                <w:kern w:val="2"/>
                <w:sz w:val="24"/>
                <w:szCs w:val="22"/>
              </w:rPr>
              <w:t>监管局</w:t>
            </w:r>
          </w:p>
        </w:tc>
        <w:tc>
          <w:tcPr>
            <w:tcW w:w="1761"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4</w:t>
            </w:r>
          </w:p>
        </w:tc>
        <w:tc>
          <w:tcPr>
            <w:tcW w:w="1281" w:type="dxa"/>
            <w:tcBorders>
              <w:top w:val="single" w:sz="4" w:space="0" w:color="auto"/>
              <w:left w:val="single" w:sz="4" w:space="0" w:color="auto"/>
              <w:bottom w:val="single" w:sz="4" w:space="0" w:color="auto"/>
              <w:right w:val="single" w:sz="4" w:space="0" w:color="auto"/>
            </w:tcBorders>
            <w:vAlign w:val="center"/>
          </w:tcPr>
          <w:p w:rsidR="004B0FC1" w:rsidRDefault="004B0FC1">
            <w:pPr>
              <w:jc w:val="center"/>
              <w:rPr>
                <w:rFonts w:eastAsia="仿宋"/>
                <w:kern w:val="2"/>
                <w:sz w:val="24"/>
                <w:szCs w:val="22"/>
              </w:rPr>
            </w:pPr>
          </w:p>
        </w:tc>
        <w:tc>
          <w:tcPr>
            <w:tcW w:w="1533" w:type="dxa"/>
            <w:tcBorders>
              <w:top w:val="single" w:sz="4" w:space="0" w:color="auto"/>
              <w:left w:val="single" w:sz="4" w:space="0" w:color="auto"/>
              <w:bottom w:val="single" w:sz="4" w:space="0" w:color="auto"/>
              <w:right w:val="single" w:sz="4" w:space="0" w:color="auto"/>
            </w:tcBorders>
            <w:vAlign w:val="center"/>
          </w:tcPr>
          <w:p w:rsidR="004B0FC1" w:rsidRDefault="004B0FC1">
            <w:pPr>
              <w:jc w:val="center"/>
              <w:rPr>
                <w:rFonts w:eastAsia="仿宋"/>
                <w:kern w:val="2"/>
                <w:sz w:val="24"/>
                <w:szCs w:val="22"/>
              </w:rPr>
            </w:pPr>
          </w:p>
        </w:tc>
        <w:tc>
          <w:tcPr>
            <w:tcW w:w="1689"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4</w:t>
            </w:r>
          </w:p>
        </w:tc>
      </w:tr>
      <w:tr w:rsidR="004B0FC1">
        <w:trPr>
          <w:trHeight w:val="400"/>
          <w:jc w:val="center"/>
        </w:trPr>
        <w:tc>
          <w:tcPr>
            <w:tcW w:w="2797"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西区市场</w:t>
            </w:r>
            <w:r>
              <w:rPr>
                <w:rFonts w:eastAsia="仿宋" w:hint="eastAsia"/>
                <w:kern w:val="2"/>
                <w:sz w:val="24"/>
                <w:szCs w:val="22"/>
              </w:rPr>
              <w:t>监管局</w:t>
            </w:r>
          </w:p>
        </w:tc>
        <w:tc>
          <w:tcPr>
            <w:tcW w:w="1761"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2</w:t>
            </w:r>
          </w:p>
        </w:tc>
        <w:tc>
          <w:tcPr>
            <w:tcW w:w="1281" w:type="dxa"/>
            <w:tcBorders>
              <w:top w:val="single" w:sz="4" w:space="0" w:color="auto"/>
              <w:left w:val="single" w:sz="4" w:space="0" w:color="auto"/>
              <w:bottom w:val="single" w:sz="4" w:space="0" w:color="auto"/>
              <w:right w:val="single" w:sz="4" w:space="0" w:color="auto"/>
            </w:tcBorders>
            <w:vAlign w:val="center"/>
          </w:tcPr>
          <w:p w:rsidR="004B0FC1" w:rsidRDefault="004B0FC1">
            <w:pPr>
              <w:jc w:val="center"/>
              <w:rPr>
                <w:rFonts w:eastAsia="仿宋"/>
                <w:kern w:val="2"/>
                <w:sz w:val="24"/>
                <w:szCs w:val="22"/>
              </w:rPr>
            </w:pPr>
          </w:p>
        </w:tc>
        <w:tc>
          <w:tcPr>
            <w:tcW w:w="1533" w:type="dxa"/>
            <w:tcBorders>
              <w:top w:val="single" w:sz="4" w:space="0" w:color="auto"/>
              <w:left w:val="single" w:sz="4" w:space="0" w:color="auto"/>
              <w:bottom w:val="single" w:sz="4" w:space="0" w:color="auto"/>
              <w:right w:val="single" w:sz="4" w:space="0" w:color="auto"/>
            </w:tcBorders>
            <w:vAlign w:val="center"/>
          </w:tcPr>
          <w:p w:rsidR="004B0FC1" w:rsidRDefault="004B0FC1">
            <w:pPr>
              <w:jc w:val="center"/>
              <w:rPr>
                <w:rFonts w:eastAsia="仿宋"/>
                <w:kern w:val="2"/>
                <w:sz w:val="24"/>
                <w:szCs w:val="22"/>
              </w:rPr>
            </w:pPr>
          </w:p>
        </w:tc>
        <w:tc>
          <w:tcPr>
            <w:tcW w:w="1689"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2</w:t>
            </w:r>
          </w:p>
        </w:tc>
      </w:tr>
      <w:tr w:rsidR="004B0FC1">
        <w:trPr>
          <w:trHeight w:val="407"/>
          <w:jc w:val="center"/>
        </w:trPr>
        <w:tc>
          <w:tcPr>
            <w:tcW w:w="2797"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仁和区市场</w:t>
            </w:r>
            <w:r>
              <w:rPr>
                <w:rFonts w:eastAsia="仿宋" w:hint="eastAsia"/>
                <w:kern w:val="2"/>
                <w:sz w:val="24"/>
                <w:szCs w:val="22"/>
              </w:rPr>
              <w:t>监管局</w:t>
            </w:r>
          </w:p>
        </w:tc>
        <w:tc>
          <w:tcPr>
            <w:tcW w:w="1761"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3</w:t>
            </w:r>
          </w:p>
        </w:tc>
        <w:tc>
          <w:tcPr>
            <w:tcW w:w="1281" w:type="dxa"/>
            <w:tcBorders>
              <w:top w:val="single" w:sz="4" w:space="0" w:color="auto"/>
              <w:left w:val="single" w:sz="4" w:space="0" w:color="auto"/>
              <w:bottom w:val="single" w:sz="4" w:space="0" w:color="auto"/>
              <w:right w:val="single" w:sz="4" w:space="0" w:color="auto"/>
            </w:tcBorders>
            <w:vAlign w:val="center"/>
          </w:tcPr>
          <w:p w:rsidR="004B0FC1" w:rsidRDefault="004B0FC1">
            <w:pPr>
              <w:jc w:val="center"/>
              <w:rPr>
                <w:rFonts w:eastAsia="仿宋"/>
                <w:kern w:val="2"/>
                <w:sz w:val="24"/>
                <w:szCs w:val="22"/>
              </w:rPr>
            </w:pPr>
          </w:p>
        </w:tc>
        <w:tc>
          <w:tcPr>
            <w:tcW w:w="1533" w:type="dxa"/>
            <w:tcBorders>
              <w:top w:val="single" w:sz="4" w:space="0" w:color="auto"/>
              <w:left w:val="single" w:sz="4" w:space="0" w:color="auto"/>
              <w:bottom w:val="single" w:sz="4" w:space="0" w:color="auto"/>
              <w:right w:val="single" w:sz="4" w:space="0" w:color="auto"/>
            </w:tcBorders>
            <w:vAlign w:val="center"/>
          </w:tcPr>
          <w:p w:rsidR="004B0FC1" w:rsidRDefault="004B0FC1">
            <w:pPr>
              <w:jc w:val="center"/>
              <w:rPr>
                <w:rFonts w:eastAsia="仿宋"/>
                <w:kern w:val="2"/>
                <w:sz w:val="24"/>
                <w:szCs w:val="22"/>
              </w:rPr>
            </w:pPr>
          </w:p>
        </w:tc>
        <w:tc>
          <w:tcPr>
            <w:tcW w:w="1689"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3</w:t>
            </w:r>
          </w:p>
        </w:tc>
      </w:tr>
      <w:tr w:rsidR="004B0FC1">
        <w:trPr>
          <w:trHeight w:val="427"/>
          <w:jc w:val="center"/>
        </w:trPr>
        <w:tc>
          <w:tcPr>
            <w:tcW w:w="2797"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hint="eastAsia"/>
                <w:kern w:val="2"/>
                <w:sz w:val="24"/>
                <w:szCs w:val="22"/>
              </w:rPr>
              <w:t>盐边</w:t>
            </w:r>
            <w:r>
              <w:rPr>
                <w:rFonts w:eastAsia="仿宋"/>
                <w:kern w:val="2"/>
                <w:sz w:val="24"/>
                <w:szCs w:val="22"/>
              </w:rPr>
              <w:t>县市场</w:t>
            </w:r>
            <w:r>
              <w:rPr>
                <w:rFonts w:eastAsia="仿宋" w:hint="eastAsia"/>
                <w:kern w:val="2"/>
                <w:sz w:val="24"/>
                <w:szCs w:val="22"/>
              </w:rPr>
              <w:t>监管局</w:t>
            </w:r>
          </w:p>
        </w:tc>
        <w:tc>
          <w:tcPr>
            <w:tcW w:w="1761"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3</w:t>
            </w:r>
          </w:p>
        </w:tc>
        <w:tc>
          <w:tcPr>
            <w:tcW w:w="1281" w:type="dxa"/>
            <w:tcBorders>
              <w:top w:val="single" w:sz="4" w:space="0" w:color="auto"/>
              <w:left w:val="single" w:sz="4" w:space="0" w:color="auto"/>
              <w:bottom w:val="single" w:sz="4" w:space="0" w:color="auto"/>
              <w:right w:val="single" w:sz="4" w:space="0" w:color="auto"/>
            </w:tcBorders>
            <w:vAlign w:val="center"/>
          </w:tcPr>
          <w:p w:rsidR="004B0FC1" w:rsidRDefault="004B0FC1">
            <w:pPr>
              <w:jc w:val="center"/>
              <w:rPr>
                <w:rFonts w:eastAsia="仿宋"/>
                <w:kern w:val="2"/>
                <w:sz w:val="24"/>
                <w:szCs w:val="22"/>
              </w:rPr>
            </w:pPr>
          </w:p>
        </w:tc>
        <w:tc>
          <w:tcPr>
            <w:tcW w:w="1533" w:type="dxa"/>
            <w:tcBorders>
              <w:top w:val="single" w:sz="4" w:space="0" w:color="auto"/>
              <w:left w:val="single" w:sz="4" w:space="0" w:color="auto"/>
              <w:bottom w:val="single" w:sz="4" w:space="0" w:color="auto"/>
              <w:right w:val="single" w:sz="4" w:space="0" w:color="auto"/>
            </w:tcBorders>
            <w:vAlign w:val="center"/>
          </w:tcPr>
          <w:p w:rsidR="004B0FC1" w:rsidRDefault="004B0FC1">
            <w:pPr>
              <w:jc w:val="center"/>
              <w:rPr>
                <w:rFonts w:eastAsia="仿宋"/>
                <w:kern w:val="2"/>
                <w:sz w:val="24"/>
                <w:szCs w:val="22"/>
              </w:rPr>
            </w:pPr>
          </w:p>
        </w:tc>
        <w:tc>
          <w:tcPr>
            <w:tcW w:w="1689"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3</w:t>
            </w:r>
          </w:p>
        </w:tc>
      </w:tr>
      <w:tr w:rsidR="004B0FC1">
        <w:trPr>
          <w:trHeight w:val="404"/>
          <w:jc w:val="center"/>
        </w:trPr>
        <w:tc>
          <w:tcPr>
            <w:tcW w:w="2797"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hint="eastAsia"/>
                <w:kern w:val="2"/>
                <w:sz w:val="24"/>
                <w:szCs w:val="22"/>
              </w:rPr>
              <w:t>米易</w:t>
            </w:r>
            <w:r>
              <w:rPr>
                <w:rFonts w:eastAsia="仿宋"/>
                <w:kern w:val="2"/>
                <w:sz w:val="24"/>
                <w:szCs w:val="22"/>
              </w:rPr>
              <w:t>县市场</w:t>
            </w:r>
            <w:r>
              <w:rPr>
                <w:rFonts w:eastAsia="仿宋" w:hint="eastAsia"/>
                <w:kern w:val="2"/>
                <w:sz w:val="24"/>
                <w:szCs w:val="22"/>
              </w:rPr>
              <w:t>监管局</w:t>
            </w:r>
          </w:p>
        </w:tc>
        <w:tc>
          <w:tcPr>
            <w:tcW w:w="1761"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3</w:t>
            </w:r>
          </w:p>
        </w:tc>
        <w:tc>
          <w:tcPr>
            <w:tcW w:w="1281" w:type="dxa"/>
            <w:tcBorders>
              <w:top w:val="single" w:sz="4" w:space="0" w:color="auto"/>
              <w:left w:val="single" w:sz="4" w:space="0" w:color="auto"/>
              <w:bottom w:val="single" w:sz="4" w:space="0" w:color="auto"/>
              <w:right w:val="single" w:sz="4" w:space="0" w:color="auto"/>
            </w:tcBorders>
            <w:vAlign w:val="center"/>
          </w:tcPr>
          <w:p w:rsidR="004B0FC1" w:rsidRDefault="004B0FC1">
            <w:pPr>
              <w:jc w:val="center"/>
              <w:rPr>
                <w:rFonts w:eastAsia="仿宋"/>
                <w:kern w:val="2"/>
                <w:sz w:val="24"/>
                <w:szCs w:val="22"/>
              </w:rPr>
            </w:pPr>
          </w:p>
        </w:tc>
        <w:tc>
          <w:tcPr>
            <w:tcW w:w="1533" w:type="dxa"/>
            <w:tcBorders>
              <w:top w:val="single" w:sz="4" w:space="0" w:color="auto"/>
              <w:left w:val="single" w:sz="4" w:space="0" w:color="auto"/>
              <w:bottom w:val="single" w:sz="4" w:space="0" w:color="auto"/>
              <w:right w:val="single" w:sz="4" w:space="0" w:color="auto"/>
            </w:tcBorders>
            <w:vAlign w:val="center"/>
          </w:tcPr>
          <w:p w:rsidR="004B0FC1" w:rsidRDefault="004B0FC1">
            <w:pPr>
              <w:jc w:val="center"/>
              <w:rPr>
                <w:rFonts w:eastAsia="仿宋"/>
                <w:kern w:val="2"/>
                <w:sz w:val="24"/>
                <w:szCs w:val="22"/>
              </w:rPr>
            </w:pPr>
          </w:p>
        </w:tc>
        <w:tc>
          <w:tcPr>
            <w:tcW w:w="1689"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3</w:t>
            </w:r>
          </w:p>
        </w:tc>
      </w:tr>
      <w:tr w:rsidR="004B0FC1">
        <w:trPr>
          <w:trHeight w:val="849"/>
          <w:jc w:val="center"/>
        </w:trPr>
        <w:tc>
          <w:tcPr>
            <w:tcW w:w="2797"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攀枝花市小计</w:t>
            </w:r>
          </w:p>
        </w:tc>
        <w:tc>
          <w:tcPr>
            <w:tcW w:w="1761"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130</w:t>
            </w:r>
          </w:p>
        </w:tc>
        <w:tc>
          <w:tcPr>
            <w:tcW w:w="1281"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33</w:t>
            </w:r>
          </w:p>
        </w:tc>
        <w:tc>
          <w:tcPr>
            <w:tcW w:w="1533"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82</w:t>
            </w:r>
          </w:p>
        </w:tc>
        <w:tc>
          <w:tcPr>
            <w:tcW w:w="1689"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kern w:val="2"/>
                <w:sz w:val="24"/>
                <w:szCs w:val="22"/>
              </w:rPr>
              <w:t>15</w:t>
            </w:r>
          </w:p>
        </w:tc>
      </w:tr>
    </w:tbl>
    <w:p w:rsidR="004B0FC1" w:rsidRDefault="00A976D9">
      <w:pPr>
        <w:kinsoku/>
        <w:autoSpaceDE/>
        <w:autoSpaceDN/>
        <w:spacing w:line="578" w:lineRule="exact"/>
        <w:ind w:firstLineChars="200" w:firstLine="632"/>
        <w:contextualSpacing/>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（三）项目绩效目标设置。</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年省级药品监管专项资金绩效目标共设置产出指标、成本指标、效益指标一级指标</w:t>
      </w:r>
      <w:r>
        <w:rPr>
          <w:rFonts w:ascii="Times New Roman" w:eastAsia="仿宋_GB2312" w:hAnsi="Times New Roman" w:cs="Times New Roman" w:hint="eastAsia"/>
          <w:snapToGrid/>
          <w:kern w:val="2"/>
          <w:sz w:val="32"/>
          <w:szCs w:val="32"/>
          <w:lang w:val="zh-CN" w:eastAsia="zh-CN"/>
        </w:rPr>
        <w:t>3</w:t>
      </w:r>
      <w:r>
        <w:rPr>
          <w:rFonts w:ascii="Times New Roman" w:eastAsia="仿宋_GB2312" w:hAnsi="Times New Roman" w:cs="Times New Roman" w:hint="eastAsia"/>
          <w:snapToGrid/>
          <w:kern w:val="2"/>
          <w:sz w:val="32"/>
          <w:szCs w:val="32"/>
          <w:lang w:val="zh-CN" w:eastAsia="zh-CN"/>
        </w:rPr>
        <w:t>个，数量指标、质量指标、时效指标、经济成本指标、社会效益指标、可持续影响指标二级指标</w:t>
      </w:r>
      <w:r>
        <w:rPr>
          <w:rFonts w:ascii="Times New Roman" w:eastAsia="仿宋_GB2312" w:hAnsi="Times New Roman" w:cs="Times New Roman" w:hint="eastAsia"/>
          <w:snapToGrid/>
          <w:kern w:val="2"/>
          <w:sz w:val="32"/>
          <w:szCs w:val="32"/>
          <w:lang w:val="zh-CN" w:eastAsia="zh-CN"/>
        </w:rPr>
        <w:t>6</w:t>
      </w:r>
      <w:r>
        <w:rPr>
          <w:rFonts w:ascii="Times New Roman" w:eastAsia="仿宋_GB2312" w:hAnsi="Times New Roman" w:cs="Times New Roman" w:hint="eastAsia"/>
          <w:snapToGrid/>
          <w:kern w:val="2"/>
          <w:sz w:val="32"/>
          <w:szCs w:val="32"/>
          <w:lang w:val="zh-CN" w:eastAsia="zh-CN"/>
        </w:rPr>
        <w:t>个，省级药品抽样、省级医疗器械抽样、不合格检验报告处置率、</w:t>
      </w:r>
      <w:proofErr w:type="gramStart"/>
      <w:r>
        <w:rPr>
          <w:rFonts w:ascii="Times New Roman" w:eastAsia="仿宋_GB2312" w:hAnsi="Times New Roman" w:cs="Times New Roman" w:hint="eastAsia"/>
          <w:snapToGrid/>
          <w:kern w:val="2"/>
          <w:sz w:val="32"/>
          <w:szCs w:val="32"/>
          <w:lang w:val="zh-CN" w:eastAsia="zh-CN"/>
        </w:rPr>
        <w:t>涉刑案件</w:t>
      </w:r>
      <w:proofErr w:type="gramEnd"/>
      <w:r>
        <w:rPr>
          <w:rFonts w:ascii="Times New Roman" w:eastAsia="仿宋_GB2312" w:hAnsi="Times New Roman" w:cs="Times New Roman" w:hint="eastAsia"/>
          <w:snapToGrid/>
          <w:kern w:val="2"/>
          <w:sz w:val="32"/>
          <w:szCs w:val="32"/>
          <w:lang w:val="zh-CN" w:eastAsia="zh-CN"/>
        </w:rPr>
        <w:t>移送率等三级指标</w:t>
      </w:r>
      <w:r>
        <w:rPr>
          <w:rFonts w:ascii="Times New Roman" w:eastAsia="仿宋_GB2312" w:hAnsi="Times New Roman" w:cs="Times New Roman" w:hint="eastAsia"/>
          <w:snapToGrid/>
          <w:kern w:val="2"/>
          <w:sz w:val="32"/>
          <w:szCs w:val="32"/>
          <w:lang w:val="zh-CN" w:eastAsia="zh-CN"/>
        </w:rPr>
        <w:t>16</w:t>
      </w:r>
      <w:r>
        <w:rPr>
          <w:rFonts w:ascii="Times New Roman" w:eastAsia="仿宋_GB2312" w:hAnsi="Times New Roman" w:cs="Times New Roman" w:hint="eastAsia"/>
          <w:snapToGrid/>
          <w:kern w:val="2"/>
          <w:sz w:val="32"/>
          <w:szCs w:val="32"/>
          <w:lang w:val="zh-CN" w:eastAsia="zh-CN"/>
        </w:rPr>
        <w:t>个。</w:t>
      </w:r>
    </w:p>
    <w:p w:rsidR="004B0FC1" w:rsidRDefault="00A976D9">
      <w:pPr>
        <w:widowControl w:val="0"/>
        <w:kinsoku/>
        <w:autoSpaceDE/>
        <w:autoSpaceDN/>
        <w:spacing w:line="578" w:lineRule="exact"/>
        <w:ind w:firstLineChars="200" w:firstLine="632"/>
        <w:jc w:val="both"/>
        <w:textAlignment w:val="auto"/>
        <w:rPr>
          <w:rFonts w:ascii="Times New Roman" w:eastAsia="黑体" w:hAnsi="Times New Roman" w:cs="Times New Roman"/>
          <w:snapToGrid/>
          <w:color w:val="auto"/>
          <w:kern w:val="2"/>
          <w:sz w:val="32"/>
          <w:szCs w:val="32"/>
          <w:lang w:eastAsia="zh-CN"/>
        </w:rPr>
      </w:pPr>
      <w:r>
        <w:rPr>
          <w:rFonts w:ascii="Times New Roman" w:eastAsia="黑体" w:hAnsi="Times New Roman" w:cs="Times New Roman" w:hint="eastAsia"/>
          <w:snapToGrid/>
          <w:color w:val="auto"/>
          <w:kern w:val="2"/>
          <w:sz w:val="32"/>
          <w:szCs w:val="32"/>
          <w:lang w:eastAsia="zh-CN"/>
        </w:rPr>
        <w:t>二、评价实施</w:t>
      </w:r>
    </w:p>
    <w:p w:rsidR="004B0FC1" w:rsidRDefault="00A976D9">
      <w:pPr>
        <w:kinsoku/>
        <w:autoSpaceDE/>
        <w:autoSpaceDN/>
        <w:spacing w:line="578" w:lineRule="exact"/>
        <w:ind w:firstLineChars="200" w:firstLine="632"/>
        <w:contextualSpacing/>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（一）评价目的。</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lastRenderedPageBreak/>
        <w:t>本次评价旨在全面、客观、准确地评估省级药品监管项目资金的使用效果和管理效率，确保资金的有效利用，提高药品安全监管的效能，推动医药产业高质量发展，并进一步提升公众对药品安全的满意度。</w:t>
      </w:r>
    </w:p>
    <w:p w:rsidR="004B0FC1" w:rsidRDefault="00A976D9">
      <w:pPr>
        <w:kinsoku/>
        <w:autoSpaceDE/>
        <w:autoSpaceDN/>
        <w:spacing w:line="578" w:lineRule="exact"/>
        <w:ind w:firstLineChars="200" w:firstLine="632"/>
        <w:contextualSpacing/>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（二）预设问题及评价重点。</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构建包括通用、专用、个性</w:t>
      </w:r>
      <w:r>
        <w:rPr>
          <w:rFonts w:ascii="Times New Roman" w:eastAsia="仿宋_GB2312" w:hAnsi="Times New Roman" w:cs="Times New Roman" w:hint="eastAsia"/>
          <w:snapToGrid/>
          <w:kern w:val="2"/>
          <w:sz w:val="32"/>
          <w:szCs w:val="32"/>
          <w:lang w:val="zh-CN" w:eastAsia="zh-CN"/>
        </w:rPr>
        <w:t>3</w:t>
      </w:r>
      <w:r>
        <w:rPr>
          <w:rFonts w:ascii="Times New Roman" w:eastAsia="仿宋_GB2312" w:hAnsi="Times New Roman" w:cs="Times New Roman" w:hint="eastAsia"/>
          <w:snapToGrid/>
          <w:kern w:val="2"/>
          <w:sz w:val="32"/>
          <w:szCs w:val="32"/>
          <w:lang w:val="zh-CN" w:eastAsia="zh-CN"/>
        </w:rPr>
        <w:t>个层面的评价指标体系，从项目决策、管理、实施、运行、结果等方面，重点对项目决策的程序严密性、规划合理性和制度完备性，项目资金分配合理性、使用合</w:t>
      </w:r>
      <w:proofErr w:type="gramStart"/>
      <w:r>
        <w:rPr>
          <w:rFonts w:ascii="Times New Roman" w:eastAsia="仿宋_GB2312" w:hAnsi="Times New Roman" w:cs="Times New Roman" w:hint="eastAsia"/>
          <w:snapToGrid/>
          <w:kern w:val="2"/>
          <w:sz w:val="32"/>
          <w:szCs w:val="32"/>
          <w:lang w:val="zh-CN" w:eastAsia="zh-CN"/>
        </w:rPr>
        <w:t>规</w:t>
      </w:r>
      <w:proofErr w:type="gramEnd"/>
      <w:r>
        <w:rPr>
          <w:rFonts w:ascii="Times New Roman" w:eastAsia="仿宋_GB2312" w:hAnsi="Times New Roman" w:cs="Times New Roman" w:hint="eastAsia"/>
          <w:snapToGrid/>
          <w:kern w:val="2"/>
          <w:sz w:val="32"/>
          <w:szCs w:val="32"/>
          <w:lang w:val="zh-CN" w:eastAsia="zh-CN"/>
        </w:rPr>
        <w:t>和执行有效性，项目结果的预算执行情况、资金结余、目标完成情况和违规记录等进行全面自评。</w:t>
      </w:r>
    </w:p>
    <w:p w:rsidR="004B0FC1" w:rsidRDefault="00A976D9">
      <w:pPr>
        <w:kinsoku/>
        <w:autoSpaceDE/>
        <w:autoSpaceDN/>
        <w:spacing w:line="578" w:lineRule="exact"/>
        <w:ind w:firstLineChars="200" w:firstLine="632"/>
        <w:contextualSpacing/>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（三）评价选点。</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按照《四川省药品监督管理局关于开展</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年预算绩效评价工作的通知》（川药监办〔</w:t>
      </w:r>
      <w:r>
        <w:rPr>
          <w:rFonts w:ascii="Times New Roman" w:eastAsia="仿宋_GB2312" w:hAnsi="Times New Roman" w:cs="Times New Roman" w:hint="eastAsia"/>
          <w:snapToGrid/>
          <w:kern w:val="2"/>
          <w:sz w:val="32"/>
          <w:szCs w:val="32"/>
          <w:lang w:val="zh-CN" w:eastAsia="zh-CN"/>
        </w:rPr>
        <w:t>2026</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3</w:t>
      </w:r>
      <w:r>
        <w:rPr>
          <w:rFonts w:ascii="Times New Roman" w:eastAsia="仿宋_GB2312" w:hAnsi="Times New Roman" w:cs="Times New Roman" w:hint="eastAsia"/>
          <w:snapToGrid/>
          <w:kern w:val="2"/>
          <w:sz w:val="32"/>
          <w:szCs w:val="32"/>
          <w:lang w:val="zh-CN" w:eastAsia="zh-CN"/>
        </w:rPr>
        <w:t>号）文要求，</w:t>
      </w:r>
      <w:bookmarkStart w:id="69" w:name="OLE_LINK5"/>
      <w:bookmarkStart w:id="70" w:name="OLE_LINK6"/>
      <w:r>
        <w:rPr>
          <w:rFonts w:ascii="Times New Roman" w:eastAsia="仿宋_GB2312" w:hAnsi="Times New Roman" w:cs="Times New Roman" w:hint="eastAsia"/>
          <w:snapToGrid/>
          <w:kern w:val="2"/>
          <w:sz w:val="32"/>
          <w:szCs w:val="32"/>
          <w:lang w:val="zh-CN" w:eastAsia="zh-CN"/>
        </w:rPr>
        <w:t>本次绩效评价对</w:t>
      </w: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个市本级直属单位，</w:t>
      </w:r>
      <w:r>
        <w:rPr>
          <w:rFonts w:ascii="Times New Roman" w:eastAsia="仿宋_GB2312" w:hAnsi="Times New Roman" w:cs="Times New Roman" w:hint="eastAsia"/>
          <w:snapToGrid/>
          <w:kern w:val="2"/>
          <w:sz w:val="32"/>
          <w:szCs w:val="32"/>
          <w:lang w:val="zh-CN" w:eastAsia="zh-CN"/>
        </w:rPr>
        <w:t>5</w:t>
      </w:r>
      <w:r>
        <w:rPr>
          <w:rFonts w:ascii="Times New Roman" w:eastAsia="仿宋_GB2312" w:hAnsi="Times New Roman" w:cs="Times New Roman" w:hint="eastAsia"/>
          <w:snapToGrid/>
          <w:kern w:val="2"/>
          <w:sz w:val="32"/>
          <w:szCs w:val="32"/>
          <w:lang w:val="zh-CN" w:eastAsia="zh-CN"/>
        </w:rPr>
        <w:t>个县（区）市场监管局全部进行评价。</w:t>
      </w:r>
      <w:bookmarkEnd w:id="69"/>
      <w:bookmarkEnd w:id="70"/>
    </w:p>
    <w:p w:rsidR="004B0FC1" w:rsidRDefault="00A976D9">
      <w:pPr>
        <w:kinsoku/>
        <w:autoSpaceDE/>
        <w:autoSpaceDN/>
        <w:spacing w:line="578" w:lineRule="exact"/>
        <w:ind w:firstLineChars="200" w:firstLine="632"/>
        <w:contextualSpacing/>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（四）评价方法。</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bookmarkStart w:id="71" w:name="OLE_LINK7"/>
      <w:r>
        <w:rPr>
          <w:rFonts w:ascii="Times New Roman" w:eastAsia="仿宋_GB2312" w:hAnsi="Times New Roman" w:cs="Times New Roman" w:hint="eastAsia"/>
          <w:snapToGrid/>
          <w:kern w:val="2"/>
          <w:sz w:val="32"/>
          <w:szCs w:val="32"/>
          <w:lang w:val="zh-CN" w:eastAsia="zh-CN"/>
        </w:rPr>
        <w:t>结合该项目和项目实施单位实际情况，</w:t>
      </w:r>
      <w:proofErr w:type="gramStart"/>
      <w:r>
        <w:rPr>
          <w:rFonts w:ascii="Times New Roman" w:eastAsia="仿宋_GB2312" w:hAnsi="Times New Roman" w:cs="Times New Roman" w:hint="eastAsia"/>
          <w:snapToGrid/>
          <w:kern w:val="2"/>
          <w:sz w:val="32"/>
          <w:szCs w:val="32"/>
          <w:lang w:val="zh-CN" w:eastAsia="zh-CN"/>
        </w:rPr>
        <w:t>评价组</w:t>
      </w:r>
      <w:proofErr w:type="gramEnd"/>
      <w:r>
        <w:rPr>
          <w:rFonts w:ascii="Times New Roman" w:eastAsia="仿宋_GB2312" w:hAnsi="Times New Roman" w:cs="Times New Roman" w:hint="eastAsia"/>
          <w:snapToGrid/>
          <w:kern w:val="2"/>
          <w:sz w:val="32"/>
          <w:szCs w:val="32"/>
          <w:lang w:val="zh-CN" w:eastAsia="zh-CN"/>
        </w:rPr>
        <w:t>采取单位自评法对项目实施评价，并通过定量和定性分析得出评价结论。</w:t>
      </w:r>
    </w:p>
    <w:bookmarkEnd w:id="71"/>
    <w:p w:rsidR="004B0FC1" w:rsidRDefault="00A976D9">
      <w:pPr>
        <w:kinsoku/>
        <w:autoSpaceDE/>
        <w:autoSpaceDN/>
        <w:spacing w:line="578" w:lineRule="exact"/>
        <w:ind w:firstLineChars="200" w:firstLine="632"/>
        <w:contextualSpacing/>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（五）评价组织。</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由市局财务科总牵头，各县（区）局、攀西院及市局各业务科室履行绩效自评主体责任，就各自负责绩效目标和工作任</w:t>
      </w:r>
      <w:r>
        <w:rPr>
          <w:rFonts w:ascii="Times New Roman" w:eastAsia="仿宋_GB2312" w:hAnsi="Times New Roman" w:cs="Times New Roman" w:hint="eastAsia"/>
          <w:snapToGrid/>
          <w:kern w:val="2"/>
          <w:sz w:val="32"/>
          <w:szCs w:val="32"/>
          <w:lang w:val="zh-CN" w:eastAsia="zh-CN"/>
        </w:rPr>
        <w:lastRenderedPageBreak/>
        <w:t>务完成情况、取得效益开展自评，并提供相关佐证资料，财务科进行审核汇总，形成自评报告。</w:t>
      </w:r>
    </w:p>
    <w:p w:rsidR="004B0FC1" w:rsidRDefault="00A976D9">
      <w:pPr>
        <w:widowControl w:val="0"/>
        <w:kinsoku/>
        <w:autoSpaceDE/>
        <w:autoSpaceDN/>
        <w:spacing w:line="578" w:lineRule="exact"/>
        <w:ind w:firstLineChars="200" w:firstLine="632"/>
        <w:jc w:val="both"/>
        <w:textAlignment w:val="auto"/>
        <w:rPr>
          <w:rFonts w:ascii="Times New Roman" w:eastAsia="黑体" w:hAnsi="Times New Roman" w:cs="Times New Roman"/>
          <w:snapToGrid/>
          <w:color w:val="auto"/>
          <w:kern w:val="2"/>
          <w:sz w:val="32"/>
          <w:szCs w:val="32"/>
          <w:lang w:val="zh-CN" w:eastAsia="zh-CN"/>
        </w:rPr>
      </w:pPr>
      <w:r>
        <w:rPr>
          <w:rFonts w:ascii="Times New Roman" w:eastAsia="黑体" w:hAnsi="Times New Roman" w:cs="Times New Roman" w:hint="eastAsia"/>
          <w:snapToGrid/>
          <w:color w:val="auto"/>
          <w:kern w:val="2"/>
          <w:sz w:val="32"/>
          <w:szCs w:val="32"/>
          <w:lang w:val="zh-CN" w:eastAsia="zh-CN"/>
        </w:rPr>
        <w:t>三、绩效分析</w:t>
      </w:r>
      <w:r>
        <w:rPr>
          <w:rFonts w:ascii="Times New Roman" w:eastAsia="黑体" w:hAnsi="Times New Roman" w:cs="Times New Roman" w:hint="eastAsia"/>
          <w:snapToGrid/>
          <w:color w:val="auto"/>
          <w:kern w:val="2"/>
          <w:sz w:val="32"/>
          <w:szCs w:val="32"/>
          <w:lang w:val="zh-CN" w:eastAsia="zh-CN"/>
        </w:rPr>
        <w:tab/>
      </w:r>
    </w:p>
    <w:p w:rsidR="004B0FC1" w:rsidRDefault="00A976D9">
      <w:pPr>
        <w:kinsoku/>
        <w:autoSpaceDE/>
        <w:autoSpaceDN/>
        <w:spacing w:line="578" w:lineRule="exact"/>
        <w:ind w:firstLineChars="200" w:firstLine="632"/>
        <w:contextualSpacing/>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（一）通用指标绩效分析。</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项目决策。</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）决策程序</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经</w:t>
      </w:r>
      <w:proofErr w:type="gramStart"/>
      <w:r>
        <w:rPr>
          <w:rFonts w:ascii="Times New Roman" w:eastAsia="仿宋_GB2312" w:hAnsi="Times New Roman" w:cs="Times New Roman" w:hint="eastAsia"/>
          <w:snapToGrid/>
          <w:kern w:val="2"/>
          <w:sz w:val="32"/>
          <w:szCs w:val="32"/>
          <w:lang w:val="zh-CN" w:eastAsia="zh-CN"/>
        </w:rPr>
        <w:t>评价组</w:t>
      </w:r>
      <w:proofErr w:type="gramEnd"/>
      <w:r>
        <w:rPr>
          <w:rFonts w:ascii="Times New Roman" w:eastAsia="仿宋_GB2312" w:hAnsi="Times New Roman" w:cs="Times New Roman" w:hint="eastAsia"/>
          <w:snapToGrid/>
          <w:kern w:val="2"/>
          <w:sz w:val="32"/>
          <w:szCs w:val="32"/>
          <w:lang w:val="zh-CN" w:eastAsia="zh-CN"/>
        </w:rPr>
        <w:t>核查，省级药品监管专项资金根据《省级财政药品监管专项资金管理办法》等文件设立，立项依据充分，程序规范。</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为确保项目有效实施，市市场监管局以《攀枝花市市场监督管理局关于印发</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年省级药品监管项目实施方案和绩效目标的通知》（攀市监办〔</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50</w:t>
      </w:r>
      <w:r>
        <w:rPr>
          <w:rFonts w:ascii="Times New Roman" w:eastAsia="仿宋_GB2312" w:hAnsi="Times New Roman" w:cs="Times New Roman" w:hint="eastAsia"/>
          <w:snapToGrid/>
          <w:kern w:val="2"/>
          <w:sz w:val="32"/>
          <w:szCs w:val="32"/>
          <w:lang w:val="zh-CN" w:eastAsia="zh-CN"/>
        </w:rPr>
        <w:t>号）下发实施方案和绩效目标，明确市市场监管局、攀西院以及</w:t>
      </w:r>
      <w:r>
        <w:rPr>
          <w:rFonts w:ascii="Times New Roman" w:eastAsia="仿宋_GB2312" w:hAnsi="Times New Roman" w:cs="Times New Roman" w:hint="eastAsia"/>
          <w:snapToGrid/>
          <w:kern w:val="2"/>
          <w:sz w:val="32"/>
          <w:szCs w:val="32"/>
          <w:lang w:val="zh-CN" w:eastAsia="zh-CN"/>
        </w:rPr>
        <w:t>5</w:t>
      </w:r>
      <w:r>
        <w:rPr>
          <w:rFonts w:ascii="Times New Roman" w:eastAsia="仿宋_GB2312" w:hAnsi="Times New Roman" w:cs="Times New Roman" w:hint="eastAsia"/>
          <w:snapToGrid/>
          <w:kern w:val="2"/>
          <w:sz w:val="32"/>
          <w:szCs w:val="32"/>
          <w:lang w:val="zh-CN" w:eastAsia="zh-CN"/>
        </w:rPr>
        <w:t>个县（区）局为项目责任单位，负责实施药品综合监管、药品抽检工作任务，承担药品、医疗器械和化妆品监督管理。</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）规划论证</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经</w:t>
      </w:r>
      <w:proofErr w:type="gramStart"/>
      <w:r>
        <w:rPr>
          <w:rFonts w:ascii="Times New Roman" w:eastAsia="仿宋_GB2312" w:hAnsi="Times New Roman" w:cs="Times New Roman" w:hint="eastAsia"/>
          <w:snapToGrid/>
          <w:kern w:val="2"/>
          <w:sz w:val="32"/>
          <w:szCs w:val="32"/>
          <w:lang w:val="zh-CN" w:eastAsia="zh-CN"/>
        </w:rPr>
        <w:t>评价组</w:t>
      </w:r>
      <w:proofErr w:type="gramEnd"/>
      <w:r>
        <w:rPr>
          <w:rFonts w:ascii="Times New Roman" w:eastAsia="仿宋_GB2312" w:hAnsi="Times New Roman" w:cs="Times New Roman" w:hint="eastAsia"/>
          <w:snapToGrid/>
          <w:kern w:val="2"/>
          <w:sz w:val="32"/>
          <w:szCs w:val="32"/>
          <w:lang w:val="zh-CN" w:eastAsia="zh-CN"/>
        </w:rPr>
        <w:t>核查，省级药品监管专项资金所涉任务符合市委、市政府重大决策部署，项目实施符合规划任务推进实际。</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项目管理。</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）制度办法</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在《省级财政药品监管专项资金管理办法》框架下，结合</w:t>
      </w:r>
      <w:r>
        <w:rPr>
          <w:rFonts w:ascii="Times New Roman" w:eastAsia="仿宋_GB2312" w:hAnsi="Times New Roman" w:cs="Times New Roman" w:hint="eastAsia"/>
          <w:snapToGrid/>
          <w:kern w:val="2"/>
          <w:sz w:val="32"/>
          <w:szCs w:val="32"/>
          <w:lang w:val="zh-CN" w:eastAsia="zh-CN"/>
        </w:rPr>
        <w:lastRenderedPageBreak/>
        <w:t>年度药品监管目标任务，攀枝花市市场监督管理局编制印发省级药品监管项目实施方案和绩效目标，形式要件齐全。未发现有悖于实际导致难以操作、无法落地、执行不畅或不能满足实际需求的情况。</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）分配管理</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资金分配遵循公平公正原则，体现国家、省、市药品监管政策和工作重点。合理划分市县（区）两级职责分工。建立激励机制，将绩效评价结果作为补助资金分配的重要因素。省级药品监管项目资金主要依据项目法和因素法相结合方式分配，符合《省级财政药品监管专项资金管理办法》规定。</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3</w:t>
      </w:r>
      <w:r>
        <w:rPr>
          <w:rFonts w:ascii="Times New Roman" w:eastAsia="仿宋_GB2312" w:hAnsi="Times New Roman" w:cs="Times New Roman" w:hint="eastAsia"/>
          <w:snapToGrid/>
          <w:kern w:val="2"/>
          <w:sz w:val="32"/>
          <w:szCs w:val="32"/>
          <w:lang w:val="zh-CN" w:eastAsia="zh-CN"/>
        </w:rPr>
        <w:t>）绩效监管</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严格按照省药品监管局要求，完成绩效目标、事前绩效评估、绩效评价及以前年度发现问题整改工作。加强市、县（区）二级工作调度，督促高效推进省级药品监管项目实施。</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项目分配前多次召开项目讨论会，确保项目实施可行、合理。对于项目经费，要求项目单位编制经费预算，经讨论其合理性后最终确定项目经费分配方案。项目经攀枝花市市场监督管理局党组会议审议通过后，</w:t>
      </w:r>
      <w:proofErr w:type="gramStart"/>
      <w:r>
        <w:rPr>
          <w:rFonts w:ascii="Times New Roman" w:eastAsia="仿宋_GB2312" w:hAnsi="Times New Roman" w:cs="Times New Roman" w:hint="eastAsia"/>
          <w:snapToGrid/>
          <w:kern w:val="2"/>
          <w:sz w:val="32"/>
          <w:szCs w:val="32"/>
          <w:lang w:val="zh-CN" w:eastAsia="zh-CN"/>
        </w:rPr>
        <w:t>会商市</w:t>
      </w:r>
      <w:proofErr w:type="gramEnd"/>
      <w:r>
        <w:rPr>
          <w:rFonts w:ascii="Times New Roman" w:eastAsia="仿宋_GB2312" w:hAnsi="Times New Roman" w:cs="Times New Roman" w:hint="eastAsia"/>
          <w:snapToGrid/>
          <w:kern w:val="2"/>
          <w:sz w:val="32"/>
          <w:szCs w:val="32"/>
          <w:lang w:val="zh-CN" w:eastAsia="zh-CN"/>
        </w:rPr>
        <w:t>财政局报市政府同意后下发至项目实施单位。项目下达后，市场监管局不定期召开项目督促会，协调项目实施过程中遇到的问题，督促项目按计划实施、经费按计划使用。根据设置的项目预算绩效目标，采取项</w:t>
      </w:r>
      <w:r>
        <w:rPr>
          <w:rFonts w:ascii="Times New Roman" w:eastAsia="仿宋_GB2312" w:hAnsi="Times New Roman" w:cs="Times New Roman" w:hint="eastAsia"/>
          <w:snapToGrid/>
          <w:kern w:val="2"/>
          <w:sz w:val="32"/>
          <w:szCs w:val="32"/>
          <w:lang w:val="zh-CN" w:eastAsia="zh-CN"/>
        </w:rPr>
        <w:lastRenderedPageBreak/>
        <w:t>目跟踪等方式，动态反映项目进度，适时采取相应措施警示督促纠偏纠错，促进预算绩效目标实现。</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3.</w:t>
      </w:r>
      <w:r>
        <w:rPr>
          <w:rFonts w:ascii="Times New Roman" w:eastAsia="仿宋_GB2312" w:hAnsi="Times New Roman" w:cs="Times New Roman" w:hint="eastAsia"/>
          <w:snapToGrid/>
          <w:kern w:val="2"/>
          <w:sz w:val="32"/>
          <w:szCs w:val="32"/>
          <w:lang w:val="zh-CN" w:eastAsia="zh-CN"/>
        </w:rPr>
        <w:t>项目实施。</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）预算执行</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省级药品监管专项资金计划</w:t>
      </w:r>
      <w:r>
        <w:rPr>
          <w:rFonts w:ascii="Times New Roman" w:eastAsia="仿宋_GB2312" w:hAnsi="Times New Roman" w:cs="Times New Roman" w:hint="eastAsia"/>
          <w:snapToGrid/>
          <w:kern w:val="2"/>
          <w:sz w:val="32"/>
          <w:szCs w:val="32"/>
          <w:lang w:val="zh-CN" w:eastAsia="zh-CN"/>
        </w:rPr>
        <w:t>130</w:t>
      </w:r>
      <w:r>
        <w:rPr>
          <w:rFonts w:ascii="Times New Roman" w:eastAsia="仿宋_GB2312" w:hAnsi="Times New Roman" w:cs="Times New Roman" w:hint="eastAsia"/>
          <w:snapToGrid/>
          <w:kern w:val="2"/>
          <w:sz w:val="32"/>
          <w:szCs w:val="32"/>
          <w:lang w:val="zh-CN" w:eastAsia="zh-CN"/>
        </w:rPr>
        <w:t>万元、实际到位</w:t>
      </w:r>
      <w:r>
        <w:rPr>
          <w:rFonts w:ascii="Times New Roman" w:eastAsia="仿宋_GB2312" w:hAnsi="Times New Roman" w:cs="Times New Roman" w:hint="eastAsia"/>
          <w:snapToGrid/>
          <w:kern w:val="2"/>
          <w:sz w:val="32"/>
          <w:szCs w:val="32"/>
          <w:lang w:val="zh-CN" w:eastAsia="zh-CN"/>
        </w:rPr>
        <w:t>130</w:t>
      </w:r>
      <w:r>
        <w:rPr>
          <w:rFonts w:ascii="Times New Roman" w:eastAsia="仿宋_GB2312" w:hAnsi="Times New Roman" w:cs="Times New Roman" w:hint="eastAsia"/>
          <w:snapToGrid/>
          <w:kern w:val="2"/>
          <w:sz w:val="32"/>
          <w:szCs w:val="32"/>
          <w:lang w:val="zh-CN" w:eastAsia="zh-CN"/>
        </w:rPr>
        <w:t>万元，到位率</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）资金使用</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截至评价时点</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w:t>
      </w:r>
      <w:r>
        <w:rPr>
          <w:rFonts w:ascii="Times New Roman" w:eastAsia="仿宋_GB2312" w:hAnsi="Times New Roman" w:cs="Times New Roman" w:hint="eastAsia"/>
          <w:snapToGrid/>
          <w:kern w:val="2"/>
          <w:sz w:val="32"/>
          <w:szCs w:val="32"/>
          <w:lang w:val="zh-CN" w:eastAsia="zh-CN"/>
        </w:rPr>
        <w:t>12</w:t>
      </w:r>
      <w:r>
        <w:rPr>
          <w:rFonts w:ascii="Times New Roman" w:eastAsia="仿宋_GB2312" w:hAnsi="Times New Roman" w:cs="Times New Roman" w:hint="eastAsia"/>
          <w:snapToGrid/>
          <w:kern w:val="2"/>
          <w:sz w:val="32"/>
          <w:szCs w:val="32"/>
          <w:lang w:val="zh-CN" w:eastAsia="zh-CN"/>
        </w:rPr>
        <w:t>月</w:t>
      </w:r>
      <w:r>
        <w:rPr>
          <w:rFonts w:ascii="Times New Roman" w:eastAsia="仿宋_GB2312" w:hAnsi="Times New Roman" w:cs="Times New Roman" w:hint="eastAsia"/>
          <w:snapToGrid/>
          <w:kern w:val="2"/>
          <w:sz w:val="32"/>
          <w:szCs w:val="32"/>
          <w:lang w:val="zh-CN" w:eastAsia="zh-CN"/>
        </w:rPr>
        <w:t>31</w:t>
      </w:r>
      <w:r>
        <w:rPr>
          <w:rFonts w:ascii="Times New Roman" w:eastAsia="仿宋_GB2312" w:hAnsi="Times New Roman" w:cs="Times New Roman" w:hint="eastAsia"/>
          <w:snapToGrid/>
          <w:kern w:val="2"/>
          <w:sz w:val="32"/>
          <w:szCs w:val="32"/>
          <w:lang w:val="zh-CN" w:eastAsia="zh-CN"/>
        </w:rPr>
        <w:t>日，省级药品综合监管上年结转</w:t>
      </w:r>
      <w:r>
        <w:rPr>
          <w:rFonts w:ascii="Times New Roman" w:eastAsia="仿宋_GB2312" w:hAnsi="Times New Roman" w:cs="Times New Roman" w:hint="eastAsia"/>
          <w:snapToGrid/>
          <w:kern w:val="2"/>
          <w:sz w:val="32"/>
          <w:szCs w:val="32"/>
          <w:lang w:val="zh-CN" w:eastAsia="zh-CN"/>
        </w:rPr>
        <w:t>63.89</w:t>
      </w:r>
      <w:r>
        <w:rPr>
          <w:rFonts w:ascii="Times New Roman" w:eastAsia="仿宋_GB2312" w:hAnsi="Times New Roman" w:cs="Times New Roman" w:hint="eastAsia"/>
          <w:snapToGrid/>
          <w:kern w:val="2"/>
          <w:sz w:val="32"/>
          <w:szCs w:val="32"/>
          <w:lang w:val="zh-CN" w:eastAsia="zh-CN"/>
        </w:rPr>
        <w:t>万元、本年收入</w:t>
      </w:r>
      <w:r>
        <w:rPr>
          <w:rFonts w:ascii="Times New Roman" w:eastAsia="仿宋_GB2312" w:hAnsi="Times New Roman" w:cs="Times New Roman" w:hint="eastAsia"/>
          <w:snapToGrid/>
          <w:kern w:val="2"/>
          <w:sz w:val="32"/>
          <w:szCs w:val="32"/>
          <w:lang w:val="zh-CN" w:eastAsia="zh-CN"/>
        </w:rPr>
        <w:t>130</w:t>
      </w:r>
      <w:r>
        <w:rPr>
          <w:rFonts w:ascii="Times New Roman" w:eastAsia="仿宋_GB2312" w:hAnsi="Times New Roman" w:cs="Times New Roman" w:hint="eastAsia"/>
          <w:snapToGrid/>
          <w:kern w:val="2"/>
          <w:sz w:val="32"/>
          <w:szCs w:val="32"/>
          <w:lang w:val="zh-CN" w:eastAsia="zh-CN"/>
        </w:rPr>
        <w:t>万元，本年支出</w:t>
      </w:r>
      <w:r>
        <w:rPr>
          <w:rFonts w:ascii="Times New Roman" w:eastAsia="仿宋_GB2312" w:hAnsi="Times New Roman" w:cs="Times New Roman" w:hint="eastAsia"/>
          <w:snapToGrid/>
          <w:kern w:val="2"/>
          <w:sz w:val="32"/>
          <w:szCs w:val="32"/>
          <w:lang w:val="zh-CN" w:eastAsia="zh-CN"/>
        </w:rPr>
        <w:t>127.94</w:t>
      </w:r>
      <w:r>
        <w:rPr>
          <w:rFonts w:ascii="Times New Roman" w:eastAsia="仿宋_GB2312" w:hAnsi="Times New Roman" w:cs="Times New Roman" w:hint="eastAsia"/>
          <w:snapToGrid/>
          <w:kern w:val="2"/>
          <w:sz w:val="32"/>
          <w:szCs w:val="32"/>
          <w:lang w:val="zh-CN" w:eastAsia="zh-CN"/>
        </w:rPr>
        <w:t>万元（其中：上年结转支出</w:t>
      </w:r>
      <w:r>
        <w:rPr>
          <w:rFonts w:ascii="Times New Roman" w:eastAsia="仿宋_GB2312" w:hAnsi="Times New Roman" w:cs="Times New Roman" w:hint="eastAsia"/>
          <w:snapToGrid/>
          <w:kern w:val="2"/>
          <w:sz w:val="32"/>
          <w:szCs w:val="32"/>
          <w:lang w:val="zh-CN" w:eastAsia="zh-CN"/>
        </w:rPr>
        <w:t>57.29</w:t>
      </w:r>
      <w:r>
        <w:rPr>
          <w:rFonts w:ascii="Times New Roman" w:eastAsia="仿宋_GB2312" w:hAnsi="Times New Roman" w:cs="Times New Roman" w:hint="eastAsia"/>
          <w:snapToGrid/>
          <w:kern w:val="2"/>
          <w:sz w:val="32"/>
          <w:szCs w:val="32"/>
          <w:lang w:val="zh-CN" w:eastAsia="zh-CN"/>
        </w:rPr>
        <w:t>万元，本年预算支出</w:t>
      </w:r>
      <w:r>
        <w:rPr>
          <w:rFonts w:ascii="Times New Roman" w:eastAsia="仿宋_GB2312" w:hAnsi="Times New Roman" w:cs="Times New Roman" w:hint="eastAsia"/>
          <w:snapToGrid/>
          <w:kern w:val="2"/>
          <w:sz w:val="32"/>
          <w:szCs w:val="32"/>
          <w:lang w:val="zh-CN" w:eastAsia="zh-CN"/>
        </w:rPr>
        <w:t>70.65</w:t>
      </w:r>
      <w:r>
        <w:rPr>
          <w:rFonts w:ascii="Times New Roman" w:eastAsia="仿宋_GB2312" w:hAnsi="Times New Roman" w:cs="Times New Roman" w:hint="eastAsia"/>
          <w:snapToGrid/>
          <w:kern w:val="2"/>
          <w:sz w:val="32"/>
          <w:szCs w:val="32"/>
          <w:lang w:val="zh-CN" w:eastAsia="zh-CN"/>
        </w:rPr>
        <w:t>万元），资金结余</w:t>
      </w:r>
      <w:r>
        <w:rPr>
          <w:rFonts w:ascii="Times New Roman" w:eastAsia="仿宋_GB2312" w:hAnsi="Times New Roman" w:cs="Times New Roman" w:hint="eastAsia"/>
          <w:snapToGrid/>
          <w:kern w:val="2"/>
          <w:sz w:val="32"/>
          <w:szCs w:val="32"/>
          <w:lang w:val="zh-CN" w:eastAsia="zh-CN"/>
        </w:rPr>
        <w:t>65.95</w:t>
      </w:r>
      <w:r>
        <w:rPr>
          <w:rFonts w:ascii="Times New Roman" w:eastAsia="仿宋_GB2312" w:hAnsi="Times New Roman" w:cs="Times New Roman" w:hint="eastAsia"/>
          <w:snapToGrid/>
          <w:kern w:val="2"/>
          <w:sz w:val="32"/>
          <w:szCs w:val="32"/>
          <w:lang w:val="zh-CN" w:eastAsia="zh-CN"/>
        </w:rPr>
        <w:t>万元，完成预算的</w:t>
      </w:r>
      <w:r>
        <w:rPr>
          <w:rFonts w:ascii="Times New Roman" w:eastAsia="仿宋_GB2312" w:hAnsi="Times New Roman" w:cs="Times New Roman" w:hint="eastAsia"/>
          <w:snapToGrid/>
          <w:kern w:val="2"/>
          <w:sz w:val="32"/>
          <w:szCs w:val="32"/>
          <w:lang w:val="zh-CN" w:eastAsia="zh-CN"/>
        </w:rPr>
        <w:t>66%</w:t>
      </w:r>
      <w:r>
        <w:rPr>
          <w:rFonts w:ascii="Times New Roman" w:eastAsia="仿宋_GB2312" w:hAnsi="Times New Roman" w:cs="Times New Roman" w:hint="eastAsia"/>
          <w:snapToGrid/>
          <w:kern w:val="2"/>
          <w:sz w:val="32"/>
          <w:szCs w:val="32"/>
          <w:lang w:val="zh-CN" w:eastAsia="zh-CN"/>
        </w:rPr>
        <w:t>。其中：市本级支出</w:t>
      </w:r>
      <w:r>
        <w:rPr>
          <w:rFonts w:ascii="Times New Roman" w:eastAsia="仿宋_GB2312" w:hAnsi="Times New Roman" w:cs="Times New Roman" w:hint="eastAsia"/>
          <w:snapToGrid/>
          <w:kern w:val="2"/>
          <w:sz w:val="32"/>
          <w:szCs w:val="32"/>
          <w:lang w:val="zh-CN" w:eastAsia="zh-CN"/>
        </w:rPr>
        <w:t>37.1</w:t>
      </w:r>
      <w:r>
        <w:rPr>
          <w:rFonts w:ascii="Times New Roman" w:eastAsia="仿宋_GB2312" w:hAnsi="Times New Roman" w:cs="Times New Roman" w:hint="eastAsia"/>
          <w:snapToGrid/>
          <w:kern w:val="2"/>
          <w:sz w:val="32"/>
          <w:szCs w:val="32"/>
          <w:lang w:val="zh-CN" w:eastAsia="zh-CN"/>
        </w:rPr>
        <w:t>万元，完成预算的</w:t>
      </w:r>
      <w:r>
        <w:rPr>
          <w:rFonts w:ascii="Times New Roman" w:eastAsia="仿宋_GB2312" w:hAnsi="Times New Roman" w:cs="Times New Roman" w:hint="eastAsia"/>
          <w:snapToGrid/>
          <w:kern w:val="2"/>
          <w:sz w:val="32"/>
          <w:szCs w:val="32"/>
          <w:lang w:val="zh-CN" w:eastAsia="zh-CN"/>
        </w:rPr>
        <w:t>93.9%</w:t>
      </w:r>
      <w:r>
        <w:rPr>
          <w:rFonts w:ascii="Times New Roman" w:eastAsia="仿宋_GB2312" w:hAnsi="Times New Roman" w:cs="Times New Roman" w:hint="eastAsia"/>
          <w:snapToGrid/>
          <w:kern w:val="2"/>
          <w:sz w:val="32"/>
          <w:szCs w:val="32"/>
          <w:lang w:val="zh-CN" w:eastAsia="zh-CN"/>
        </w:rPr>
        <w:t>；县（区）支出</w:t>
      </w:r>
      <w:r>
        <w:rPr>
          <w:rFonts w:ascii="Times New Roman" w:eastAsia="仿宋_GB2312" w:hAnsi="Times New Roman" w:cs="Times New Roman" w:hint="eastAsia"/>
          <w:snapToGrid/>
          <w:kern w:val="2"/>
          <w:sz w:val="32"/>
          <w:szCs w:val="32"/>
          <w:lang w:val="zh-CN" w:eastAsia="zh-CN"/>
        </w:rPr>
        <w:t>90.84</w:t>
      </w:r>
      <w:r>
        <w:rPr>
          <w:rFonts w:ascii="Times New Roman" w:eastAsia="仿宋_GB2312" w:hAnsi="Times New Roman" w:cs="Times New Roman" w:hint="eastAsia"/>
          <w:snapToGrid/>
          <w:kern w:val="2"/>
          <w:sz w:val="32"/>
          <w:szCs w:val="32"/>
          <w:lang w:val="zh-CN" w:eastAsia="zh-CN"/>
        </w:rPr>
        <w:t>万元，完成预算的</w:t>
      </w:r>
      <w:r>
        <w:rPr>
          <w:rFonts w:ascii="Times New Roman" w:eastAsia="仿宋_GB2312" w:hAnsi="Times New Roman" w:cs="Times New Roman" w:hint="eastAsia"/>
          <w:snapToGrid/>
          <w:kern w:val="2"/>
          <w:sz w:val="32"/>
          <w:szCs w:val="32"/>
          <w:lang w:val="zh-CN" w:eastAsia="zh-CN"/>
        </w:rPr>
        <w:t>58.9%</w:t>
      </w:r>
      <w:r>
        <w:rPr>
          <w:rFonts w:ascii="Times New Roman" w:eastAsia="仿宋_GB2312" w:hAnsi="Times New Roman" w:cs="Times New Roman" w:hint="eastAsia"/>
          <w:snapToGrid/>
          <w:kern w:val="2"/>
          <w:sz w:val="32"/>
          <w:szCs w:val="32"/>
          <w:lang w:val="zh-CN" w:eastAsia="zh-CN"/>
        </w:rPr>
        <w:t>。项目结余资金结转到</w:t>
      </w:r>
      <w:r>
        <w:rPr>
          <w:rFonts w:ascii="Times New Roman" w:eastAsia="仿宋_GB2312" w:hAnsi="Times New Roman" w:cs="Times New Roman" w:hint="eastAsia"/>
          <w:snapToGrid/>
          <w:kern w:val="2"/>
          <w:sz w:val="32"/>
          <w:szCs w:val="32"/>
          <w:lang w:val="zh-CN" w:eastAsia="zh-CN"/>
        </w:rPr>
        <w:t>2026</w:t>
      </w:r>
      <w:r>
        <w:rPr>
          <w:rFonts w:ascii="Times New Roman" w:eastAsia="仿宋_GB2312" w:hAnsi="Times New Roman" w:cs="Times New Roman" w:hint="eastAsia"/>
          <w:snapToGrid/>
          <w:kern w:val="2"/>
          <w:sz w:val="32"/>
          <w:szCs w:val="32"/>
          <w:lang w:val="zh-CN" w:eastAsia="zh-CN"/>
        </w:rPr>
        <w:t>年继续用于药品安全专项监管。</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4.</w:t>
      </w:r>
      <w:r>
        <w:rPr>
          <w:rFonts w:ascii="Times New Roman" w:eastAsia="仿宋_GB2312" w:hAnsi="Times New Roman" w:cs="Times New Roman" w:hint="eastAsia"/>
          <w:snapToGrid/>
          <w:kern w:val="2"/>
          <w:sz w:val="32"/>
          <w:szCs w:val="32"/>
          <w:lang w:val="zh-CN" w:eastAsia="zh-CN"/>
        </w:rPr>
        <w:t>项目结果。</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各专项项目按照下达的项目实施方案开展工作，项目资金严格按照《省级财政药品监管专项资金管理办法》《四川省省级项目支出绩效管理办法》管理使用，做到专款专用。项目绩效目标按时保质完成。</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年度，项目绩效指标均在计划时间内有效完成，项目实施结果与绩效目标相匹配。</w:t>
      </w:r>
    </w:p>
    <w:p w:rsidR="004B0FC1" w:rsidRDefault="00A976D9">
      <w:pPr>
        <w:kinsoku/>
        <w:autoSpaceDE/>
        <w:autoSpaceDN/>
        <w:spacing w:line="578" w:lineRule="exact"/>
        <w:ind w:firstLineChars="200" w:firstLine="632"/>
        <w:contextualSpacing/>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（二）专用指标绩效分析。</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lastRenderedPageBreak/>
        <w:t>一是用途合</w:t>
      </w:r>
      <w:proofErr w:type="gramStart"/>
      <w:r>
        <w:rPr>
          <w:rFonts w:ascii="Times New Roman" w:eastAsia="仿宋_GB2312" w:hAnsi="Times New Roman" w:cs="Times New Roman" w:hint="eastAsia"/>
          <w:snapToGrid/>
          <w:kern w:val="2"/>
          <w:sz w:val="32"/>
          <w:szCs w:val="32"/>
          <w:lang w:val="zh-CN" w:eastAsia="zh-CN"/>
        </w:rPr>
        <w:t>规</w:t>
      </w:r>
      <w:proofErr w:type="gramEnd"/>
      <w:r>
        <w:rPr>
          <w:rFonts w:ascii="Times New Roman" w:eastAsia="仿宋_GB2312" w:hAnsi="Times New Roman" w:cs="Times New Roman" w:hint="eastAsia"/>
          <w:snapToGrid/>
          <w:kern w:val="2"/>
          <w:sz w:val="32"/>
          <w:szCs w:val="32"/>
          <w:lang w:val="zh-CN" w:eastAsia="zh-CN"/>
        </w:rPr>
        <w:t>性。项目预算分配均按规定用途、适用范围进行，资金实际用途符合专项资金管理要求。各项</w:t>
      </w:r>
      <w:proofErr w:type="gramStart"/>
      <w:r>
        <w:rPr>
          <w:rFonts w:ascii="Times New Roman" w:eastAsia="仿宋_GB2312" w:hAnsi="Times New Roman" w:cs="Times New Roman" w:hint="eastAsia"/>
          <w:snapToGrid/>
          <w:kern w:val="2"/>
          <w:sz w:val="32"/>
          <w:szCs w:val="32"/>
          <w:lang w:val="zh-CN" w:eastAsia="zh-CN"/>
        </w:rPr>
        <w:t>目实施</w:t>
      </w:r>
      <w:proofErr w:type="gramEnd"/>
      <w:r>
        <w:rPr>
          <w:rFonts w:ascii="Times New Roman" w:eastAsia="仿宋_GB2312" w:hAnsi="Times New Roman" w:cs="Times New Roman" w:hint="eastAsia"/>
          <w:snapToGrid/>
          <w:kern w:val="2"/>
          <w:sz w:val="32"/>
          <w:szCs w:val="32"/>
          <w:lang w:val="zh-CN" w:eastAsia="zh-CN"/>
        </w:rPr>
        <w:t>单位财务制度健全规范，专项资金专账核算、专款专用，会计核算规范、账务处理及时。二是程序合</w:t>
      </w:r>
      <w:proofErr w:type="gramStart"/>
      <w:r>
        <w:rPr>
          <w:rFonts w:ascii="Times New Roman" w:eastAsia="仿宋_GB2312" w:hAnsi="Times New Roman" w:cs="Times New Roman" w:hint="eastAsia"/>
          <w:snapToGrid/>
          <w:kern w:val="2"/>
          <w:sz w:val="32"/>
          <w:szCs w:val="32"/>
          <w:lang w:val="zh-CN" w:eastAsia="zh-CN"/>
        </w:rPr>
        <w:t>规</w:t>
      </w:r>
      <w:proofErr w:type="gramEnd"/>
      <w:r>
        <w:rPr>
          <w:rFonts w:ascii="Times New Roman" w:eastAsia="仿宋_GB2312" w:hAnsi="Times New Roman" w:cs="Times New Roman" w:hint="eastAsia"/>
          <w:snapToGrid/>
          <w:kern w:val="2"/>
          <w:sz w:val="32"/>
          <w:szCs w:val="32"/>
          <w:lang w:val="zh-CN" w:eastAsia="zh-CN"/>
        </w:rPr>
        <w:t>性。项目严格按照《省级财政药品监管专项资金管理办法》，经我局党组会议审议，联合市财政局报市政府常务会审议通过后下达。项目实施单位均按照相关决策程序管理分配使用资金。三是标准合</w:t>
      </w:r>
      <w:proofErr w:type="gramStart"/>
      <w:r>
        <w:rPr>
          <w:rFonts w:ascii="Times New Roman" w:eastAsia="仿宋_GB2312" w:hAnsi="Times New Roman" w:cs="Times New Roman" w:hint="eastAsia"/>
          <w:snapToGrid/>
          <w:kern w:val="2"/>
          <w:sz w:val="32"/>
          <w:szCs w:val="32"/>
          <w:lang w:val="zh-CN" w:eastAsia="zh-CN"/>
        </w:rPr>
        <w:t>规</w:t>
      </w:r>
      <w:proofErr w:type="gramEnd"/>
      <w:r>
        <w:rPr>
          <w:rFonts w:ascii="Times New Roman" w:eastAsia="仿宋_GB2312" w:hAnsi="Times New Roman" w:cs="Times New Roman" w:hint="eastAsia"/>
          <w:snapToGrid/>
          <w:kern w:val="2"/>
          <w:sz w:val="32"/>
          <w:szCs w:val="32"/>
          <w:lang w:val="zh-CN" w:eastAsia="zh-CN"/>
        </w:rPr>
        <w:t>性。项目均按照相关文件明确的标准或经集体决策程序审定后的标准测算。</w:t>
      </w:r>
    </w:p>
    <w:p w:rsidR="004B0FC1" w:rsidRDefault="00A976D9">
      <w:pPr>
        <w:kinsoku/>
        <w:autoSpaceDE/>
        <w:autoSpaceDN/>
        <w:spacing w:line="578" w:lineRule="exact"/>
        <w:ind w:firstLineChars="200" w:firstLine="632"/>
        <w:contextualSpacing/>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（三）个性指标绩效分析。</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药械化抽样完成情况。</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年，共计完成药械化抽样</w:t>
      </w:r>
      <w:r>
        <w:rPr>
          <w:rFonts w:ascii="Times New Roman" w:eastAsia="仿宋_GB2312" w:hAnsi="Times New Roman" w:cs="Times New Roman" w:hint="eastAsia"/>
          <w:snapToGrid/>
          <w:kern w:val="2"/>
          <w:sz w:val="32"/>
          <w:szCs w:val="32"/>
          <w:lang w:val="zh-CN" w:eastAsia="zh-CN"/>
        </w:rPr>
        <w:t>490</w:t>
      </w:r>
      <w:r>
        <w:rPr>
          <w:rFonts w:ascii="Times New Roman" w:eastAsia="仿宋_GB2312" w:hAnsi="Times New Roman" w:cs="Times New Roman" w:hint="eastAsia"/>
          <w:snapToGrid/>
          <w:kern w:val="2"/>
          <w:sz w:val="32"/>
          <w:szCs w:val="32"/>
          <w:lang w:val="zh-CN" w:eastAsia="zh-CN"/>
        </w:rPr>
        <w:t>批次，检验</w:t>
      </w:r>
      <w:r>
        <w:rPr>
          <w:rFonts w:ascii="Times New Roman" w:eastAsia="仿宋_GB2312" w:hAnsi="Times New Roman" w:cs="Times New Roman" w:hint="eastAsia"/>
          <w:snapToGrid/>
          <w:kern w:val="2"/>
          <w:sz w:val="32"/>
          <w:szCs w:val="32"/>
          <w:lang w:val="zh-CN" w:eastAsia="zh-CN"/>
        </w:rPr>
        <w:t>417</w:t>
      </w:r>
      <w:r>
        <w:rPr>
          <w:rFonts w:ascii="Times New Roman" w:eastAsia="仿宋_GB2312" w:hAnsi="Times New Roman" w:cs="Times New Roman" w:hint="eastAsia"/>
          <w:snapToGrid/>
          <w:kern w:val="2"/>
          <w:sz w:val="32"/>
          <w:szCs w:val="32"/>
          <w:lang w:val="zh-CN" w:eastAsia="zh-CN"/>
        </w:rPr>
        <w:t>批次。①药品：完成抽样</w:t>
      </w:r>
      <w:r>
        <w:rPr>
          <w:rFonts w:ascii="Times New Roman" w:eastAsia="仿宋_GB2312" w:hAnsi="Times New Roman" w:cs="Times New Roman" w:hint="eastAsia"/>
          <w:snapToGrid/>
          <w:kern w:val="2"/>
          <w:sz w:val="32"/>
          <w:szCs w:val="32"/>
          <w:lang w:val="zh-CN" w:eastAsia="zh-CN"/>
        </w:rPr>
        <w:t>412</w:t>
      </w:r>
      <w:r>
        <w:rPr>
          <w:rFonts w:ascii="Times New Roman" w:eastAsia="仿宋_GB2312" w:hAnsi="Times New Roman" w:cs="Times New Roman" w:hint="eastAsia"/>
          <w:snapToGrid/>
          <w:kern w:val="2"/>
          <w:sz w:val="32"/>
          <w:szCs w:val="32"/>
          <w:lang w:val="zh-CN" w:eastAsia="zh-CN"/>
        </w:rPr>
        <w:t>批次（</w:t>
      </w:r>
      <w:proofErr w:type="gramStart"/>
      <w:r>
        <w:rPr>
          <w:rFonts w:ascii="Times New Roman" w:eastAsia="仿宋_GB2312" w:hAnsi="Times New Roman" w:cs="Times New Roman" w:hint="eastAsia"/>
          <w:snapToGrid/>
          <w:kern w:val="2"/>
          <w:sz w:val="32"/>
          <w:szCs w:val="32"/>
          <w:lang w:val="zh-CN" w:eastAsia="zh-CN"/>
        </w:rPr>
        <w:t>省抽</w:t>
      </w:r>
      <w:proofErr w:type="gramEnd"/>
      <w:r>
        <w:rPr>
          <w:rFonts w:ascii="Times New Roman" w:eastAsia="仿宋_GB2312" w:hAnsi="Times New Roman" w:cs="Times New Roman" w:hint="eastAsia"/>
          <w:snapToGrid/>
          <w:kern w:val="2"/>
          <w:sz w:val="32"/>
          <w:szCs w:val="32"/>
          <w:lang w:val="zh-CN" w:eastAsia="zh-CN"/>
        </w:rPr>
        <w:t>262</w:t>
      </w:r>
      <w:r>
        <w:rPr>
          <w:rFonts w:ascii="Times New Roman" w:eastAsia="仿宋_GB2312" w:hAnsi="Times New Roman" w:cs="Times New Roman" w:hint="eastAsia"/>
          <w:snapToGrid/>
          <w:kern w:val="2"/>
          <w:sz w:val="32"/>
          <w:szCs w:val="32"/>
          <w:lang w:val="zh-CN" w:eastAsia="zh-CN"/>
        </w:rPr>
        <w:t>批次、</w:t>
      </w:r>
      <w:proofErr w:type="gramStart"/>
      <w:r>
        <w:rPr>
          <w:rFonts w:ascii="Times New Roman" w:eastAsia="仿宋_GB2312" w:hAnsi="Times New Roman" w:cs="Times New Roman" w:hint="eastAsia"/>
          <w:snapToGrid/>
          <w:kern w:val="2"/>
          <w:sz w:val="32"/>
          <w:szCs w:val="32"/>
          <w:lang w:val="zh-CN" w:eastAsia="zh-CN"/>
        </w:rPr>
        <w:t>市抽</w:t>
      </w:r>
      <w:proofErr w:type="gramEnd"/>
      <w:r>
        <w:rPr>
          <w:rFonts w:ascii="Times New Roman" w:eastAsia="仿宋_GB2312" w:hAnsi="Times New Roman" w:cs="Times New Roman" w:hint="eastAsia"/>
          <w:snapToGrid/>
          <w:kern w:val="2"/>
          <w:sz w:val="32"/>
          <w:szCs w:val="32"/>
          <w:lang w:val="zh-CN" w:eastAsia="zh-CN"/>
        </w:rPr>
        <w:t>40</w:t>
      </w:r>
      <w:r>
        <w:rPr>
          <w:rFonts w:ascii="Times New Roman" w:eastAsia="仿宋_GB2312" w:hAnsi="Times New Roman" w:cs="Times New Roman" w:hint="eastAsia"/>
          <w:snapToGrid/>
          <w:kern w:val="2"/>
          <w:sz w:val="32"/>
          <w:szCs w:val="32"/>
          <w:lang w:val="zh-CN" w:eastAsia="zh-CN"/>
        </w:rPr>
        <w:t>批次、县区抽</w:t>
      </w:r>
      <w:r>
        <w:rPr>
          <w:rFonts w:ascii="Times New Roman" w:eastAsia="仿宋_GB2312" w:hAnsi="Times New Roman" w:cs="Times New Roman" w:hint="eastAsia"/>
          <w:snapToGrid/>
          <w:kern w:val="2"/>
          <w:sz w:val="32"/>
          <w:szCs w:val="32"/>
          <w:lang w:val="zh-CN" w:eastAsia="zh-CN"/>
        </w:rPr>
        <w:t>110</w:t>
      </w:r>
      <w:r>
        <w:rPr>
          <w:rFonts w:ascii="Times New Roman" w:eastAsia="仿宋_GB2312" w:hAnsi="Times New Roman" w:cs="Times New Roman" w:hint="eastAsia"/>
          <w:snapToGrid/>
          <w:kern w:val="2"/>
          <w:sz w:val="32"/>
          <w:szCs w:val="32"/>
          <w:lang w:val="zh-CN" w:eastAsia="zh-CN"/>
        </w:rPr>
        <w:t>批次），检验</w:t>
      </w:r>
      <w:r>
        <w:rPr>
          <w:rFonts w:ascii="Times New Roman" w:eastAsia="仿宋_GB2312" w:hAnsi="Times New Roman" w:cs="Times New Roman" w:hint="eastAsia"/>
          <w:snapToGrid/>
          <w:kern w:val="2"/>
          <w:sz w:val="32"/>
          <w:szCs w:val="32"/>
          <w:lang w:val="zh-CN" w:eastAsia="zh-CN"/>
        </w:rPr>
        <w:t>417</w:t>
      </w:r>
      <w:r>
        <w:rPr>
          <w:rFonts w:ascii="Times New Roman" w:eastAsia="仿宋_GB2312" w:hAnsi="Times New Roman" w:cs="Times New Roman" w:hint="eastAsia"/>
          <w:snapToGrid/>
          <w:kern w:val="2"/>
          <w:sz w:val="32"/>
          <w:szCs w:val="32"/>
          <w:lang w:val="zh-CN" w:eastAsia="zh-CN"/>
        </w:rPr>
        <w:t>批次（自抽自检</w:t>
      </w:r>
      <w:r>
        <w:rPr>
          <w:rFonts w:ascii="Times New Roman" w:eastAsia="仿宋_GB2312" w:hAnsi="Times New Roman" w:cs="Times New Roman" w:hint="eastAsia"/>
          <w:snapToGrid/>
          <w:kern w:val="2"/>
          <w:sz w:val="32"/>
          <w:szCs w:val="32"/>
          <w:lang w:val="zh-CN" w:eastAsia="zh-CN"/>
        </w:rPr>
        <w:t>360</w:t>
      </w:r>
      <w:r>
        <w:rPr>
          <w:rFonts w:ascii="Times New Roman" w:eastAsia="仿宋_GB2312" w:hAnsi="Times New Roman" w:cs="Times New Roman" w:hint="eastAsia"/>
          <w:snapToGrid/>
          <w:kern w:val="2"/>
          <w:sz w:val="32"/>
          <w:szCs w:val="32"/>
          <w:lang w:val="zh-CN" w:eastAsia="zh-CN"/>
        </w:rPr>
        <w:t>批次、集中承检</w:t>
      </w:r>
      <w:r>
        <w:rPr>
          <w:rFonts w:ascii="Times New Roman" w:eastAsia="仿宋_GB2312" w:hAnsi="Times New Roman" w:cs="Times New Roman" w:hint="eastAsia"/>
          <w:snapToGrid/>
          <w:kern w:val="2"/>
          <w:sz w:val="32"/>
          <w:szCs w:val="32"/>
          <w:lang w:val="zh-CN" w:eastAsia="zh-CN"/>
        </w:rPr>
        <w:t>57</w:t>
      </w:r>
      <w:r>
        <w:rPr>
          <w:rFonts w:ascii="Times New Roman" w:eastAsia="仿宋_GB2312" w:hAnsi="Times New Roman" w:cs="Times New Roman" w:hint="eastAsia"/>
          <w:snapToGrid/>
          <w:kern w:val="2"/>
          <w:sz w:val="32"/>
          <w:szCs w:val="32"/>
          <w:lang w:val="zh-CN" w:eastAsia="zh-CN"/>
        </w:rPr>
        <w:t>批次）。自</w:t>
      </w:r>
      <w:proofErr w:type="gramStart"/>
      <w:r>
        <w:rPr>
          <w:rFonts w:ascii="Times New Roman" w:eastAsia="仿宋_GB2312" w:hAnsi="Times New Roman" w:cs="Times New Roman" w:hint="eastAsia"/>
          <w:snapToGrid/>
          <w:kern w:val="2"/>
          <w:sz w:val="32"/>
          <w:szCs w:val="32"/>
          <w:lang w:val="zh-CN" w:eastAsia="zh-CN"/>
        </w:rPr>
        <w:t>抽自检未发现</w:t>
      </w:r>
      <w:proofErr w:type="gramEnd"/>
      <w:r>
        <w:rPr>
          <w:rFonts w:ascii="Times New Roman" w:eastAsia="仿宋_GB2312" w:hAnsi="Times New Roman" w:cs="Times New Roman" w:hint="eastAsia"/>
          <w:snapToGrid/>
          <w:kern w:val="2"/>
          <w:sz w:val="32"/>
          <w:szCs w:val="32"/>
          <w:lang w:val="zh-CN" w:eastAsia="zh-CN"/>
        </w:rPr>
        <w:t>不符合规定的药品，检验合格率为</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；收到自抽他检药品不符合规定报告</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起。②化妆品：完成抽样</w:t>
      </w:r>
      <w:r>
        <w:rPr>
          <w:rFonts w:ascii="Times New Roman" w:eastAsia="仿宋_GB2312" w:hAnsi="Times New Roman" w:cs="Times New Roman" w:hint="eastAsia"/>
          <w:snapToGrid/>
          <w:kern w:val="2"/>
          <w:sz w:val="32"/>
          <w:szCs w:val="32"/>
          <w:lang w:val="zh-CN" w:eastAsia="zh-CN"/>
        </w:rPr>
        <w:t>50</w:t>
      </w:r>
      <w:r>
        <w:rPr>
          <w:rFonts w:ascii="Times New Roman" w:eastAsia="仿宋_GB2312" w:hAnsi="Times New Roman" w:cs="Times New Roman" w:hint="eastAsia"/>
          <w:snapToGrid/>
          <w:kern w:val="2"/>
          <w:sz w:val="32"/>
          <w:szCs w:val="32"/>
          <w:lang w:val="zh-CN" w:eastAsia="zh-CN"/>
        </w:rPr>
        <w:t>批次，发现化妆品不符合规定</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批次，检验合格率为</w:t>
      </w:r>
      <w:r>
        <w:rPr>
          <w:rFonts w:ascii="Times New Roman" w:eastAsia="仿宋_GB2312" w:hAnsi="Times New Roman" w:cs="Times New Roman" w:hint="eastAsia"/>
          <w:snapToGrid/>
          <w:kern w:val="2"/>
          <w:sz w:val="32"/>
          <w:szCs w:val="32"/>
          <w:lang w:val="zh-CN" w:eastAsia="zh-CN"/>
        </w:rPr>
        <w:t>98</w:t>
      </w:r>
      <w:r>
        <w:rPr>
          <w:rFonts w:ascii="Times New Roman" w:eastAsia="仿宋_GB2312" w:hAnsi="Times New Roman" w:cs="Times New Roman" w:hint="eastAsia"/>
          <w:snapToGrid/>
          <w:kern w:val="2"/>
          <w:sz w:val="32"/>
          <w:szCs w:val="32"/>
          <w:lang w:val="zh-CN" w:eastAsia="zh-CN"/>
        </w:rPr>
        <w:t>％。③医疗器械：完成抽样</w:t>
      </w:r>
      <w:r>
        <w:rPr>
          <w:rFonts w:ascii="Times New Roman" w:eastAsia="仿宋_GB2312" w:hAnsi="Times New Roman" w:cs="Times New Roman" w:hint="eastAsia"/>
          <w:snapToGrid/>
          <w:kern w:val="2"/>
          <w:sz w:val="32"/>
          <w:szCs w:val="32"/>
          <w:lang w:val="zh-CN" w:eastAsia="zh-CN"/>
        </w:rPr>
        <w:t>28</w:t>
      </w:r>
      <w:r>
        <w:rPr>
          <w:rFonts w:ascii="Times New Roman" w:eastAsia="仿宋_GB2312" w:hAnsi="Times New Roman" w:cs="Times New Roman" w:hint="eastAsia"/>
          <w:snapToGrid/>
          <w:kern w:val="2"/>
          <w:sz w:val="32"/>
          <w:szCs w:val="32"/>
          <w:lang w:val="zh-CN" w:eastAsia="zh-CN"/>
        </w:rPr>
        <w:t>批次，含国家级监督抽样</w:t>
      </w:r>
      <w:r>
        <w:rPr>
          <w:rFonts w:ascii="Times New Roman" w:eastAsia="仿宋_GB2312" w:hAnsi="Times New Roman" w:cs="Times New Roman" w:hint="eastAsia"/>
          <w:snapToGrid/>
          <w:kern w:val="2"/>
          <w:sz w:val="32"/>
          <w:szCs w:val="32"/>
          <w:lang w:val="zh-CN" w:eastAsia="zh-CN"/>
        </w:rPr>
        <w:t>3</w:t>
      </w:r>
      <w:r>
        <w:rPr>
          <w:rFonts w:ascii="Times New Roman" w:eastAsia="仿宋_GB2312" w:hAnsi="Times New Roman" w:cs="Times New Roman" w:hint="eastAsia"/>
          <w:snapToGrid/>
          <w:kern w:val="2"/>
          <w:sz w:val="32"/>
          <w:szCs w:val="32"/>
          <w:lang w:val="zh-CN" w:eastAsia="zh-CN"/>
        </w:rPr>
        <w:t>批次、追踪性抽样</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批次，未发现不符合规定的医疗器械，检验合格率为</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药品安全监管方面。</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坚持监检结合，抽样中发现异常情况</w:t>
      </w:r>
      <w:r>
        <w:rPr>
          <w:rFonts w:ascii="Times New Roman" w:eastAsia="仿宋_GB2312" w:hAnsi="Times New Roman" w:cs="Times New Roman" w:hint="eastAsia"/>
          <w:snapToGrid/>
          <w:kern w:val="2"/>
          <w:sz w:val="32"/>
          <w:szCs w:val="32"/>
          <w:lang w:val="zh-CN" w:eastAsia="zh-CN"/>
        </w:rPr>
        <w:t>5</w:t>
      </w:r>
      <w:r>
        <w:rPr>
          <w:rFonts w:ascii="Times New Roman" w:eastAsia="仿宋_GB2312" w:hAnsi="Times New Roman" w:cs="Times New Roman" w:hint="eastAsia"/>
          <w:snapToGrid/>
          <w:kern w:val="2"/>
          <w:sz w:val="32"/>
          <w:szCs w:val="32"/>
          <w:lang w:val="zh-CN" w:eastAsia="zh-CN"/>
        </w:rPr>
        <w:t>起，涉及问题主要为：销售超过使用期限的化妆品</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起、</w:t>
      </w:r>
      <w:r>
        <w:rPr>
          <w:rFonts w:ascii="Times New Roman" w:eastAsia="仿宋_GB2312" w:hAnsi="Times New Roman" w:cs="Times New Roman" w:hint="eastAsia"/>
          <w:snapToGrid/>
          <w:kern w:val="2"/>
          <w:sz w:val="32"/>
          <w:szCs w:val="32"/>
          <w:lang w:val="zh-CN" w:eastAsia="zh-CN"/>
        </w:rPr>
        <w:lastRenderedPageBreak/>
        <w:t>未严格按规定执行化妆品进货查验记录</w:t>
      </w:r>
      <w:r>
        <w:rPr>
          <w:rFonts w:ascii="Times New Roman" w:eastAsia="仿宋_GB2312" w:hAnsi="Times New Roman" w:cs="Times New Roman" w:hint="eastAsia"/>
          <w:snapToGrid/>
          <w:kern w:val="2"/>
          <w:sz w:val="32"/>
          <w:szCs w:val="32"/>
          <w:lang w:val="zh-CN" w:eastAsia="zh-CN"/>
        </w:rPr>
        <w:t>3</w:t>
      </w:r>
      <w:r>
        <w:rPr>
          <w:rFonts w:ascii="Times New Roman" w:eastAsia="仿宋_GB2312" w:hAnsi="Times New Roman" w:cs="Times New Roman" w:hint="eastAsia"/>
          <w:snapToGrid/>
          <w:kern w:val="2"/>
          <w:sz w:val="32"/>
          <w:szCs w:val="32"/>
          <w:lang w:val="zh-CN" w:eastAsia="zh-CN"/>
        </w:rPr>
        <w:t>起、经营未备案的普通化妆品</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起，均已立案查处。</w:t>
      </w:r>
      <w:proofErr w:type="gramStart"/>
      <w:r>
        <w:rPr>
          <w:rFonts w:ascii="Times New Roman" w:eastAsia="仿宋_GB2312" w:hAnsi="Times New Roman" w:cs="Times New Roman" w:hint="eastAsia"/>
          <w:snapToGrid/>
          <w:kern w:val="2"/>
          <w:sz w:val="32"/>
          <w:szCs w:val="32"/>
          <w:lang w:val="zh-CN" w:eastAsia="zh-CN"/>
        </w:rPr>
        <w:t>收到省抽药品</w:t>
      </w:r>
      <w:proofErr w:type="gramEnd"/>
      <w:r>
        <w:rPr>
          <w:rFonts w:ascii="Times New Roman" w:eastAsia="仿宋_GB2312" w:hAnsi="Times New Roman" w:cs="Times New Roman" w:hint="eastAsia"/>
          <w:snapToGrid/>
          <w:kern w:val="2"/>
          <w:sz w:val="32"/>
          <w:szCs w:val="32"/>
          <w:lang w:val="zh-CN" w:eastAsia="zh-CN"/>
        </w:rPr>
        <w:t>不符合规定报告</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起，涉及问题是中药饮片（蝉蜕）性状不符合规定，已按程序完成核查处置；</w:t>
      </w:r>
      <w:proofErr w:type="gramStart"/>
      <w:r>
        <w:rPr>
          <w:rFonts w:ascii="Times New Roman" w:eastAsia="仿宋_GB2312" w:hAnsi="Times New Roman" w:cs="Times New Roman" w:hint="eastAsia"/>
          <w:snapToGrid/>
          <w:kern w:val="2"/>
          <w:sz w:val="32"/>
          <w:szCs w:val="32"/>
          <w:lang w:val="zh-CN" w:eastAsia="zh-CN"/>
        </w:rPr>
        <w:t>收到省抽化妆品</w:t>
      </w:r>
      <w:proofErr w:type="gramEnd"/>
      <w:r>
        <w:rPr>
          <w:rFonts w:ascii="Times New Roman" w:eastAsia="仿宋_GB2312" w:hAnsi="Times New Roman" w:cs="Times New Roman" w:hint="eastAsia"/>
          <w:snapToGrid/>
          <w:kern w:val="2"/>
          <w:sz w:val="32"/>
          <w:szCs w:val="32"/>
          <w:lang w:val="zh-CN" w:eastAsia="zh-CN"/>
        </w:rPr>
        <w:t>不符合规定报告</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起，涉及问题是当事人经营使用未经注册的特殊化妆品的行为，已按程序完成核查处置。</w:t>
      </w: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依托医疗机构、社区卫生服务中心为主的市县乡三级监测网络和监测力量，及时发现、挖掘、</w:t>
      </w:r>
      <w:proofErr w:type="gramStart"/>
      <w:r>
        <w:rPr>
          <w:rFonts w:ascii="Times New Roman" w:eastAsia="仿宋_GB2312" w:hAnsi="Times New Roman" w:cs="Times New Roman" w:hint="eastAsia"/>
          <w:snapToGrid/>
          <w:kern w:val="2"/>
          <w:sz w:val="32"/>
          <w:szCs w:val="32"/>
          <w:lang w:val="zh-CN" w:eastAsia="zh-CN"/>
        </w:rPr>
        <w:t>研</w:t>
      </w:r>
      <w:proofErr w:type="gramEnd"/>
      <w:r>
        <w:rPr>
          <w:rFonts w:ascii="Times New Roman" w:eastAsia="仿宋_GB2312" w:hAnsi="Times New Roman" w:cs="Times New Roman" w:hint="eastAsia"/>
          <w:snapToGrid/>
          <w:kern w:val="2"/>
          <w:sz w:val="32"/>
          <w:szCs w:val="32"/>
          <w:lang w:val="zh-CN" w:eastAsia="zh-CN"/>
        </w:rPr>
        <w:t>判、掌握风险信号。全市收集上报药械化不良反应报告</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事件共计</w:t>
      </w:r>
      <w:r>
        <w:rPr>
          <w:rFonts w:ascii="Times New Roman" w:eastAsia="仿宋_GB2312" w:hAnsi="Times New Roman" w:cs="Times New Roman" w:hint="eastAsia"/>
          <w:snapToGrid/>
          <w:kern w:val="2"/>
          <w:sz w:val="32"/>
          <w:szCs w:val="32"/>
          <w:lang w:val="zh-CN" w:eastAsia="zh-CN"/>
        </w:rPr>
        <w:t>3711</w:t>
      </w:r>
      <w:r>
        <w:rPr>
          <w:rFonts w:ascii="Times New Roman" w:eastAsia="仿宋_GB2312" w:hAnsi="Times New Roman" w:cs="Times New Roman" w:hint="eastAsia"/>
          <w:snapToGrid/>
          <w:kern w:val="2"/>
          <w:sz w:val="32"/>
          <w:szCs w:val="32"/>
          <w:lang w:val="zh-CN" w:eastAsia="zh-CN"/>
        </w:rPr>
        <w:t>份、药物滥用调查表</w:t>
      </w:r>
      <w:r>
        <w:rPr>
          <w:rFonts w:ascii="Times New Roman" w:eastAsia="仿宋_GB2312" w:hAnsi="Times New Roman" w:cs="Times New Roman" w:hint="eastAsia"/>
          <w:snapToGrid/>
          <w:kern w:val="2"/>
          <w:sz w:val="32"/>
          <w:szCs w:val="32"/>
          <w:lang w:val="zh-CN" w:eastAsia="zh-CN"/>
        </w:rPr>
        <w:t>454</w:t>
      </w:r>
      <w:r>
        <w:rPr>
          <w:rFonts w:ascii="Times New Roman" w:eastAsia="仿宋_GB2312" w:hAnsi="Times New Roman" w:cs="Times New Roman" w:hint="eastAsia"/>
          <w:snapToGrid/>
          <w:kern w:val="2"/>
          <w:sz w:val="32"/>
          <w:szCs w:val="32"/>
          <w:lang w:val="zh-CN" w:eastAsia="zh-CN"/>
        </w:rPr>
        <w:t>份。其中，药品不良反应报告</w:t>
      </w:r>
      <w:r>
        <w:rPr>
          <w:rFonts w:ascii="Times New Roman" w:eastAsia="仿宋_GB2312" w:hAnsi="Times New Roman" w:cs="Times New Roman" w:hint="eastAsia"/>
          <w:snapToGrid/>
          <w:kern w:val="2"/>
          <w:sz w:val="32"/>
          <w:szCs w:val="32"/>
          <w:lang w:val="zh-CN" w:eastAsia="zh-CN"/>
        </w:rPr>
        <w:t>1000</w:t>
      </w:r>
      <w:r>
        <w:rPr>
          <w:rFonts w:ascii="Times New Roman" w:eastAsia="仿宋_GB2312" w:hAnsi="Times New Roman" w:cs="Times New Roman" w:hint="eastAsia"/>
          <w:snapToGrid/>
          <w:kern w:val="2"/>
          <w:sz w:val="32"/>
          <w:szCs w:val="32"/>
          <w:lang w:val="zh-CN" w:eastAsia="zh-CN"/>
        </w:rPr>
        <w:t>份（严重报告</w:t>
      </w:r>
      <w:r>
        <w:rPr>
          <w:rFonts w:ascii="Times New Roman" w:eastAsia="仿宋_GB2312" w:hAnsi="Times New Roman" w:cs="Times New Roman" w:hint="eastAsia"/>
          <w:snapToGrid/>
          <w:kern w:val="2"/>
          <w:sz w:val="32"/>
          <w:szCs w:val="32"/>
          <w:lang w:val="zh-CN" w:eastAsia="zh-CN"/>
        </w:rPr>
        <w:t>415</w:t>
      </w:r>
      <w:r>
        <w:rPr>
          <w:rFonts w:ascii="Times New Roman" w:eastAsia="仿宋_GB2312" w:hAnsi="Times New Roman" w:cs="Times New Roman" w:hint="eastAsia"/>
          <w:snapToGrid/>
          <w:kern w:val="2"/>
          <w:sz w:val="32"/>
          <w:szCs w:val="32"/>
          <w:lang w:val="zh-CN" w:eastAsia="zh-CN"/>
        </w:rPr>
        <w:t>份，每百万人口严重报告</w:t>
      </w:r>
      <w:r>
        <w:rPr>
          <w:rFonts w:ascii="Times New Roman" w:eastAsia="仿宋_GB2312" w:hAnsi="Times New Roman" w:cs="Times New Roman" w:hint="eastAsia"/>
          <w:snapToGrid/>
          <w:kern w:val="2"/>
          <w:sz w:val="32"/>
          <w:szCs w:val="32"/>
          <w:lang w:val="zh-CN" w:eastAsia="zh-CN"/>
        </w:rPr>
        <w:t>314</w:t>
      </w:r>
      <w:r>
        <w:rPr>
          <w:rFonts w:ascii="Times New Roman" w:eastAsia="仿宋_GB2312" w:hAnsi="Times New Roman" w:cs="Times New Roman" w:hint="eastAsia"/>
          <w:snapToGrid/>
          <w:kern w:val="2"/>
          <w:sz w:val="32"/>
          <w:szCs w:val="32"/>
          <w:lang w:val="zh-CN" w:eastAsia="zh-CN"/>
        </w:rPr>
        <w:t>份），严重报告比</w:t>
      </w:r>
      <w:r>
        <w:rPr>
          <w:rFonts w:ascii="Times New Roman" w:eastAsia="仿宋_GB2312" w:hAnsi="Times New Roman" w:cs="Times New Roman" w:hint="eastAsia"/>
          <w:snapToGrid/>
          <w:kern w:val="2"/>
          <w:sz w:val="32"/>
          <w:szCs w:val="32"/>
          <w:lang w:val="zh-CN" w:eastAsia="zh-CN"/>
        </w:rPr>
        <w:t>16.5%</w:t>
      </w:r>
      <w:r>
        <w:rPr>
          <w:rFonts w:ascii="Times New Roman" w:eastAsia="仿宋_GB2312" w:hAnsi="Times New Roman" w:cs="Times New Roman" w:hint="eastAsia"/>
          <w:snapToGrid/>
          <w:kern w:val="2"/>
          <w:sz w:val="32"/>
          <w:szCs w:val="32"/>
          <w:lang w:val="zh-CN" w:eastAsia="zh-CN"/>
        </w:rPr>
        <w:t>；医疗器械不良事件报告</w:t>
      </w:r>
      <w:r>
        <w:rPr>
          <w:rFonts w:ascii="Times New Roman" w:eastAsia="仿宋_GB2312" w:hAnsi="Times New Roman" w:cs="Times New Roman" w:hint="eastAsia"/>
          <w:snapToGrid/>
          <w:kern w:val="2"/>
          <w:sz w:val="32"/>
          <w:szCs w:val="32"/>
          <w:lang w:val="zh-CN" w:eastAsia="zh-CN"/>
        </w:rPr>
        <w:t>783</w:t>
      </w:r>
      <w:r>
        <w:rPr>
          <w:rFonts w:ascii="Times New Roman" w:eastAsia="仿宋_GB2312" w:hAnsi="Times New Roman" w:cs="Times New Roman" w:hint="eastAsia"/>
          <w:snapToGrid/>
          <w:kern w:val="2"/>
          <w:sz w:val="32"/>
          <w:szCs w:val="32"/>
          <w:lang w:val="zh-CN" w:eastAsia="zh-CN"/>
        </w:rPr>
        <w:t>份（严重事件</w:t>
      </w:r>
      <w:r>
        <w:rPr>
          <w:rFonts w:ascii="Times New Roman" w:eastAsia="仿宋_GB2312" w:hAnsi="Times New Roman" w:cs="Times New Roman" w:hint="eastAsia"/>
          <w:snapToGrid/>
          <w:kern w:val="2"/>
          <w:sz w:val="32"/>
          <w:szCs w:val="32"/>
          <w:lang w:val="zh-CN" w:eastAsia="zh-CN"/>
        </w:rPr>
        <w:t>93</w:t>
      </w:r>
      <w:r>
        <w:rPr>
          <w:rFonts w:ascii="Times New Roman" w:eastAsia="仿宋_GB2312" w:hAnsi="Times New Roman" w:cs="Times New Roman" w:hint="eastAsia"/>
          <w:snapToGrid/>
          <w:kern w:val="2"/>
          <w:sz w:val="32"/>
          <w:szCs w:val="32"/>
          <w:lang w:val="zh-CN" w:eastAsia="zh-CN"/>
        </w:rPr>
        <w:t>份），严重报告比</w:t>
      </w:r>
      <w:r>
        <w:rPr>
          <w:rFonts w:ascii="Times New Roman" w:eastAsia="仿宋_GB2312" w:hAnsi="Times New Roman" w:cs="Times New Roman" w:hint="eastAsia"/>
          <w:snapToGrid/>
          <w:kern w:val="2"/>
          <w:sz w:val="32"/>
          <w:szCs w:val="32"/>
          <w:lang w:val="zh-CN" w:eastAsia="zh-CN"/>
        </w:rPr>
        <w:t>11.2%</w:t>
      </w:r>
      <w:r>
        <w:rPr>
          <w:rFonts w:ascii="Times New Roman" w:eastAsia="仿宋_GB2312" w:hAnsi="Times New Roman" w:cs="Times New Roman" w:hint="eastAsia"/>
          <w:snapToGrid/>
          <w:kern w:val="2"/>
          <w:sz w:val="32"/>
          <w:szCs w:val="32"/>
          <w:lang w:val="zh-CN" w:eastAsia="zh-CN"/>
        </w:rPr>
        <w:t>；化妆品不良反应报告</w:t>
      </w:r>
      <w:r>
        <w:rPr>
          <w:rFonts w:ascii="Times New Roman" w:eastAsia="仿宋_GB2312" w:hAnsi="Times New Roman" w:cs="Times New Roman" w:hint="eastAsia"/>
          <w:snapToGrid/>
          <w:kern w:val="2"/>
          <w:sz w:val="32"/>
          <w:szCs w:val="32"/>
          <w:lang w:val="zh-CN" w:eastAsia="zh-CN"/>
        </w:rPr>
        <w:t>389</w:t>
      </w:r>
      <w:r>
        <w:rPr>
          <w:rFonts w:ascii="Times New Roman" w:eastAsia="仿宋_GB2312" w:hAnsi="Times New Roman" w:cs="Times New Roman" w:hint="eastAsia"/>
          <w:snapToGrid/>
          <w:kern w:val="2"/>
          <w:sz w:val="32"/>
          <w:szCs w:val="32"/>
          <w:lang w:val="zh-CN" w:eastAsia="zh-CN"/>
        </w:rPr>
        <w:t>份，无严重不良反应报告。</w:t>
      </w:r>
      <w:r>
        <w:rPr>
          <w:rFonts w:ascii="Times New Roman" w:eastAsia="仿宋_GB2312" w:hAnsi="Times New Roman" w:cs="Times New Roman" w:hint="eastAsia"/>
          <w:snapToGrid/>
          <w:kern w:val="2"/>
          <w:sz w:val="32"/>
          <w:szCs w:val="32"/>
          <w:lang w:val="zh-CN" w:eastAsia="zh-CN"/>
        </w:rPr>
        <w:t>3.</w:t>
      </w:r>
      <w:r>
        <w:rPr>
          <w:rFonts w:ascii="Times New Roman" w:eastAsia="仿宋_GB2312" w:hAnsi="Times New Roman" w:cs="Times New Roman" w:hint="eastAsia"/>
          <w:snapToGrid/>
          <w:kern w:val="2"/>
          <w:sz w:val="32"/>
          <w:szCs w:val="32"/>
          <w:lang w:val="zh-CN" w:eastAsia="zh-CN"/>
        </w:rPr>
        <w:t>坚持依法监测，多方联动，全面协作，不断提升风险预警能力。今年，监测发现医疗器械风险信号</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起，涉及</w:t>
      </w:r>
      <w:r>
        <w:rPr>
          <w:rFonts w:ascii="Times New Roman" w:eastAsia="仿宋_GB2312" w:hAnsi="Times New Roman" w:cs="Times New Roman" w:hint="eastAsia"/>
          <w:snapToGrid/>
          <w:kern w:val="2"/>
          <w:sz w:val="32"/>
          <w:szCs w:val="32"/>
          <w:lang w:val="zh-CN" w:eastAsia="zh-CN"/>
        </w:rPr>
        <w:t>3</w:t>
      </w:r>
      <w:r>
        <w:rPr>
          <w:rFonts w:ascii="Times New Roman" w:eastAsia="仿宋_GB2312" w:hAnsi="Times New Roman" w:cs="Times New Roman" w:hint="eastAsia"/>
          <w:snapToGrid/>
          <w:kern w:val="2"/>
          <w:sz w:val="32"/>
          <w:szCs w:val="32"/>
          <w:lang w:val="zh-CN" w:eastAsia="zh-CN"/>
        </w:rPr>
        <w:t>例不良事件，均为“一次性使用皮肤缝合器及其附件”产品问题，该风险信号已形成调查报告上报省中心。发现尿毒透析凝血预警信号</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起，涉及</w:t>
      </w:r>
      <w:r>
        <w:rPr>
          <w:rFonts w:ascii="Times New Roman" w:eastAsia="仿宋_GB2312" w:hAnsi="Times New Roman" w:cs="Times New Roman" w:hint="eastAsia"/>
          <w:snapToGrid/>
          <w:kern w:val="2"/>
          <w:sz w:val="32"/>
          <w:szCs w:val="32"/>
          <w:lang w:val="zh-CN" w:eastAsia="zh-CN"/>
        </w:rPr>
        <w:t>7</w:t>
      </w:r>
      <w:r>
        <w:rPr>
          <w:rFonts w:ascii="Times New Roman" w:eastAsia="仿宋_GB2312" w:hAnsi="Times New Roman" w:cs="Times New Roman" w:hint="eastAsia"/>
          <w:snapToGrid/>
          <w:kern w:val="2"/>
          <w:sz w:val="32"/>
          <w:szCs w:val="32"/>
          <w:lang w:val="zh-CN" w:eastAsia="zh-CN"/>
        </w:rPr>
        <w:t>例不良反应，主要临床表现为透析过程中管路出现较明显的凝血现象，目前已形成调查报告上报省中心。</w:t>
      </w:r>
      <w:r>
        <w:rPr>
          <w:rFonts w:ascii="Times New Roman" w:eastAsia="仿宋_GB2312" w:hAnsi="Times New Roman" w:cs="Times New Roman" w:hint="eastAsia"/>
          <w:snapToGrid/>
          <w:kern w:val="2"/>
          <w:sz w:val="32"/>
          <w:szCs w:val="32"/>
          <w:lang w:val="zh-CN" w:eastAsia="zh-CN"/>
        </w:rPr>
        <w:t>4.</w:t>
      </w:r>
      <w:r>
        <w:rPr>
          <w:rFonts w:ascii="Times New Roman" w:eastAsia="仿宋_GB2312" w:hAnsi="Times New Roman" w:cs="Times New Roman" w:hint="eastAsia"/>
          <w:snapToGrid/>
          <w:kern w:val="2"/>
          <w:sz w:val="32"/>
          <w:szCs w:val="32"/>
          <w:lang w:val="zh-CN" w:eastAsia="zh-CN"/>
        </w:rPr>
        <w:t>夯实根基，积极开展省级药品不良反应监测哨点审评认定工作。今年，新申报省级哨点医院</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家、重新认定</w:t>
      </w: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家，提交国家级哨点医院重新认定</w:t>
      </w:r>
      <w:r>
        <w:rPr>
          <w:rFonts w:ascii="Times New Roman" w:eastAsia="仿宋_GB2312" w:hAnsi="Times New Roman" w:cs="Times New Roman" w:hint="eastAsia"/>
          <w:snapToGrid/>
          <w:kern w:val="2"/>
          <w:sz w:val="32"/>
          <w:szCs w:val="32"/>
          <w:lang w:val="zh-CN" w:eastAsia="zh-CN"/>
        </w:rPr>
        <w:t>2</w:t>
      </w:r>
      <w:r>
        <w:rPr>
          <w:rFonts w:ascii="Times New Roman" w:eastAsia="仿宋_GB2312" w:hAnsi="Times New Roman" w:cs="Times New Roman" w:hint="eastAsia"/>
          <w:snapToGrid/>
          <w:kern w:val="2"/>
          <w:sz w:val="32"/>
          <w:szCs w:val="32"/>
          <w:lang w:val="zh-CN" w:eastAsia="zh-CN"/>
        </w:rPr>
        <w:t>家。</w:t>
      </w:r>
      <w:r w:rsidR="0061664C">
        <w:rPr>
          <w:rFonts w:ascii="Times New Roman" w:eastAsia="仿宋_GB2312" w:hAnsi="Times New Roman" w:cs="Times New Roman" w:hint="eastAsia"/>
          <w:snapToGrid/>
          <w:kern w:val="2"/>
          <w:sz w:val="32"/>
          <w:szCs w:val="32"/>
          <w:lang w:val="zh-CN" w:eastAsia="zh-CN"/>
        </w:rPr>
        <w:t>截至目前</w:t>
      </w:r>
      <w:r>
        <w:rPr>
          <w:rFonts w:ascii="Times New Roman" w:eastAsia="仿宋_GB2312" w:hAnsi="Times New Roman" w:cs="Times New Roman" w:hint="eastAsia"/>
          <w:snapToGrid/>
          <w:kern w:val="2"/>
          <w:sz w:val="32"/>
          <w:szCs w:val="32"/>
          <w:lang w:val="zh-CN" w:eastAsia="zh-CN"/>
        </w:rPr>
        <w:t>，全市已</w:t>
      </w:r>
      <w:r>
        <w:rPr>
          <w:rFonts w:ascii="Times New Roman" w:eastAsia="仿宋_GB2312" w:hAnsi="Times New Roman" w:cs="Times New Roman" w:hint="eastAsia"/>
          <w:snapToGrid/>
          <w:kern w:val="2"/>
          <w:sz w:val="32"/>
          <w:szCs w:val="32"/>
          <w:lang w:val="zh-CN" w:eastAsia="zh-CN"/>
        </w:rPr>
        <w:lastRenderedPageBreak/>
        <w:t>建成</w:t>
      </w:r>
      <w:r>
        <w:rPr>
          <w:rFonts w:ascii="Times New Roman" w:eastAsia="仿宋_GB2312" w:hAnsi="Times New Roman" w:cs="Times New Roman" w:hint="eastAsia"/>
          <w:snapToGrid/>
          <w:kern w:val="2"/>
          <w:sz w:val="32"/>
          <w:szCs w:val="32"/>
          <w:lang w:val="zh-CN" w:eastAsia="zh-CN"/>
        </w:rPr>
        <w:t>3</w:t>
      </w:r>
      <w:r>
        <w:rPr>
          <w:rFonts w:ascii="Times New Roman" w:eastAsia="仿宋_GB2312" w:hAnsi="Times New Roman" w:cs="Times New Roman" w:hint="eastAsia"/>
          <w:snapToGrid/>
          <w:kern w:val="2"/>
          <w:sz w:val="32"/>
          <w:szCs w:val="32"/>
          <w:lang w:val="zh-CN" w:eastAsia="zh-CN"/>
        </w:rPr>
        <w:t>个层级</w:t>
      </w:r>
      <w:r>
        <w:rPr>
          <w:rFonts w:ascii="Times New Roman" w:eastAsia="仿宋_GB2312" w:hAnsi="Times New Roman" w:cs="Times New Roman" w:hint="eastAsia"/>
          <w:snapToGrid/>
          <w:kern w:val="2"/>
          <w:sz w:val="32"/>
          <w:szCs w:val="32"/>
          <w:lang w:val="zh-CN" w:eastAsia="zh-CN"/>
        </w:rPr>
        <w:t>4</w:t>
      </w:r>
      <w:r>
        <w:rPr>
          <w:rFonts w:ascii="Times New Roman" w:eastAsia="仿宋_GB2312" w:hAnsi="Times New Roman" w:cs="Times New Roman" w:hint="eastAsia"/>
          <w:snapToGrid/>
          <w:kern w:val="2"/>
          <w:sz w:val="32"/>
          <w:szCs w:val="32"/>
          <w:lang w:val="zh-CN" w:eastAsia="zh-CN"/>
        </w:rPr>
        <w:t>大</w:t>
      </w:r>
      <w:proofErr w:type="gramStart"/>
      <w:r>
        <w:rPr>
          <w:rFonts w:ascii="Times New Roman" w:eastAsia="仿宋_GB2312" w:hAnsi="Times New Roman" w:cs="Times New Roman" w:hint="eastAsia"/>
          <w:snapToGrid/>
          <w:kern w:val="2"/>
          <w:sz w:val="32"/>
          <w:szCs w:val="32"/>
          <w:lang w:val="zh-CN" w:eastAsia="zh-CN"/>
        </w:rPr>
        <w:t>版块</w:t>
      </w:r>
      <w:proofErr w:type="gramEnd"/>
      <w:r>
        <w:rPr>
          <w:rFonts w:ascii="Times New Roman" w:eastAsia="仿宋_GB2312" w:hAnsi="Times New Roman" w:cs="Times New Roman" w:hint="eastAsia"/>
          <w:snapToGrid/>
          <w:kern w:val="2"/>
          <w:sz w:val="32"/>
          <w:szCs w:val="32"/>
          <w:lang w:val="zh-CN" w:eastAsia="zh-CN"/>
        </w:rPr>
        <w:t>14</w:t>
      </w:r>
      <w:r>
        <w:rPr>
          <w:rFonts w:ascii="Times New Roman" w:eastAsia="仿宋_GB2312" w:hAnsi="Times New Roman" w:cs="Times New Roman" w:hint="eastAsia"/>
          <w:snapToGrid/>
          <w:kern w:val="2"/>
          <w:sz w:val="32"/>
          <w:szCs w:val="32"/>
          <w:lang w:val="zh-CN" w:eastAsia="zh-CN"/>
        </w:rPr>
        <w:t>个监测哨点，其中国家级</w:t>
      </w:r>
      <w:r>
        <w:rPr>
          <w:rFonts w:ascii="Times New Roman" w:eastAsia="仿宋_GB2312" w:hAnsi="Times New Roman" w:cs="Times New Roman" w:hint="eastAsia"/>
          <w:snapToGrid/>
          <w:kern w:val="2"/>
          <w:sz w:val="32"/>
          <w:szCs w:val="32"/>
          <w:lang w:val="zh-CN" w:eastAsia="zh-CN"/>
        </w:rPr>
        <w:t>4</w:t>
      </w:r>
      <w:r>
        <w:rPr>
          <w:rFonts w:ascii="Times New Roman" w:eastAsia="仿宋_GB2312" w:hAnsi="Times New Roman" w:cs="Times New Roman" w:hint="eastAsia"/>
          <w:snapToGrid/>
          <w:kern w:val="2"/>
          <w:sz w:val="32"/>
          <w:szCs w:val="32"/>
          <w:lang w:val="zh-CN" w:eastAsia="zh-CN"/>
        </w:rPr>
        <w:t>个、省级</w:t>
      </w:r>
      <w:r>
        <w:rPr>
          <w:rFonts w:ascii="Times New Roman" w:eastAsia="仿宋_GB2312" w:hAnsi="Times New Roman" w:cs="Times New Roman" w:hint="eastAsia"/>
          <w:snapToGrid/>
          <w:kern w:val="2"/>
          <w:sz w:val="32"/>
          <w:szCs w:val="32"/>
          <w:lang w:val="zh-CN" w:eastAsia="zh-CN"/>
        </w:rPr>
        <w:t>9</w:t>
      </w:r>
      <w:r>
        <w:rPr>
          <w:rFonts w:ascii="Times New Roman" w:eastAsia="仿宋_GB2312" w:hAnsi="Times New Roman" w:cs="Times New Roman" w:hint="eastAsia"/>
          <w:snapToGrid/>
          <w:kern w:val="2"/>
          <w:sz w:val="32"/>
          <w:szCs w:val="32"/>
          <w:lang w:val="zh-CN" w:eastAsia="zh-CN"/>
        </w:rPr>
        <w:t>个、市级</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个。哨点医院引领作用凸显，辖区内监测哨点全部完成工作任务。</w:t>
      </w:r>
      <w:r>
        <w:rPr>
          <w:rFonts w:ascii="Times New Roman" w:eastAsia="仿宋_GB2312" w:hAnsi="Times New Roman" w:cs="Times New Roman" w:hint="eastAsia"/>
          <w:snapToGrid/>
          <w:kern w:val="2"/>
          <w:sz w:val="32"/>
          <w:szCs w:val="32"/>
          <w:lang w:val="zh-CN" w:eastAsia="zh-CN"/>
        </w:rPr>
        <w:t>5.</w:t>
      </w:r>
      <w:r>
        <w:rPr>
          <w:rFonts w:ascii="Times New Roman" w:eastAsia="仿宋_GB2312" w:hAnsi="Times New Roman" w:cs="Times New Roman" w:hint="eastAsia"/>
          <w:snapToGrid/>
          <w:kern w:val="2"/>
          <w:sz w:val="32"/>
          <w:szCs w:val="32"/>
          <w:lang w:val="zh-CN" w:eastAsia="zh-CN"/>
        </w:rPr>
        <w:t>坚持定期排查，定期</w:t>
      </w:r>
      <w:proofErr w:type="gramStart"/>
      <w:r>
        <w:rPr>
          <w:rFonts w:ascii="Times New Roman" w:eastAsia="仿宋_GB2312" w:hAnsi="Times New Roman" w:cs="Times New Roman" w:hint="eastAsia"/>
          <w:snapToGrid/>
          <w:kern w:val="2"/>
          <w:sz w:val="32"/>
          <w:szCs w:val="32"/>
          <w:lang w:val="zh-CN" w:eastAsia="zh-CN"/>
        </w:rPr>
        <w:t>研</w:t>
      </w:r>
      <w:proofErr w:type="gramEnd"/>
      <w:r>
        <w:rPr>
          <w:rFonts w:ascii="Times New Roman" w:eastAsia="仿宋_GB2312" w:hAnsi="Times New Roman" w:cs="Times New Roman" w:hint="eastAsia"/>
          <w:snapToGrid/>
          <w:kern w:val="2"/>
          <w:sz w:val="32"/>
          <w:szCs w:val="32"/>
          <w:lang w:val="zh-CN" w:eastAsia="zh-CN"/>
        </w:rPr>
        <w:t>判，定期评估，</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年开展药械</w:t>
      </w:r>
      <w:proofErr w:type="gramStart"/>
      <w:r>
        <w:rPr>
          <w:rFonts w:ascii="Times New Roman" w:eastAsia="仿宋_GB2312" w:hAnsi="Times New Roman" w:cs="Times New Roman" w:hint="eastAsia"/>
          <w:snapToGrid/>
          <w:kern w:val="2"/>
          <w:sz w:val="32"/>
          <w:szCs w:val="32"/>
          <w:lang w:val="zh-CN" w:eastAsia="zh-CN"/>
        </w:rPr>
        <w:t>化质量</w:t>
      </w:r>
      <w:proofErr w:type="gramEnd"/>
      <w:r>
        <w:rPr>
          <w:rFonts w:ascii="Times New Roman" w:eastAsia="仿宋_GB2312" w:hAnsi="Times New Roman" w:cs="Times New Roman" w:hint="eastAsia"/>
          <w:snapToGrid/>
          <w:kern w:val="2"/>
          <w:sz w:val="32"/>
          <w:szCs w:val="32"/>
          <w:lang w:val="zh-CN" w:eastAsia="zh-CN"/>
        </w:rPr>
        <w:t>安全风险</w:t>
      </w:r>
      <w:proofErr w:type="gramStart"/>
      <w:r>
        <w:rPr>
          <w:rFonts w:ascii="Times New Roman" w:eastAsia="仿宋_GB2312" w:hAnsi="Times New Roman" w:cs="Times New Roman" w:hint="eastAsia"/>
          <w:snapToGrid/>
          <w:kern w:val="2"/>
          <w:sz w:val="32"/>
          <w:szCs w:val="32"/>
          <w:lang w:val="zh-CN" w:eastAsia="zh-CN"/>
        </w:rPr>
        <w:t>研</w:t>
      </w:r>
      <w:proofErr w:type="gramEnd"/>
      <w:r>
        <w:rPr>
          <w:rFonts w:ascii="Times New Roman" w:eastAsia="仿宋_GB2312" w:hAnsi="Times New Roman" w:cs="Times New Roman" w:hint="eastAsia"/>
          <w:snapToGrid/>
          <w:kern w:val="2"/>
          <w:sz w:val="32"/>
          <w:szCs w:val="32"/>
          <w:lang w:val="zh-CN" w:eastAsia="zh-CN"/>
        </w:rPr>
        <w:t>判评估</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次，收集梳理药械</w:t>
      </w:r>
      <w:proofErr w:type="gramStart"/>
      <w:r>
        <w:rPr>
          <w:rFonts w:ascii="Times New Roman" w:eastAsia="仿宋_GB2312" w:hAnsi="Times New Roman" w:cs="Times New Roman" w:hint="eastAsia"/>
          <w:snapToGrid/>
          <w:kern w:val="2"/>
          <w:sz w:val="32"/>
          <w:szCs w:val="32"/>
          <w:lang w:val="zh-CN" w:eastAsia="zh-CN"/>
        </w:rPr>
        <w:t>化质量</w:t>
      </w:r>
      <w:proofErr w:type="gramEnd"/>
      <w:r>
        <w:rPr>
          <w:rFonts w:ascii="Times New Roman" w:eastAsia="仿宋_GB2312" w:hAnsi="Times New Roman" w:cs="Times New Roman" w:hint="eastAsia"/>
          <w:snapToGrid/>
          <w:kern w:val="2"/>
          <w:sz w:val="32"/>
          <w:szCs w:val="32"/>
          <w:lang w:val="zh-CN" w:eastAsia="zh-CN"/>
        </w:rPr>
        <w:t>安全风险信息</w:t>
      </w:r>
      <w:r>
        <w:rPr>
          <w:rFonts w:ascii="Times New Roman" w:eastAsia="仿宋_GB2312" w:hAnsi="Times New Roman" w:cs="Times New Roman" w:hint="eastAsia"/>
          <w:snapToGrid/>
          <w:kern w:val="2"/>
          <w:sz w:val="32"/>
          <w:szCs w:val="32"/>
          <w:lang w:val="zh-CN" w:eastAsia="zh-CN"/>
        </w:rPr>
        <w:t>90</w:t>
      </w:r>
      <w:r>
        <w:rPr>
          <w:rFonts w:ascii="Times New Roman" w:eastAsia="仿宋_GB2312" w:hAnsi="Times New Roman" w:cs="Times New Roman" w:hint="eastAsia"/>
          <w:snapToGrid/>
          <w:kern w:val="2"/>
          <w:sz w:val="32"/>
          <w:szCs w:val="32"/>
          <w:lang w:val="zh-CN" w:eastAsia="zh-CN"/>
        </w:rPr>
        <w:t>余条，分析评估监管工作可能出现的风险点</w:t>
      </w:r>
      <w:r>
        <w:rPr>
          <w:rFonts w:ascii="Times New Roman" w:eastAsia="仿宋_GB2312" w:hAnsi="Times New Roman" w:cs="Times New Roman" w:hint="eastAsia"/>
          <w:snapToGrid/>
          <w:kern w:val="2"/>
          <w:sz w:val="32"/>
          <w:szCs w:val="32"/>
          <w:lang w:val="zh-CN" w:eastAsia="zh-CN"/>
        </w:rPr>
        <w:t>18</w:t>
      </w:r>
      <w:r>
        <w:rPr>
          <w:rFonts w:ascii="Times New Roman" w:eastAsia="仿宋_GB2312" w:hAnsi="Times New Roman" w:cs="Times New Roman" w:hint="eastAsia"/>
          <w:snapToGrid/>
          <w:kern w:val="2"/>
          <w:sz w:val="32"/>
          <w:szCs w:val="32"/>
          <w:lang w:val="zh-CN" w:eastAsia="zh-CN"/>
        </w:rPr>
        <w:t>个，编写形成《药品医疗器械化妆品安全监管风险研判评估报告》</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份。联合重庆大渡口局开展药械</w:t>
      </w:r>
      <w:proofErr w:type="gramStart"/>
      <w:r>
        <w:rPr>
          <w:rFonts w:ascii="Times New Roman" w:eastAsia="仿宋_GB2312" w:hAnsi="Times New Roman" w:cs="Times New Roman" w:hint="eastAsia"/>
          <w:snapToGrid/>
          <w:kern w:val="2"/>
          <w:sz w:val="32"/>
          <w:szCs w:val="32"/>
          <w:lang w:val="zh-CN" w:eastAsia="zh-CN"/>
        </w:rPr>
        <w:t>化安全</w:t>
      </w:r>
      <w:proofErr w:type="gramEnd"/>
      <w:r>
        <w:rPr>
          <w:rFonts w:ascii="Times New Roman" w:eastAsia="仿宋_GB2312" w:hAnsi="Times New Roman" w:cs="Times New Roman" w:hint="eastAsia"/>
          <w:snapToGrid/>
          <w:kern w:val="2"/>
          <w:sz w:val="32"/>
          <w:szCs w:val="32"/>
          <w:lang w:val="zh-CN" w:eastAsia="zh-CN"/>
        </w:rPr>
        <w:t>风险会商，对两地风险信息进行分析</w:t>
      </w:r>
      <w:proofErr w:type="gramStart"/>
      <w:r>
        <w:rPr>
          <w:rFonts w:ascii="Times New Roman" w:eastAsia="仿宋_GB2312" w:hAnsi="Times New Roman" w:cs="Times New Roman" w:hint="eastAsia"/>
          <w:snapToGrid/>
          <w:kern w:val="2"/>
          <w:sz w:val="32"/>
          <w:szCs w:val="32"/>
          <w:lang w:val="zh-CN" w:eastAsia="zh-CN"/>
        </w:rPr>
        <w:t>研</w:t>
      </w:r>
      <w:proofErr w:type="gramEnd"/>
      <w:r>
        <w:rPr>
          <w:rFonts w:ascii="Times New Roman" w:eastAsia="仿宋_GB2312" w:hAnsi="Times New Roman" w:cs="Times New Roman" w:hint="eastAsia"/>
          <w:snapToGrid/>
          <w:kern w:val="2"/>
          <w:sz w:val="32"/>
          <w:szCs w:val="32"/>
          <w:lang w:val="zh-CN" w:eastAsia="zh-CN"/>
        </w:rPr>
        <w:t>判，提出对策措施，形成《攀枝花</w:t>
      </w:r>
      <w:r>
        <w:rPr>
          <w:rFonts w:ascii="Times New Roman" w:eastAsia="仿宋_GB2312" w:hAnsi="Times New Roman" w:cs="Times New Roman" w:hint="eastAsia"/>
          <w:snapToGrid/>
          <w:kern w:val="2"/>
          <w:sz w:val="32"/>
          <w:szCs w:val="32"/>
          <w:lang w:val="zh-CN" w:eastAsia="zh-CN"/>
        </w:rPr>
        <w:t>-</w:t>
      </w:r>
      <w:r>
        <w:rPr>
          <w:rFonts w:ascii="Times New Roman" w:eastAsia="仿宋_GB2312" w:hAnsi="Times New Roman" w:cs="Times New Roman" w:hint="eastAsia"/>
          <w:snapToGrid/>
          <w:kern w:val="2"/>
          <w:sz w:val="32"/>
          <w:szCs w:val="32"/>
          <w:lang w:val="zh-CN" w:eastAsia="zh-CN"/>
        </w:rPr>
        <w:t>大渡口区域药械化安全风险分析报告（</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年度）》。</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队伍能力提升情况。</w:t>
      </w: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年，组织药械化监管能力提升培训</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次，参加人数</w:t>
      </w:r>
      <w:r>
        <w:rPr>
          <w:rFonts w:ascii="Times New Roman" w:eastAsia="仿宋_GB2312" w:hAnsi="Times New Roman" w:cs="Times New Roman" w:hint="eastAsia"/>
          <w:snapToGrid/>
          <w:kern w:val="2"/>
          <w:sz w:val="32"/>
          <w:szCs w:val="32"/>
          <w:lang w:val="zh-CN" w:eastAsia="zh-CN"/>
        </w:rPr>
        <w:t>50</w:t>
      </w:r>
      <w:r>
        <w:rPr>
          <w:rFonts w:ascii="Times New Roman" w:eastAsia="仿宋_GB2312" w:hAnsi="Times New Roman" w:cs="Times New Roman" w:hint="eastAsia"/>
          <w:snapToGrid/>
          <w:kern w:val="2"/>
          <w:sz w:val="32"/>
          <w:szCs w:val="32"/>
          <w:lang w:val="zh-CN" w:eastAsia="zh-CN"/>
        </w:rPr>
        <w:t>人；组织医疗器械网络销售质量安全管理规范培训</w:t>
      </w:r>
      <w:r>
        <w:rPr>
          <w:rFonts w:ascii="Times New Roman" w:eastAsia="仿宋_GB2312" w:hAnsi="Times New Roman" w:cs="Times New Roman" w:hint="eastAsia"/>
          <w:snapToGrid/>
          <w:kern w:val="2"/>
          <w:sz w:val="32"/>
          <w:szCs w:val="32"/>
          <w:lang w:val="zh-CN" w:eastAsia="zh-CN"/>
        </w:rPr>
        <w:t>1</w:t>
      </w:r>
      <w:r>
        <w:rPr>
          <w:rFonts w:ascii="Times New Roman" w:eastAsia="仿宋_GB2312" w:hAnsi="Times New Roman" w:cs="Times New Roman" w:hint="eastAsia"/>
          <w:snapToGrid/>
          <w:kern w:val="2"/>
          <w:sz w:val="32"/>
          <w:szCs w:val="32"/>
          <w:lang w:val="zh-CN" w:eastAsia="zh-CN"/>
        </w:rPr>
        <w:t>次，参加</w:t>
      </w:r>
      <w:r>
        <w:rPr>
          <w:rFonts w:ascii="Times New Roman" w:eastAsia="仿宋_GB2312" w:hAnsi="Times New Roman" w:cs="Times New Roman" w:hint="eastAsia"/>
          <w:snapToGrid/>
          <w:kern w:val="2"/>
          <w:sz w:val="32"/>
          <w:szCs w:val="32"/>
          <w:lang w:val="zh-CN" w:eastAsia="zh-CN"/>
        </w:rPr>
        <w:t>60</w:t>
      </w:r>
      <w:r>
        <w:rPr>
          <w:rFonts w:ascii="Times New Roman" w:eastAsia="仿宋_GB2312" w:hAnsi="Times New Roman" w:cs="Times New Roman" w:hint="eastAsia"/>
          <w:snapToGrid/>
          <w:kern w:val="2"/>
          <w:sz w:val="32"/>
          <w:szCs w:val="32"/>
          <w:lang w:val="zh-CN" w:eastAsia="zh-CN"/>
        </w:rPr>
        <w:t>人。</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科普宣传情况。加强安全用药</w:t>
      </w:r>
      <w:proofErr w:type="gramStart"/>
      <w:r>
        <w:rPr>
          <w:rFonts w:ascii="Times New Roman" w:eastAsia="仿宋_GB2312" w:hAnsi="Times New Roman" w:cs="Times New Roman" w:hint="eastAsia"/>
          <w:snapToGrid/>
          <w:kern w:val="2"/>
          <w:sz w:val="32"/>
          <w:szCs w:val="32"/>
          <w:lang w:val="zh-CN" w:eastAsia="zh-CN"/>
        </w:rPr>
        <w:t>用械用妆</w:t>
      </w:r>
      <w:proofErr w:type="gramEnd"/>
      <w:r>
        <w:rPr>
          <w:rFonts w:ascii="Times New Roman" w:eastAsia="仿宋_GB2312" w:hAnsi="Times New Roman" w:cs="Times New Roman" w:hint="eastAsia"/>
          <w:snapToGrid/>
          <w:kern w:val="2"/>
          <w:sz w:val="32"/>
          <w:szCs w:val="32"/>
          <w:lang w:val="zh-CN" w:eastAsia="zh-CN"/>
        </w:rPr>
        <w:t>科普知识宣传，提高公众认知和从业人员专业水平。</w:t>
      </w:r>
      <w:r>
        <w:rPr>
          <w:rFonts w:ascii="Times New Roman" w:eastAsia="仿宋_GB2312" w:hAnsi="Times New Roman" w:cs="Times New Roman" w:hint="eastAsia"/>
          <w:snapToGrid/>
          <w:kern w:val="2"/>
          <w:sz w:val="32"/>
          <w:szCs w:val="32"/>
          <w:lang w:val="zh-CN" w:eastAsia="zh-CN"/>
        </w:rPr>
        <w:t>5</w:t>
      </w:r>
      <w:r>
        <w:rPr>
          <w:rFonts w:ascii="Times New Roman" w:eastAsia="仿宋_GB2312" w:hAnsi="Times New Roman" w:cs="Times New Roman" w:hint="eastAsia"/>
          <w:snapToGrid/>
          <w:kern w:val="2"/>
          <w:sz w:val="32"/>
          <w:szCs w:val="32"/>
          <w:lang w:val="zh-CN" w:eastAsia="zh-CN"/>
        </w:rPr>
        <w:t>月</w:t>
      </w:r>
      <w:r>
        <w:rPr>
          <w:rFonts w:ascii="Times New Roman" w:eastAsia="仿宋_GB2312" w:hAnsi="Times New Roman" w:cs="Times New Roman" w:hint="eastAsia"/>
          <w:snapToGrid/>
          <w:kern w:val="2"/>
          <w:sz w:val="32"/>
          <w:szCs w:val="32"/>
          <w:lang w:val="zh-CN" w:eastAsia="zh-CN"/>
        </w:rPr>
        <w:t>25</w:t>
      </w:r>
      <w:r>
        <w:rPr>
          <w:rFonts w:ascii="Times New Roman" w:eastAsia="仿宋_GB2312" w:hAnsi="Times New Roman" w:cs="Times New Roman" w:hint="eastAsia"/>
          <w:snapToGrid/>
          <w:kern w:val="2"/>
          <w:sz w:val="32"/>
          <w:szCs w:val="32"/>
          <w:lang w:val="zh-CN" w:eastAsia="zh-CN"/>
        </w:rPr>
        <w:t>日，开展“</w:t>
      </w:r>
      <w:r>
        <w:rPr>
          <w:rFonts w:ascii="Times New Roman" w:eastAsia="仿宋_GB2312" w:hAnsi="Times New Roman" w:cs="Times New Roman" w:hint="eastAsia"/>
          <w:snapToGrid/>
          <w:kern w:val="2"/>
          <w:sz w:val="32"/>
          <w:szCs w:val="32"/>
          <w:lang w:val="zh-CN" w:eastAsia="zh-CN"/>
        </w:rPr>
        <w:t>5.25</w:t>
      </w:r>
      <w:r>
        <w:rPr>
          <w:rFonts w:ascii="Times New Roman" w:eastAsia="仿宋_GB2312" w:hAnsi="Times New Roman" w:cs="Times New Roman" w:hint="eastAsia"/>
          <w:snapToGrid/>
          <w:kern w:val="2"/>
          <w:sz w:val="32"/>
          <w:szCs w:val="32"/>
          <w:lang w:val="zh-CN" w:eastAsia="zh-CN"/>
        </w:rPr>
        <w:t>爱肤日”科普宣传活动；</w:t>
      </w:r>
      <w:r>
        <w:rPr>
          <w:rFonts w:ascii="Times New Roman" w:eastAsia="仿宋_GB2312" w:hAnsi="Times New Roman" w:cs="Times New Roman" w:hint="eastAsia"/>
          <w:snapToGrid/>
          <w:kern w:val="2"/>
          <w:sz w:val="32"/>
          <w:szCs w:val="32"/>
          <w:lang w:val="zh-CN" w:eastAsia="zh-CN"/>
        </w:rPr>
        <w:t>6</w:t>
      </w:r>
      <w:r>
        <w:rPr>
          <w:rFonts w:ascii="Times New Roman" w:eastAsia="仿宋_GB2312" w:hAnsi="Times New Roman" w:cs="Times New Roman" w:hint="eastAsia"/>
          <w:snapToGrid/>
          <w:kern w:val="2"/>
          <w:sz w:val="32"/>
          <w:szCs w:val="32"/>
          <w:lang w:val="zh-CN" w:eastAsia="zh-CN"/>
        </w:rPr>
        <w:t>月</w:t>
      </w:r>
      <w:r>
        <w:rPr>
          <w:rFonts w:ascii="Times New Roman" w:eastAsia="仿宋_GB2312" w:hAnsi="Times New Roman" w:cs="Times New Roman" w:hint="eastAsia"/>
          <w:snapToGrid/>
          <w:kern w:val="2"/>
          <w:sz w:val="32"/>
          <w:szCs w:val="32"/>
          <w:lang w:val="zh-CN" w:eastAsia="zh-CN"/>
        </w:rPr>
        <w:t>26</w:t>
      </w:r>
      <w:r>
        <w:rPr>
          <w:rFonts w:ascii="Times New Roman" w:eastAsia="仿宋_GB2312" w:hAnsi="Times New Roman" w:cs="Times New Roman" w:hint="eastAsia"/>
          <w:snapToGrid/>
          <w:kern w:val="2"/>
          <w:sz w:val="32"/>
          <w:szCs w:val="32"/>
          <w:lang w:val="zh-CN" w:eastAsia="zh-CN"/>
        </w:rPr>
        <w:t>日，参加全市“国际禁毒日”宣传活动；</w:t>
      </w:r>
      <w:r>
        <w:rPr>
          <w:rFonts w:ascii="Times New Roman" w:eastAsia="仿宋_GB2312" w:hAnsi="Times New Roman" w:cs="Times New Roman" w:hint="eastAsia"/>
          <w:snapToGrid/>
          <w:kern w:val="2"/>
          <w:sz w:val="32"/>
          <w:szCs w:val="32"/>
          <w:lang w:val="zh-CN" w:eastAsia="zh-CN"/>
        </w:rPr>
        <w:t>7</w:t>
      </w:r>
      <w:r>
        <w:rPr>
          <w:rFonts w:ascii="Times New Roman" w:eastAsia="仿宋_GB2312" w:hAnsi="Times New Roman" w:cs="Times New Roman" w:hint="eastAsia"/>
          <w:snapToGrid/>
          <w:kern w:val="2"/>
          <w:sz w:val="32"/>
          <w:szCs w:val="32"/>
          <w:lang w:val="zh-CN" w:eastAsia="zh-CN"/>
        </w:rPr>
        <w:t>月初，拍摄制作《安全用药科普小卫士》科普作品获省中心推荐参加国家中心征集活动；</w:t>
      </w:r>
      <w:r>
        <w:rPr>
          <w:rFonts w:ascii="Times New Roman" w:eastAsia="仿宋_GB2312" w:hAnsi="Times New Roman" w:cs="Times New Roman" w:hint="eastAsia"/>
          <w:snapToGrid/>
          <w:kern w:val="2"/>
          <w:sz w:val="32"/>
          <w:szCs w:val="32"/>
          <w:lang w:val="zh-CN" w:eastAsia="zh-CN"/>
        </w:rPr>
        <w:t>8</w:t>
      </w:r>
      <w:r>
        <w:rPr>
          <w:rFonts w:ascii="Times New Roman" w:eastAsia="仿宋_GB2312" w:hAnsi="Times New Roman" w:cs="Times New Roman" w:hint="eastAsia"/>
          <w:snapToGrid/>
          <w:kern w:val="2"/>
          <w:sz w:val="32"/>
          <w:szCs w:val="32"/>
          <w:lang w:val="zh-CN" w:eastAsia="zh-CN"/>
        </w:rPr>
        <w:t>月</w:t>
      </w:r>
      <w:r>
        <w:rPr>
          <w:rFonts w:ascii="Times New Roman" w:eastAsia="仿宋_GB2312" w:hAnsi="Times New Roman" w:cs="Times New Roman" w:hint="eastAsia"/>
          <w:snapToGrid/>
          <w:kern w:val="2"/>
          <w:sz w:val="32"/>
          <w:szCs w:val="32"/>
          <w:lang w:val="zh-CN" w:eastAsia="zh-CN"/>
        </w:rPr>
        <w:t>28</w:t>
      </w:r>
      <w:r>
        <w:rPr>
          <w:rFonts w:ascii="Times New Roman" w:eastAsia="仿宋_GB2312" w:hAnsi="Times New Roman" w:cs="Times New Roman" w:hint="eastAsia"/>
          <w:snapToGrid/>
          <w:kern w:val="2"/>
          <w:sz w:val="32"/>
          <w:szCs w:val="32"/>
          <w:lang w:val="zh-CN" w:eastAsia="zh-CN"/>
        </w:rPr>
        <w:t>日，举办“大手牵小手，科普零距离”药品检验检测室开放日活动；</w:t>
      </w:r>
      <w:r>
        <w:rPr>
          <w:rFonts w:ascii="Times New Roman" w:eastAsia="仿宋_GB2312" w:hAnsi="Times New Roman" w:cs="Times New Roman" w:hint="eastAsia"/>
          <w:snapToGrid/>
          <w:kern w:val="2"/>
          <w:sz w:val="32"/>
          <w:szCs w:val="32"/>
          <w:lang w:val="zh-CN" w:eastAsia="zh-CN"/>
        </w:rPr>
        <w:t>9</w:t>
      </w:r>
      <w:r>
        <w:rPr>
          <w:rFonts w:ascii="Times New Roman" w:eastAsia="仿宋_GB2312" w:hAnsi="Times New Roman" w:cs="Times New Roman" w:hint="eastAsia"/>
          <w:snapToGrid/>
          <w:kern w:val="2"/>
          <w:sz w:val="32"/>
          <w:szCs w:val="32"/>
          <w:lang w:val="zh-CN" w:eastAsia="zh-CN"/>
        </w:rPr>
        <w:t>月初，参加“携手共建药品安全防线”主题宣传周活动。</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通过省级药品监管专项项目的实施，各点</w:t>
      </w:r>
      <w:proofErr w:type="gramStart"/>
      <w:r>
        <w:rPr>
          <w:rFonts w:ascii="Times New Roman" w:eastAsia="仿宋_GB2312" w:hAnsi="Times New Roman" w:cs="Times New Roman" w:hint="eastAsia"/>
          <w:snapToGrid/>
          <w:kern w:val="2"/>
          <w:sz w:val="32"/>
          <w:szCs w:val="32"/>
          <w:lang w:val="zh-CN" w:eastAsia="zh-CN"/>
        </w:rPr>
        <w:t>位所在</w:t>
      </w:r>
      <w:proofErr w:type="gramEnd"/>
      <w:r>
        <w:rPr>
          <w:rFonts w:ascii="Times New Roman" w:eastAsia="仿宋_GB2312" w:hAnsi="Times New Roman" w:cs="Times New Roman" w:hint="eastAsia"/>
          <w:snapToGrid/>
          <w:kern w:val="2"/>
          <w:sz w:val="32"/>
          <w:szCs w:val="32"/>
          <w:lang w:val="zh-CN" w:eastAsia="zh-CN"/>
        </w:rPr>
        <w:t>辖区均未发生重大及以上药品安全事故，各点</w:t>
      </w:r>
      <w:proofErr w:type="gramStart"/>
      <w:r>
        <w:rPr>
          <w:rFonts w:ascii="Times New Roman" w:eastAsia="仿宋_GB2312" w:hAnsi="Times New Roman" w:cs="Times New Roman" w:hint="eastAsia"/>
          <w:snapToGrid/>
          <w:kern w:val="2"/>
          <w:sz w:val="32"/>
          <w:szCs w:val="32"/>
          <w:lang w:val="zh-CN" w:eastAsia="zh-CN"/>
        </w:rPr>
        <w:t>位所在辖区涉刑</w:t>
      </w:r>
      <w:proofErr w:type="gramEnd"/>
      <w:r>
        <w:rPr>
          <w:rFonts w:ascii="Times New Roman" w:eastAsia="仿宋_GB2312" w:hAnsi="Times New Roman" w:cs="Times New Roman" w:hint="eastAsia"/>
          <w:snapToGrid/>
          <w:kern w:val="2"/>
          <w:sz w:val="32"/>
          <w:szCs w:val="32"/>
          <w:lang w:val="zh-CN" w:eastAsia="zh-CN"/>
        </w:rPr>
        <w:t>案件均</w:t>
      </w:r>
      <w:r>
        <w:rPr>
          <w:rFonts w:ascii="Times New Roman" w:eastAsia="仿宋_GB2312" w:hAnsi="Times New Roman" w:cs="Times New Roman" w:hint="eastAsia"/>
          <w:snapToGrid/>
          <w:kern w:val="2"/>
          <w:sz w:val="32"/>
          <w:szCs w:val="32"/>
          <w:lang w:val="zh-CN" w:eastAsia="zh-CN"/>
        </w:rPr>
        <w:lastRenderedPageBreak/>
        <w:t>“零容忍”全部移送公安机关。</w:t>
      </w:r>
    </w:p>
    <w:p w:rsidR="004B0FC1" w:rsidRDefault="00A976D9">
      <w:pPr>
        <w:widowControl w:val="0"/>
        <w:kinsoku/>
        <w:autoSpaceDE/>
        <w:autoSpaceDN/>
        <w:spacing w:line="578" w:lineRule="exact"/>
        <w:ind w:firstLineChars="200" w:firstLine="632"/>
        <w:jc w:val="both"/>
        <w:textAlignment w:val="auto"/>
        <w:rPr>
          <w:rFonts w:ascii="Times New Roman" w:eastAsia="黑体" w:hAnsi="Times New Roman" w:cs="Times New Roman"/>
          <w:snapToGrid/>
          <w:color w:val="auto"/>
          <w:kern w:val="2"/>
          <w:sz w:val="32"/>
          <w:szCs w:val="32"/>
          <w:lang w:eastAsia="zh-CN"/>
        </w:rPr>
      </w:pPr>
      <w:r>
        <w:rPr>
          <w:rFonts w:ascii="Times New Roman" w:eastAsia="黑体" w:hAnsi="Times New Roman" w:cs="Times New Roman" w:hint="eastAsia"/>
          <w:snapToGrid/>
          <w:color w:val="auto"/>
          <w:kern w:val="2"/>
          <w:sz w:val="32"/>
          <w:szCs w:val="32"/>
          <w:lang w:eastAsia="zh-CN"/>
        </w:rPr>
        <w:t>四、评价结论</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专项项目设置较为规范，绩效目标明确，制度较为健全，资金使用合法合</w:t>
      </w:r>
      <w:proofErr w:type="gramStart"/>
      <w:r>
        <w:rPr>
          <w:rFonts w:ascii="Times New Roman" w:eastAsia="仿宋_GB2312" w:hAnsi="Times New Roman" w:cs="Times New Roman" w:hint="eastAsia"/>
          <w:snapToGrid/>
          <w:kern w:val="2"/>
          <w:sz w:val="32"/>
          <w:szCs w:val="32"/>
          <w:lang w:val="zh-CN" w:eastAsia="zh-CN"/>
        </w:rPr>
        <w:t>规</w:t>
      </w:r>
      <w:proofErr w:type="gramEnd"/>
      <w:r>
        <w:rPr>
          <w:rFonts w:ascii="Times New Roman" w:eastAsia="仿宋_GB2312" w:hAnsi="Times New Roman" w:cs="Times New Roman" w:hint="eastAsia"/>
          <w:snapToGrid/>
          <w:kern w:val="2"/>
          <w:sz w:val="32"/>
          <w:szCs w:val="32"/>
          <w:lang w:val="zh-CN" w:eastAsia="zh-CN"/>
        </w:rPr>
        <w:t>。从项目决策、项目管理、项目完成和项目效果来看，都较好地达到了预期的效果。通过项目实施，加强了药品安全监管，防控药品安全风险隐患，严厉打击违规违法行为，保障了人民群众身体健康。省级药品监管专项资金绩效评价综合得分为</w:t>
      </w:r>
      <w:r>
        <w:rPr>
          <w:rFonts w:ascii="Times New Roman" w:eastAsia="仿宋_GB2312" w:hAnsi="Times New Roman" w:cs="Times New Roman" w:hint="eastAsia"/>
          <w:snapToGrid/>
          <w:kern w:val="2"/>
          <w:sz w:val="32"/>
          <w:szCs w:val="32"/>
          <w:lang w:val="zh-CN" w:eastAsia="zh-CN"/>
        </w:rPr>
        <w:t>99.2</w:t>
      </w:r>
      <w:r>
        <w:rPr>
          <w:rFonts w:ascii="Times New Roman" w:eastAsia="仿宋_GB2312" w:hAnsi="Times New Roman" w:cs="Times New Roman" w:hint="eastAsia"/>
          <w:snapToGrid/>
          <w:kern w:val="2"/>
          <w:sz w:val="32"/>
          <w:szCs w:val="32"/>
          <w:lang w:val="zh-CN" w:eastAsia="zh-CN"/>
        </w:rPr>
        <w:t>分。项目整体实施情况较好，但在资金执行方面存在问题。</w:t>
      </w:r>
    </w:p>
    <w:p w:rsidR="004B0FC1" w:rsidRDefault="00A976D9">
      <w:pPr>
        <w:widowControl w:val="0"/>
        <w:kinsoku/>
        <w:autoSpaceDE/>
        <w:autoSpaceDN/>
        <w:spacing w:line="578" w:lineRule="exact"/>
        <w:ind w:firstLineChars="200" w:firstLine="632"/>
        <w:jc w:val="both"/>
        <w:textAlignment w:val="auto"/>
        <w:rPr>
          <w:rFonts w:ascii="Times New Roman" w:eastAsia="黑体" w:hAnsi="Times New Roman" w:cs="Times New Roman"/>
          <w:snapToGrid/>
          <w:color w:val="auto"/>
          <w:kern w:val="2"/>
          <w:sz w:val="32"/>
          <w:szCs w:val="32"/>
          <w:lang w:eastAsia="zh-CN"/>
        </w:rPr>
      </w:pPr>
      <w:r>
        <w:rPr>
          <w:rFonts w:ascii="Times New Roman" w:eastAsia="黑体" w:hAnsi="Times New Roman" w:cs="Times New Roman" w:hint="eastAsia"/>
          <w:snapToGrid/>
          <w:color w:val="auto"/>
          <w:kern w:val="2"/>
          <w:sz w:val="32"/>
          <w:szCs w:val="32"/>
          <w:lang w:eastAsia="zh-CN"/>
        </w:rPr>
        <w:t>五、存在主要问题</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一是预算执行率较低。全年未达到绩效目标考核下达的资金执行进度要求。二是财政资金绩效评价及其结果应用难。财政绩效评价工作专业性很强，单凭部门自身难以设计符合实际、行之有效的指标体系，仅凭单位财务人员牵头难以深入开展此项工作，绩效工作质量不高结果难以应用。</w:t>
      </w:r>
    </w:p>
    <w:p w:rsidR="004B0FC1" w:rsidRDefault="00A976D9">
      <w:pPr>
        <w:widowControl w:val="0"/>
        <w:kinsoku/>
        <w:autoSpaceDE/>
        <w:autoSpaceDN/>
        <w:spacing w:line="578" w:lineRule="exact"/>
        <w:ind w:firstLineChars="200" w:firstLine="632"/>
        <w:jc w:val="both"/>
        <w:textAlignment w:val="auto"/>
        <w:rPr>
          <w:rFonts w:ascii="Times New Roman" w:eastAsia="黑体" w:hAnsi="Times New Roman" w:cs="Times New Roman"/>
          <w:snapToGrid/>
          <w:color w:val="auto"/>
          <w:kern w:val="2"/>
          <w:sz w:val="32"/>
          <w:szCs w:val="32"/>
          <w:lang w:val="zh-CN" w:eastAsia="zh-CN"/>
        </w:rPr>
      </w:pPr>
      <w:r>
        <w:rPr>
          <w:rFonts w:ascii="Times New Roman" w:eastAsia="黑体" w:hAnsi="Times New Roman" w:cs="Times New Roman" w:hint="eastAsia"/>
          <w:snapToGrid/>
          <w:color w:val="auto"/>
          <w:kern w:val="2"/>
          <w:sz w:val="32"/>
          <w:szCs w:val="32"/>
          <w:lang w:val="zh-CN" w:eastAsia="zh-CN"/>
        </w:rPr>
        <w:t>六、改进建议</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一是加强业务培训与指导，加强绩效自评报告的规范性，确保各单位重视绩效自评工作，按照要求落实和规范绩效自评报告内容。</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二是加强对资金管理和使用规范的动态监管。对资金使用不规范、不合理且情节较为严重的进行通报批评并及时督促整</w:t>
      </w:r>
      <w:r>
        <w:rPr>
          <w:rFonts w:ascii="Times New Roman" w:eastAsia="仿宋_GB2312" w:hAnsi="Times New Roman" w:cs="Times New Roman" w:hint="eastAsia"/>
          <w:snapToGrid/>
          <w:kern w:val="2"/>
          <w:sz w:val="32"/>
          <w:szCs w:val="32"/>
          <w:lang w:val="zh-CN" w:eastAsia="zh-CN"/>
        </w:rPr>
        <w:lastRenderedPageBreak/>
        <w:t>改。</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三是加强预算执行管理和监控。市级主管部门应当强化专项资金的预算执行进度，对专项资金预算执行率偏低做好绩效监控，督促项目实施单位加快预算执行进度。</w:t>
      </w:r>
    </w:p>
    <w:p w:rsidR="004B0FC1" w:rsidRDefault="00A976D9">
      <w:pPr>
        <w:widowControl w:val="0"/>
        <w:kinsoku/>
        <w:autoSpaceDE/>
        <w:autoSpaceDN/>
        <w:adjustRightInd/>
        <w:snapToGrid/>
        <w:spacing w:line="600" w:lineRule="exact"/>
        <w:ind w:firstLineChars="200" w:firstLine="632"/>
        <w:jc w:val="both"/>
        <w:textAlignment w:val="auto"/>
        <w:rPr>
          <w:rFonts w:ascii="Times New Roman" w:eastAsia="仿宋_GB2312" w:hAnsi="Times New Roman" w:cs="Times New Roman"/>
          <w:snapToGrid/>
          <w:kern w:val="2"/>
          <w:sz w:val="32"/>
          <w:szCs w:val="32"/>
          <w:lang w:val="zh-CN" w:eastAsia="zh-CN"/>
        </w:rPr>
        <w:sectPr w:rsidR="004B0FC1">
          <w:pgSz w:w="11906" w:h="16838"/>
          <w:pgMar w:top="2098" w:right="1474" w:bottom="1984" w:left="1587" w:header="907" w:footer="1644" w:gutter="0"/>
          <w:cols w:space="0"/>
          <w:docGrid w:type="linesAndChars" w:linePitch="579" w:charSpace="-842"/>
        </w:sectPr>
      </w:pPr>
      <w:r>
        <w:rPr>
          <w:rFonts w:ascii="Times New Roman" w:eastAsia="仿宋_GB2312" w:hAnsi="Times New Roman" w:cs="Times New Roman" w:hint="eastAsia"/>
          <w:snapToGrid/>
          <w:kern w:val="2"/>
          <w:sz w:val="32"/>
          <w:szCs w:val="32"/>
          <w:lang w:val="zh-CN" w:eastAsia="zh-CN"/>
        </w:rPr>
        <w:t>四是强化绩效目标任务的执行。市级主管部门应当加强绩效目标任务的管理，分阶段开展绩效目标任务完成情况的梳理，进一步明确绩效目标任务的进度。项目实施单位严格按照绩效目标任务中数量指标推进工作，强化绩效目标任务的完成度，以便按时完成绩效目标任务。</w:t>
      </w:r>
    </w:p>
    <w:p w:rsidR="004B0FC1" w:rsidRDefault="00A976D9">
      <w:pPr>
        <w:spacing w:line="600" w:lineRule="exact"/>
        <w:rPr>
          <w:rFonts w:ascii="黑体" w:eastAsia="黑体" w:hAnsi="黑体" w:cs="黑体"/>
          <w:spacing w:val="-2"/>
          <w:sz w:val="31"/>
          <w:szCs w:val="31"/>
          <w:lang w:eastAsia="zh-CN"/>
        </w:rPr>
      </w:pPr>
      <w:r>
        <w:rPr>
          <w:rFonts w:ascii="黑体" w:eastAsia="黑体" w:hAnsi="黑体" w:cs="黑体"/>
          <w:spacing w:val="-2"/>
          <w:sz w:val="31"/>
          <w:szCs w:val="31"/>
          <w:lang w:eastAsia="zh-CN"/>
        </w:rPr>
        <w:lastRenderedPageBreak/>
        <w:t>附件2-4</w:t>
      </w:r>
    </w:p>
    <w:p w:rsidR="004B0FC1" w:rsidRDefault="00A976D9">
      <w:pPr>
        <w:widowControl w:val="0"/>
        <w:kinsoku/>
        <w:autoSpaceDE/>
        <w:autoSpaceDN/>
        <w:adjustRightInd/>
        <w:snapToGrid/>
        <w:spacing w:line="600" w:lineRule="exact"/>
        <w:jc w:val="center"/>
        <w:textAlignment w:val="auto"/>
        <w:rPr>
          <w:rFonts w:ascii="Times New Roman" w:eastAsia="方正小标宋简体" w:hAnsi="Times New Roman" w:cs="Times New Roman"/>
          <w:snapToGrid/>
          <w:kern w:val="2"/>
          <w:sz w:val="40"/>
          <w:szCs w:val="40"/>
          <w:lang w:val="zh-CN" w:eastAsia="zh-CN"/>
        </w:rPr>
      </w:pPr>
      <w:r>
        <w:rPr>
          <w:rFonts w:ascii="Times New Roman" w:eastAsia="方正小标宋简体" w:hAnsi="Times New Roman" w:cs="Times New Roman" w:hint="eastAsia"/>
          <w:snapToGrid/>
          <w:kern w:val="2"/>
          <w:sz w:val="40"/>
          <w:szCs w:val="40"/>
          <w:lang w:val="zh-CN" w:eastAsia="zh-CN"/>
        </w:rPr>
        <w:t>攀枝花市市场监督管理局</w:t>
      </w:r>
    </w:p>
    <w:p w:rsidR="004B0FC1" w:rsidRDefault="00A976D9">
      <w:pPr>
        <w:widowControl w:val="0"/>
        <w:kinsoku/>
        <w:autoSpaceDE/>
        <w:autoSpaceDN/>
        <w:adjustRightInd/>
        <w:snapToGrid/>
        <w:spacing w:line="600" w:lineRule="exact"/>
        <w:jc w:val="center"/>
        <w:textAlignment w:val="auto"/>
        <w:rPr>
          <w:rFonts w:ascii="Times New Roman" w:eastAsia="方正小标宋简体" w:hAnsi="Times New Roman" w:cs="Times New Roman"/>
          <w:snapToGrid/>
          <w:kern w:val="2"/>
          <w:sz w:val="40"/>
          <w:szCs w:val="40"/>
          <w:lang w:val="zh-CN" w:eastAsia="zh-CN"/>
        </w:rPr>
      </w:pPr>
      <w:r>
        <w:rPr>
          <w:rFonts w:ascii="Times New Roman" w:eastAsia="方正小标宋简体" w:hAnsi="Times New Roman" w:cs="Times New Roman"/>
          <w:snapToGrid/>
          <w:kern w:val="2"/>
          <w:sz w:val="40"/>
          <w:szCs w:val="40"/>
          <w:lang w:val="zh-CN" w:eastAsia="zh-CN"/>
        </w:rPr>
        <w:t>202</w:t>
      </w:r>
      <w:r>
        <w:rPr>
          <w:rFonts w:ascii="Times New Roman" w:eastAsia="方正小标宋简体" w:hAnsi="Times New Roman" w:cs="Times New Roman" w:hint="eastAsia"/>
          <w:snapToGrid/>
          <w:kern w:val="2"/>
          <w:sz w:val="40"/>
          <w:szCs w:val="40"/>
          <w:lang w:val="zh-CN" w:eastAsia="zh-CN"/>
        </w:rPr>
        <w:t>5</w:t>
      </w:r>
      <w:r>
        <w:rPr>
          <w:rFonts w:ascii="Times New Roman" w:eastAsia="方正小标宋简体" w:hAnsi="Times New Roman" w:cs="Times New Roman"/>
          <w:snapToGrid/>
          <w:kern w:val="2"/>
          <w:sz w:val="40"/>
          <w:szCs w:val="40"/>
          <w:lang w:val="zh-CN" w:eastAsia="zh-CN"/>
        </w:rPr>
        <w:t>年</w:t>
      </w:r>
      <w:r>
        <w:rPr>
          <w:rFonts w:ascii="Times New Roman" w:eastAsia="方正小标宋简体" w:hAnsi="Times New Roman" w:cs="Times New Roman" w:hint="eastAsia"/>
          <w:snapToGrid/>
          <w:kern w:val="2"/>
          <w:sz w:val="40"/>
          <w:szCs w:val="40"/>
          <w:lang w:val="zh-CN" w:eastAsia="zh-CN"/>
        </w:rPr>
        <w:t>省级财政</w:t>
      </w:r>
      <w:r>
        <w:rPr>
          <w:rFonts w:ascii="Times New Roman" w:eastAsia="方正小标宋简体" w:hAnsi="Times New Roman" w:cs="Times New Roman"/>
          <w:snapToGrid/>
          <w:kern w:val="2"/>
          <w:sz w:val="40"/>
          <w:szCs w:val="40"/>
          <w:lang w:val="zh-CN" w:eastAsia="zh-CN"/>
        </w:rPr>
        <w:t>市场监管专项资金</w:t>
      </w:r>
    </w:p>
    <w:p w:rsidR="004B0FC1" w:rsidRDefault="00A976D9">
      <w:pPr>
        <w:widowControl w:val="0"/>
        <w:kinsoku/>
        <w:autoSpaceDE/>
        <w:autoSpaceDN/>
        <w:adjustRightInd/>
        <w:snapToGrid/>
        <w:spacing w:line="600" w:lineRule="exact"/>
        <w:jc w:val="center"/>
        <w:textAlignment w:val="auto"/>
        <w:rPr>
          <w:rFonts w:ascii="Times New Roman" w:eastAsia="方正小标宋简体" w:hAnsi="Times New Roman" w:cs="Times New Roman"/>
          <w:snapToGrid/>
          <w:kern w:val="2"/>
          <w:sz w:val="40"/>
          <w:szCs w:val="40"/>
          <w:lang w:val="zh-CN" w:eastAsia="zh-CN"/>
        </w:rPr>
      </w:pPr>
      <w:r>
        <w:rPr>
          <w:rFonts w:ascii="Times New Roman" w:eastAsia="方正小标宋简体" w:hAnsi="Times New Roman" w:cs="Times New Roman"/>
          <w:snapToGrid/>
          <w:kern w:val="2"/>
          <w:sz w:val="40"/>
          <w:szCs w:val="40"/>
          <w:lang w:val="zh-CN" w:eastAsia="zh-CN"/>
        </w:rPr>
        <w:t>绩效自评报告</w:t>
      </w:r>
    </w:p>
    <w:p w:rsidR="004B0FC1" w:rsidRDefault="004B0FC1">
      <w:pPr>
        <w:pStyle w:val="Default"/>
      </w:pPr>
    </w:p>
    <w:p w:rsidR="004B0FC1" w:rsidRDefault="00A976D9">
      <w:pPr>
        <w:widowControl w:val="0"/>
        <w:kinsoku/>
        <w:autoSpaceDE/>
        <w:autoSpaceDN/>
        <w:spacing w:line="600" w:lineRule="exact"/>
        <w:ind w:firstLine="720"/>
        <w:jc w:val="both"/>
        <w:textAlignment w:val="auto"/>
        <w:rPr>
          <w:rFonts w:ascii="Times New Roman" w:eastAsia="黑体" w:hAnsi="Times New Roman" w:cs="Times New Roman"/>
          <w:snapToGrid/>
          <w:kern w:val="2"/>
          <w:sz w:val="32"/>
          <w:szCs w:val="32"/>
          <w:lang w:val="zh-CN" w:eastAsia="zh-CN"/>
        </w:rPr>
      </w:pPr>
      <w:r>
        <w:rPr>
          <w:rFonts w:ascii="Times New Roman" w:eastAsia="黑体" w:hAnsi="Times New Roman" w:cs="Times New Roman" w:hint="eastAsia"/>
          <w:snapToGrid/>
          <w:kern w:val="2"/>
          <w:sz w:val="32"/>
          <w:szCs w:val="32"/>
          <w:lang w:eastAsia="zh-CN"/>
        </w:rPr>
        <w:t>一、</w:t>
      </w:r>
      <w:r>
        <w:rPr>
          <w:rFonts w:ascii="Times New Roman" w:eastAsia="黑体" w:hAnsi="Times New Roman" w:cs="Times New Roman" w:hint="eastAsia"/>
          <w:snapToGrid/>
          <w:kern w:val="2"/>
          <w:sz w:val="32"/>
          <w:szCs w:val="32"/>
          <w:lang w:val="zh-CN" w:eastAsia="zh-CN"/>
        </w:rPr>
        <w:t>项目概况</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（一）设立背景及基本情况。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根据《四川省财政厅</w:t>
      </w:r>
      <w:r>
        <w:rPr>
          <w:rFonts w:ascii="Times New Roman" w:eastAsia="仿宋_GB2312" w:hAnsi="Times New Roman" w:cs="仿宋_GB2312" w:hint="eastAsia"/>
          <w:snapToGrid/>
          <w:sz w:val="32"/>
          <w:szCs w:val="32"/>
          <w:lang w:val="zh-CN" w:eastAsia="zh-CN"/>
        </w:rPr>
        <w:t xml:space="preserve"> </w:t>
      </w:r>
      <w:r>
        <w:rPr>
          <w:rFonts w:ascii="Times New Roman" w:eastAsia="仿宋_GB2312" w:hAnsi="Times New Roman" w:cs="仿宋_GB2312" w:hint="eastAsia"/>
          <w:snapToGrid/>
          <w:sz w:val="32"/>
          <w:szCs w:val="32"/>
          <w:lang w:val="zh-CN" w:eastAsia="zh-CN"/>
        </w:rPr>
        <w:t>四川省市场监督管理局关于下达</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年省级财政市场监管专项资金预算的通知》（</w:t>
      </w:r>
      <w:proofErr w:type="gramStart"/>
      <w:r>
        <w:rPr>
          <w:rFonts w:ascii="Times New Roman" w:eastAsia="仿宋_GB2312" w:hAnsi="Times New Roman" w:cs="仿宋_GB2312" w:hint="eastAsia"/>
          <w:snapToGrid/>
          <w:sz w:val="32"/>
          <w:szCs w:val="32"/>
          <w:lang w:val="zh-CN" w:eastAsia="zh-CN"/>
        </w:rPr>
        <w:t>川财行</w:t>
      </w:r>
      <w:proofErr w:type="gramEnd"/>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48</w:t>
      </w:r>
      <w:r>
        <w:rPr>
          <w:rFonts w:ascii="Times New Roman" w:eastAsia="仿宋_GB2312" w:hAnsi="Times New Roman" w:cs="仿宋_GB2312" w:hint="eastAsia"/>
          <w:snapToGrid/>
          <w:sz w:val="32"/>
          <w:szCs w:val="32"/>
          <w:lang w:val="zh-CN" w:eastAsia="zh-CN"/>
        </w:rPr>
        <w:t>号）文件精神，安排攀枝花市</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年度省级市场监管补助资金</w:t>
      </w:r>
      <w:r>
        <w:rPr>
          <w:rFonts w:ascii="Times New Roman" w:eastAsia="仿宋_GB2312" w:hAnsi="Times New Roman" w:cs="仿宋_GB2312" w:hint="eastAsia"/>
          <w:snapToGrid/>
          <w:sz w:val="32"/>
          <w:szCs w:val="32"/>
          <w:lang w:val="zh-CN" w:eastAsia="zh-CN"/>
        </w:rPr>
        <w:t>418</w:t>
      </w:r>
      <w:r>
        <w:rPr>
          <w:rFonts w:ascii="Times New Roman" w:eastAsia="仿宋_GB2312" w:hAnsi="Times New Roman" w:cs="仿宋_GB2312" w:hint="eastAsia"/>
          <w:snapToGrid/>
          <w:sz w:val="32"/>
          <w:szCs w:val="32"/>
          <w:lang w:val="zh-CN" w:eastAsia="zh-CN"/>
        </w:rPr>
        <w:t>万元。</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（二）实施目的及支持方向。</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紧紧围绕省市场监管局确定的年度重点工作，深入实施质量强省战略，全面提升全省市场监管能力。严守食品、重要工业产品质量、特种设备三条安全底线。强化计量技术保障、筑牢标准化基础、完善认证认可和检验检测监管体系。强化消费引导、深入推动优化消费环境行动。开展跨区域执法办案及专项行动、加强反垄断和反不正当竞争执法、价格监管、广告监管、网络和合</w:t>
      </w:r>
      <w:r>
        <w:rPr>
          <w:rFonts w:ascii="Times New Roman" w:eastAsia="仿宋_GB2312" w:hAnsi="Times New Roman" w:cs="仿宋_GB2312" w:hint="eastAsia"/>
          <w:snapToGrid/>
          <w:sz w:val="32"/>
          <w:szCs w:val="32"/>
          <w:lang w:val="zh-CN" w:eastAsia="zh-CN"/>
        </w:rPr>
        <w:t xml:space="preserve"> </w:t>
      </w:r>
      <w:r>
        <w:rPr>
          <w:rFonts w:ascii="Times New Roman" w:eastAsia="仿宋_GB2312" w:hAnsi="Times New Roman" w:cs="仿宋_GB2312" w:hint="eastAsia"/>
          <w:snapToGrid/>
          <w:sz w:val="32"/>
          <w:szCs w:val="32"/>
          <w:lang w:val="zh-CN" w:eastAsia="zh-CN"/>
        </w:rPr>
        <w:t>同监管、开展基层市场监管局</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所</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标准化规范化建设示范创建，提高综合行政执法水平。</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年省级财政安排市场监管专项资金，主要用于省级质</w:t>
      </w:r>
      <w:r>
        <w:rPr>
          <w:rFonts w:ascii="Times New Roman" w:eastAsia="仿宋_GB2312" w:hAnsi="Times New Roman" w:cs="仿宋_GB2312" w:hint="eastAsia"/>
          <w:snapToGrid/>
          <w:sz w:val="32"/>
          <w:szCs w:val="32"/>
          <w:lang w:val="zh-CN" w:eastAsia="zh-CN"/>
        </w:rPr>
        <w:lastRenderedPageBreak/>
        <w:t>量与安全监管、市场监管领域激励引导、提升市场监管能力建设、市县市场秩序维护监管及其他特定事项。</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（三）预算安排及分配管理。</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年攀枝花市安排省市场监管专项资金</w:t>
      </w:r>
      <w:r>
        <w:rPr>
          <w:rFonts w:ascii="Times New Roman" w:eastAsia="仿宋_GB2312" w:hAnsi="Times New Roman" w:cs="仿宋_GB2312" w:hint="eastAsia"/>
          <w:snapToGrid/>
          <w:sz w:val="32"/>
          <w:szCs w:val="32"/>
          <w:lang w:val="zh-CN" w:eastAsia="zh-CN"/>
        </w:rPr>
        <w:t>418</w:t>
      </w:r>
      <w:r>
        <w:rPr>
          <w:rFonts w:ascii="Times New Roman" w:eastAsia="仿宋_GB2312" w:hAnsi="Times New Roman" w:cs="仿宋_GB2312" w:hint="eastAsia"/>
          <w:snapToGrid/>
          <w:sz w:val="32"/>
          <w:szCs w:val="32"/>
          <w:lang w:val="zh-CN" w:eastAsia="zh-CN"/>
        </w:rPr>
        <w:t>万元。主要采取项目法和因素法进行分配。资金分配具体情况如下：</w:t>
      </w:r>
    </w:p>
    <w:p w:rsidR="004B0FC1" w:rsidRDefault="00A976D9">
      <w:pPr>
        <w:pStyle w:val="DefaultNewNewNewNewNewNewNewNew"/>
      </w:pPr>
      <w:r>
        <w:rPr>
          <w:rFonts w:hint="eastAsia"/>
          <w:noProof/>
        </w:rPr>
        <w:drawing>
          <wp:inline distT="0" distB="0" distL="114300" distR="114300" wp14:anchorId="78F2C7BC" wp14:editId="14E5819E">
            <wp:extent cx="5274310" cy="3768725"/>
            <wp:effectExtent l="0" t="0" r="2540" b="317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23"/>
                    <a:stretch>
                      <a:fillRect/>
                    </a:stretch>
                  </pic:blipFill>
                  <pic:spPr>
                    <a:xfrm>
                      <a:off x="0" y="0"/>
                      <a:ext cx="5274310" cy="3768725"/>
                    </a:xfrm>
                    <a:prstGeom prst="rect">
                      <a:avLst/>
                    </a:prstGeom>
                    <a:noFill/>
                    <a:ln>
                      <a:noFill/>
                    </a:ln>
                  </pic:spPr>
                </pic:pic>
              </a:graphicData>
            </a:graphic>
          </wp:inline>
        </w:drawing>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（四）项目绩效目标设置。</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市场监管专项设置数量指标、质量指标、时效指标、效益指标、满意度指标、成本指标</w:t>
      </w:r>
      <w:r>
        <w:rPr>
          <w:rFonts w:ascii="Times New Roman" w:eastAsia="仿宋_GB2312" w:hAnsi="Times New Roman" w:cs="仿宋_GB2312" w:hint="eastAsia"/>
          <w:snapToGrid/>
          <w:sz w:val="32"/>
          <w:szCs w:val="32"/>
          <w:lang w:val="zh-CN" w:eastAsia="zh-CN"/>
        </w:rPr>
        <w:t>22</w:t>
      </w:r>
      <w:r>
        <w:rPr>
          <w:rFonts w:ascii="Times New Roman" w:eastAsia="仿宋_GB2312" w:hAnsi="Times New Roman" w:cs="仿宋_GB2312" w:hint="eastAsia"/>
          <w:snapToGrid/>
          <w:sz w:val="32"/>
          <w:szCs w:val="32"/>
          <w:lang w:val="zh-CN" w:eastAsia="zh-CN"/>
        </w:rPr>
        <w:t>个。主要有省级食品抽检监测任务</w:t>
      </w:r>
      <w:r>
        <w:rPr>
          <w:rFonts w:ascii="Times New Roman" w:eastAsia="仿宋_GB2312" w:hAnsi="Times New Roman" w:cs="仿宋_GB2312" w:hint="eastAsia"/>
          <w:snapToGrid/>
          <w:sz w:val="32"/>
          <w:szCs w:val="32"/>
          <w:lang w:val="zh-CN" w:eastAsia="zh-CN"/>
        </w:rPr>
        <w:t>505</w:t>
      </w:r>
      <w:r>
        <w:rPr>
          <w:rFonts w:ascii="Times New Roman" w:eastAsia="仿宋_GB2312" w:hAnsi="Times New Roman" w:cs="仿宋_GB2312" w:hint="eastAsia"/>
          <w:snapToGrid/>
          <w:sz w:val="32"/>
          <w:szCs w:val="32"/>
          <w:lang w:val="zh-CN" w:eastAsia="zh-CN"/>
        </w:rPr>
        <w:t>批次、工业产品质量监督抽查及风险监测</w:t>
      </w:r>
      <w:r>
        <w:rPr>
          <w:rFonts w:ascii="Times New Roman" w:eastAsia="仿宋_GB2312" w:hAnsi="Times New Roman" w:cs="仿宋_GB2312" w:hint="eastAsia"/>
          <w:snapToGrid/>
          <w:sz w:val="32"/>
          <w:szCs w:val="32"/>
          <w:lang w:val="zh-CN" w:eastAsia="zh-CN"/>
        </w:rPr>
        <w:t>37</w:t>
      </w:r>
      <w:r>
        <w:rPr>
          <w:rFonts w:ascii="Times New Roman" w:eastAsia="仿宋_GB2312" w:hAnsi="Times New Roman" w:cs="仿宋_GB2312" w:hint="eastAsia"/>
          <w:snapToGrid/>
          <w:sz w:val="32"/>
          <w:szCs w:val="32"/>
          <w:lang w:val="zh-CN" w:eastAsia="zh-CN"/>
        </w:rPr>
        <w:t>批次、定量包装监督抽查</w:t>
      </w:r>
      <w:r>
        <w:rPr>
          <w:rFonts w:ascii="Times New Roman" w:eastAsia="仿宋_GB2312" w:hAnsi="Times New Roman" w:cs="仿宋_GB2312" w:hint="eastAsia"/>
          <w:snapToGrid/>
          <w:sz w:val="32"/>
          <w:szCs w:val="32"/>
          <w:lang w:val="zh-CN" w:eastAsia="zh-CN"/>
        </w:rPr>
        <w:t>140</w:t>
      </w:r>
      <w:r>
        <w:rPr>
          <w:rFonts w:ascii="Times New Roman" w:eastAsia="仿宋_GB2312" w:hAnsi="Times New Roman" w:cs="仿宋_GB2312" w:hint="eastAsia"/>
          <w:snapToGrid/>
          <w:sz w:val="32"/>
          <w:szCs w:val="32"/>
          <w:lang w:val="zh-CN" w:eastAsia="zh-CN"/>
        </w:rPr>
        <w:t>批次、四川省动态汽车</w:t>
      </w:r>
      <w:proofErr w:type="gramStart"/>
      <w:r>
        <w:rPr>
          <w:rFonts w:ascii="Times New Roman" w:eastAsia="仿宋_GB2312" w:hAnsi="Times New Roman" w:cs="仿宋_GB2312" w:hint="eastAsia"/>
          <w:snapToGrid/>
          <w:sz w:val="32"/>
          <w:szCs w:val="32"/>
          <w:lang w:val="zh-CN" w:eastAsia="zh-CN"/>
        </w:rPr>
        <w:t>衡</w:t>
      </w:r>
      <w:proofErr w:type="gramEnd"/>
      <w:r>
        <w:rPr>
          <w:rFonts w:ascii="Times New Roman" w:eastAsia="仿宋_GB2312" w:hAnsi="Times New Roman" w:cs="仿宋_GB2312" w:hint="eastAsia"/>
          <w:snapToGrid/>
          <w:sz w:val="32"/>
          <w:szCs w:val="32"/>
          <w:lang w:val="zh-CN" w:eastAsia="zh-CN"/>
        </w:rPr>
        <w:t>计量监督检查</w:t>
      </w:r>
      <w:r>
        <w:rPr>
          <w:rFonts w:ascii="Times New Roman" w:eastAsia="仿宋_GB2312" w:hAnsi="Times New Roman" w:cs="仿宋_GB2312" w:hint="eastAsia"/>
          <w:snapToGrid/>
          <w:sz w:val="32"/>
          <w:szCs w:val="32"/>
          <w:lang w:val="zh-CN" w:eastAsia="zh-CN"/>
        </w:rPr>
        <w:t>10</w:t>
      </w:r>
      <w:r>
        <w:rPr>
          <w:rFonts w:ascii="Times New Roman" w:eastAsia="仿宋_GB2312" w:hAnsi="Times New Roman" w:cs="仿宋_GB2312" w:hint="eastAsia"/>
          <w:snapToGrid/>
          <w:sz w:val="32"/>
          <w:szCs w:val="32"/>
          <w:lang w:val="zh-CN" w:eastAsia="zh-CN"/>
        </w:rPr>
        <w:t>台、完成基层市场监管局（所）</w:t>
      </w:r>
      <w:r>
        <w:rPr>
          <w:rFonts w:ascii="Times New Roman" w:eastAsia="仿宋_GB2312" w:hAnsi="Times New Roman" w:cs="仿宋_GB2312" w:hint="eastAsia"/>
          <w:snapToGrid/>
          <w:sz w:val="32"/>
          <w:szCs w:val="32"/>
          <w:lang w:val="zh-CN" w:eastAsia="zh-CN"/>
        </w:rPr>
        <w:t>10</w:t>
      </w:r>
      <w:r>
        <w:rPr>
          <w:rFonts w:ascii="Times New Roman" w:eastAsia="仿宋_GB2312" w:hAnsi="Times New Roman" w:cs="仿宋_GB2312" w:hint="eastAsia"/>
          <w:snapToGrid/>
          <w:sz w:val="32"/>
          <w:szCs w:val="32"/>
          <w:lang w:val="zh-CN" w:eastAsia="zh-CN"/>
        </w:rPr>
        <w:t>个、电梯赋</w:t>
      </w:r>
      <w:proofErr w:type="gramStart"/>
      <w:r>
        <w:rPr>
          <w:rFonts w:ascii="Times New Roman" w:eastAsia="仿宋_GB2312" w:hAnsi="Times New Roman" w:cs="仿宋_GB2312" w:hint="eastAsia"/>
          <w:snapToGrid/>
          <w:sz w:val="32"/>
          <w:szCs w:val="32"/>
          <w:lang w:val="zh-CN" w:eastAsia="zh-CN"/>
        </w:rPr>
        <w:t>码管理</w:t>
      </w:r>
      <w:proofErr w:type="gramEnd"/>
      <w:r>
        <w:rPr>
          <w:rFonts w:ascii="Times New Roman" w:eastAsia="仿宋_GB2312" w:hAnsi="Times New Roman" w:cs="仿宋_GB2312" w:hint="eastAsia"/>
          <w:snapToGrid/>
          <w:sz w:val="32"/>
          <w:szCs w:val="32"/>
          <w:lang w:val="zh-CN" w:eastAsia="zh-CN"/>
        </w:rPr>
        <w:t>6000</w:t>
      </w:r>
      <w:r>
        <w:rPr>
          <w:rFonts w:ascii="Times New Roman" w:eastAsia="仿宋_GB2312" w:hAnsi="Times New Roman" w:cs="仿宋_GB2312" w:hint="eastAsia"/>
          <w:snapToGrid/>
          <w:sz w:val="32"/>
          <w:szCs w:val="32"/>
          <w:lang w:val="zh-CN" w:eastAsia="zh-CN"/>
        </w:rPr>
        <w:lastRenderedPageBreak/>
        <w:t>台、化工企业特种设备规范化管理</w:t>
      </w:r>
      <w:r>
        <w:rPr>
          <w:rFonts w:ascii="Times New Roman" w:eastAsia="仿宋_GB2312" w:hAnsi="Times New Roman" w:cs="仿宋_GB2312" w:hint="eastAsia"/>
          <w:snapToGrid/>
          <w:sz w:val="32"/>
          <w:szCs w:val="32"/>
          <w:lang w:val="zh-CN" w:eastAsia="zh-CN"/>
        </w:rPr>
        <w:t>20</w:t>
      </w:r>
      <w:r>
        <w:rPr>
          <w:rFonts w:ascii="Times New Roman" w:eastAsia="仿宋_GB2312" w:hAnsi="Times New Roman" w:cs="仿宋_GB2312" w:hint="eastAsia"/>
          <w:snapToGrid/>
          <w:sz w:val="32"/>
          <w:szCs w:val="32"/>
          <w:lang w:val="zh-CN" w:eastAsia="zh-CN"/>
        </w:rPr>
        <w:t>家等指标。</w:t>
      </w:r>
    </w:p>
    <w:p w:rsidR="004B0FC1" w:rsidRDefault="00A976D9">
      <w:pPr>
        <w:widowControl w:val="0"/>
        <w:kinsoku/>
        <w:autoSpaceDE/>
        <w:autoSpaceDN/>
        <w:spacing w:line="600" w:lineRule="exact"/>
        <w:ind w:firstLine="720"/>
        <w:jc w:val="both"/>
        <w:textAlignment w:val="auto"/>
        <w:rPr>
          <w:rFonts w:ascii="Times New Roman" w:eastAsia="黑体" w:hAnsi="Times New Roman" w:cs="Times New Roman"/>
          <w:snapToGrid/>
          <w:kern w:val="2"/>
          <w:sz w:val="32"/>
          <w:szCs w:val="32"/>
          <w:lang w:eastAsia="zh-CN"/>
        </w:rPr>
      </w:pPr>
      <w:r>
        <w:rPr>
          <w:rFonts w:ascii="Times New Roman" w:eastAsia="黑体" w:hAnsi="Times New Roman" w:cs="Times New Roman" w:hint="eastAsia"/>
          <w:snapToGrid/>
          <w:kern w:val="2"/>
          <w:sz w:val="32"/>
          <w:szCs w:val="32"/>
          <w:lang w:eastAsia="zh-CN"/>
        </w:rPr>
        <w:t>二、评价实施</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（一）评价目的。</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省级市场监管专项资金绩效自评，旨在跟踪项目任务完成情况和资金要素执行情况，是否实现项目目标任务，发现项目各环节问题，优化工作任务设置与现实匹配度，促进财政资金效益最大化。</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（二）预设问题及评价重点。</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仿宋_GB2312" w:hint="eastAsia"/>
          <w:snapToGrid/>
          <w:sz w:val="32"/>
          <w:szCs w:val="32"/>
          <w:lang w:val="zh-CN" w:eastAsia="zh-CN"/>
        </w:rPr>
        <w:t>按照《</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年省级财政市场监管专项资金预算绩效自评打分表》对资金支出使用全过程及其实施效果进行逐项评价和判断。</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（三）评价方法。</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本次绩效评价对市本级</w:t>
      </w: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个直属单位，</w:t>
      </w:r>
      <w:r>
        <w:rPr>
          <w:rFonts w:ascii="Times New Roman" w:eastAsia="仿宋_GB2312" w:hAnsi="Times New Roman" w:cs="仿宋_GB2312" w:hint="eastAsia"/>
          <w:snapToGrid/>
          <w:sz w:val="32"/>
          <w:szCs w:val="32"/>
          <w:lang w:val="zh-CN" w:eastAsia="zh-CN"/>
        </w:rPr>
        <w:t>5</w:t>
      </w:r>
      <w:r>
        <w:rPr>
          <w:rFonts w:ascii="Times New Roman" w:eastAsia="仿宋_GB2312" w:hAnsi="Times New Roman" w:cs="仿宋_GB2312" w:hint="eastAsia"/>
          <w:snapToGrid/>
          <w:sz w:val="32"/>
          <w:szCs w:val="32"/>
          <w:lang w:val="zh-CN" w:eastAsia="zh-CN"/>
        </w:rPr>
        <w:t>个县（区）市场监管局全部进行评价。结合该项目和项目实施单位实际情况，采取单位自评法对项目实施评价，并通过定量和定性分析得出评价结论。</w:t>
      </w:r>
    </w:p>
    <w:p w:rsidR="004B0FC1" w:rsidRDefault="00A976D9">
      <w:pPr>
        <w:widowControl w:val="0"/>
        <w:kinsoku/>
        <w:autoSpaceDE/>
        <w:autoSpaceDN/>
        <w:spacing w:line="600" w:lineRule="exact"/>
        <w:ind w:firstLine="720"/>
        <w:jc w:val="both"/>
        <w:textAlignment w:val="auto"/>
        <w:rPr>
          <w:rFonts w:ascii="Times New Roman" w:eastAsia="黑体" w:hAnsi="Times New Roman" w:cs="Times New Roman"/>
          <w:snapToGrid/>
          <w:kern w:val="2"/>
          <w:sz w:val="32"/>
          <w:szCs w:val="32"/>
          <w:lang w:val="zh-CN" w:eastAsia="zh-CN"/>
        </w:rPr>
      </w:pPr>
      <w:r>
        <w:rPr>
          <w:rFonts w:ascii="Times New Roman" w:eastAsia="黑体" w:hAnsi="Times New Roman" w:cs="Times New Roman" w:hint="eastAsia"/>
          <w:snapToGrid/>
          <w:kern w:val="2"/>
          <w:sz w:val="32"/>
          <w:szCs w:val="32"/>
          <w:lang w:eastAsia="zh-CN"/>
        </w:rPr>
        <w:t>三、绩效分析</w:t>
      </w:r>
      <w:r>
        <w:rPr>
          <w:rFonts w:ascii="Times New Roman" w:eastAsia="黑体" w:hAnsi="Times New Roman" w:cs="Times New Roman" w:hint="eastAsia"/>
          <w:snapToGrid/>
          <w:kern w:val="2"/>
          <w:sz w:val="32"/>
          <w:szCs w:val="32"/>
          <w:lang w:val="zh-CN" w:eastAsia="zh-CN"/>
        </w:rPr>
        <w:tab/>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（一）通用指标绩效分析。</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项目决策。</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0"/>
          <w:szCs w:val="30"/>
          <w:lang w:val="zh-CN" w:eastAsia="zh-CN"/>
        </w:rPr>
        <w:t>本项目为延续性项目，经自评，项目设立、调整及延续等符合资金管理基本规范和决策程序要求；绩效目标设置科学合</w:t>
      </w:r>
      <w:r>
        <w:rPr>
          <w:rFonts w:ascii="Times New Roman" w:eastAsia="仿宋_GB2312" w:hAnsi="Times New Roman" w:cs="仿宋_GB2312" w:hint="eastAsia"/>
          <w:snapToGrid/>
          <w:sz w:val="32"/>
          <w:szCs w:val="32"/>
          <w:lang w:val="zh-CN" w:eastAsia="zh-CN"/>
        </w:rPr>
        <w:t>理、规</w:t>
      </w:r>
      <w:r>
        <w:rPr>
          <w:rFonts w:ascii="Times New Roman" w:eastAsia="仿宋_GB2312" w:hAnsi="Times New Roman" w:cs="仿宋_GB2312" w:hint="eastAsia"/>
          <w:snapToGrid/>
          <w:sz w:val="32"/>
          <w:szCs w:val="32"/>
          <w:lang w:val="zh-CN" w:eastAsia="zh-CN"/>
        </w:rPr>
        <w:lastRenderedPageBreak/>
        <w:t>范完整，绩效目标与预算匹配；项目聚焦食品安全等市场监管重大任务、重点领域、重点环节和重点项目，资金投向与项目总体规划、市场监督管理相关行业及事业发展相匹配。</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项目管理。</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结合年度市场监管目标任务，攀枝花市市场监督管理局编制印发</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省级财政市场监管专项资金项目实施方案和绩效目标，形式要件齐全。未发现有悖于实际导致难以操作、无法落地、执行不畅或不能满足实际需求的情况。项目管理制度完善、分工及责任明确，项目组织实施流程清晰、有序、规范；项目资金采用项目法和因素法分配，因素选取、权重设置、区域分布符合相关要求；预算执行严格遵守《中华人民共和国政府采购法》《四川省市场监管专项资金管理办法》等相关法律法规和管理制度要求，项目绩效</w:t>
      </w:r>
      <w:proofErr w:type="gramStart"/>
      <w:r>
        <w:rPr>
          <w:rFonts w:ascii="Times New Roman" w:eastAsia="仿宋_GB2312" w:hAnsi="Times New Roman" w:cs="仿宋_GB2312" w:hint="eastAsia"/>
          <w:snapToGrid/>
          <w:sz w:val="32"/>
          <w:szCs w:val="32"/>
          <w:lang w:val="zh-CN" w:eastAsia="zh-CN"/>
        </w:rPr>
        <w:t>监管按</w:t>
      </w:r>
      <w:proofErr w:type="gramEnd"/>
      <w:r>
        <w:rPr>
          <w:rFonts w:ascii="Times New Roman" w:eastAsia="仿宋_GB2312" w:hAnsi="Times New Roman" w:cs="仿宋_GB2312" w:hint="eastAsia"/>
          <w:snapToGrid/>
          <w:sz w:val="32"/>
          <w:szCs w:val="32"/>
          <w:lang w:val="zh-CN" w:eastAsia="zh-CN"/>
        </w:rPr>
        <w:t>要求及时有力有效开展。</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3.</w:t>
      </w:r>
      <w:r>
        <w:rPr>
          <w:rFonts w:ascii="Times New Roman" w:eastAsia="仿宋_GB2312" w:hAnsi="Times New Roman" w:cs="仿宋_GB2312" w:hint="eastAsia"/>
          <w:snapToGrid/>
          <w:sz w:val="32"/>
          <w:szCs w:val="32"/>
          <w:lang w:val="zh-CN" w:eastAsia="zh-CN"/>
        </w:rPr>
        <w:t>项目实施。</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全市省级市场监管资金上年结余</w:t>
      </w:r>
      <w:r>
        <w:rPr>
          <w:rFonts w:ascii="Times New Roman" w:eastAsia="仿宋_GB2312" w:hAnsi="Times New Roman" w:cs="仿宋_GB2312" w:hint="eastAsia"/>
          <w:snapToGrid/>
          <w:sz w:val="32"/>
          <w:szCs w:val="32"/>
          <w:lang w:val="zh-CN" w:eastAsia="zh-CN"/>
        </w:rPr>
        <w:t>400.22</w:t>
      </w:r>
      <w:r>
        <w:rPr>
          <w:rFonts w:ascii="Times New Roman" w:eastAsia="仿宋_GB2312" w:hAnsi="Times New Roman" w:cs="仿宋_GB2312" w:hint="eastAsia"/>
          <w:snapToGrid/>
          <w:sz w:val="32"/>
          <w:szCs w:val="32"/>
          <w:lang w:val="zh-CN" w:eastAsia="zh-CN"/>
        </w:rPr>
        <w:t>万元，当年下达</w:t>
      </w:r>
      <w:r>
        <w:rPr>
          <w:rFonts w:ascii="Times New Roman" w:eastAsia="仿宋_GB2312" w:hAnsi="Times New Roman" w:cs="仿宋_GB2312" w:hint="eastAsia"/>
          <w:snapToGrid/>
          <w:sz w:val="32"/>
          <w:szCs w:val="32"/>
          <w:lang w:val="zh-CN" w:eastAsia="zh-CN"/>
        </w:rPr>
        <w:t>418</w:t>
      </w:r>
      <w:r>
        <w:rPr>
          <w:rFonts w:ascii="Times New Roman" w:eastAsia="仿宋_GB2312" w:hAnsi="Times New Roman" w:cs="仿宋_GB2312" w:hint="eastAsia"/>
          <w:snapToGrid/>
          <w:sz w:val="32"/>
          <w:szCs w:val="32"/>
          <w:lang w:val="zh-CN" w:eastAsia="zh-CN"/>
        </w:rPr>
        <w:t>万元，当年支付</w:t>
      </w:r>
      <w:r>
        <w:rPr>
          <w:rFonts w:ascii="Times New Roman" w:eastAsia="仿宋_GB2312" w:hAnsi="Times New Roman" w:cs="仿宋_GB2312" w:hint="eastAsia"/>
          <w:snapToGrid/>
          <w:sz w:val="32"/>
          <w:szCs w:val="32"/>
          <w:lang w:val="zh-CN" w:eastAsia="zh-CN"/>
        </w:rPr>
        <w:t>476.44</w:t>
      </w:r>
      <w:r>
        <w:rPr>
          <w:rFonts w:ascii="Times New Roman" w:eastAsia="仿宋_GB2312" w:hAnsi="Times New Roman" w:cs="仿宋_GB2312" w:hint="eastAsia"/>
          <w:snapToGrid/>
          <w:sz w:val="32"/>
          <w:szCs w:val="32"/>
          <w:lang w:val="zh-CN" w:eastAsia="zh-CN"/>
        </w:rPr>
        <w:t>万元，结余</w:t>
      </w:r>
      <w:r>
        <w:rPr>
          <w:rFonts w:ascii="Times New Roman" w:eastAsia="仿宋_GB2312" w:hAnsi="Times New Roman" w:cs="仿宋_GB2312" w:hint="eastAsia"/>
          <w:snapToGrid/>
          <w:sz w:val="32"/>
          <w:szCs w:val="32"/>
          <w:lang w:val="zh-CN" w:eastAsia="zh-CN"/>
        </w:rPr>
        <w:t>341.78</w:t>
      </w:r>
      <w:r>
        <w:rPr>
          <w:rFonts w:ascii="Times New Roman" w:eastAsia="仿宋_GB2312" w:hAnsi="Times New Roman" w:cs="仿宋_GB2312" w:hint="eastAsia"/>
          <w:snapToGrid/>
          <w:sz w:val="32"/>
          <w:szCs w:val="32"/>
          <w:lang w:val="zh-CN" w:eastAsia="zh-CN"/>
        </w:rPr>
        <w:t>万元，完成预算的</w:t>
      </w:r>
      <w:r>
        <w:rPr>
          <w:rFonts w:ascii="Times New Roman" w:eastAsia="仿宋_GB2312" w:hAnsi="Times New Roman" w:cs="仿宋_GB2312" w:hint="eastAsia"/>
          <w:snapToGrid/>
          <w:sz w:val="32"/>
          <w:szCs w:val="32"/>
          <w:lang w:val="zh-CN" w:eastAsia="zh-CN"/>
        </w:rPr>
        <w:t>58.2%</w:t>
      </w:r>
      <w:r>
        <w:rPr>
          <w:rFonts w:ascii="Times New Roman" w:eastAsia="仿宋_GB2312" w:hAnsi="Times New Roman" w:cs="仿宋_GB2312" w:hint="eastAsia"/>
          <w:snapToGrid/>
          <w:sz w:val="32"/>
          <w:szCs w:val="32"/>
          <w:lang w:val="zh-CN" w:eastAsia="zh-CN"/>
        </w:rPr>
        <w:t>（其中：市本级支出</w:t>
      </w:r>
      <w:r>
        <w:rPr>
          <w:rFonts w:ascii="Times New Roman" w:eastAsia="仿宋_GB2312" w:hAnsi="Times New Roman" w:cs="仿宋_GB2312" w:hint="eastAsia"/>
          <w:snapToGrid/>
          <w:sz w:val="32"/>
          <w:szCs w:val="32"/>
          <w:lang w:val="zh-CN" w:eastAsia="zh-CN"/>
        </w:rPr>
        <w:t>226.43</w:t>
      </w:r>
      <w:r>
        <w:rPr>
          <w:rFonts w:ascii="Times New Roman" w:eastAsia="仿宋_GB2312" w:hAnsi="Times New Roman" w:cs="仿宋_GB2312" w:hint="eastAsia"/>
          <w:snapToGrid/>
          <w:sz w:val="32"/>
          <w:szCs w:val="32"/>
          <w:lang w:val="zh-CN" w:eastAsia="zh-CN"/>
        </w:rPr>
        <w:t>万元，完成预算的</w:t>
      </w:r>
      <w:r>
        <w:rPr>
          <w:rFonts w:ascii="Times New Roman" w:eastAsia="仿宋_GB2312" w:hAnsi="Times New Roman" w:cs="仿宋_GB2312" w:hint="eastAsia"/>
          <w:snapToGrid/>
          <w:sz w:val="32"/>
          <w:szCs w:val="32"/>
          <w:lang w:val="zh-CN" w:eastAsia="zh-CN"/>
        </w:rPr>
        <w:t>53.</w:t>
      </w:r>
      <w:r>
        <w:rPr>
          <w:rFonts w:ascii="Times New Roman" w:eastAsia="仿宋_GB2312" w:hAnsi="Times New Roman" w:cs="仿宋_GB2312" w:hint="eastAsia"/>
          <w:snapToGrid/>
          <w:sz w:val="32"/>
          <w:szCs w:val="32"/>
          <w:lang w:eastAsia="zh-CN"/>
        </w:rPr>
        <w:t>9</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。县（区）局支出</w:t>
      </w:r>
      <w:r>
        <w:rPr>
          <w:rFonts w:ascii="Times New Roman" w:eastAsia="仿宋_GB2312" w:hAnsi="Times New Roman" w:cs="仿宋_GB2312" w:hint="eastAsia"/>
          <w:snapToGrid/>
          <w:sz w:val="32"/>
          <w:szCs w:val="32"/>
          <w:lang w:val="zh-CN" w:eastAsia="zh-CN"/>
        </w:rPr>
        <w:t>250.01</w:t>
      </w:r>
      <w:r>
        <w:rPr>
          <w:rFonts w:ascii="Times New Roman" w:eastAsia="仿宋_GB2312" w:hAnsi="Times New Roman" w:cs="仿宋_GB2312" w:hint="eastAsia"/>
          <w:snapToGrid/>
          <w:sz w:val="32"/>
          <w:szCs w:val="32"/>
          <w:lang w:val="zh-CN" w:eastAsia="zh-CN"/>
        </w:rPr>
        <w:t>万元，完成预算的</w:t>
      </w:r>
      <w:r>
        <w:rPr>
          <w:rFonts w:ascii="Times New Roman" w:eastAsia="仿宋_GB2312" w:hAnsi="Times New Roman" w:cs="仿宋_GB2312" w:hint="eastAsia"/>
          <w:snapToGrid/>
          <w:sz w:val="32"/>
          <w:szCs w:val="32"/>
          <w:lang w:val="zh-CN" w:eastAsia="zh-CN"/>
        </w:rPr>
        <w:t>62.8%</w:t>
      </w:r>
      <w:r>
        <w:rPr>
          <w:rFonts w:ascii="Times New Roman" w:eastAsia="仿宋_GB2312" w:hAnsi="Times New Roman" w:cs="仿宋_GB2312" w:hint="eastAsia"/>
          <w:snapToGrid/>
          <w:sz w:val="32"/>
          <w:szCs w:val="32"/>
          <w:lang w:val="zh-CN" w:eastAsia="zh-CN"/>
        </w:rPr>
        <w:t>）。项目结余资金结转到</w:t>
      </w:r>
      <w:r>
        <w:rPr>
          <w:rFonts w:ascii="Times New Roman" w:eastAsia="仿宋_GB2312" w:hAnsi="Times New Roman" w:cs="仿宋_GB2312" w:hint="eastAsia"/>
          <w:snapToGrid/>
          <w:sz w:val="32"/>
          <w:szCs w:val="32"/>
          <w:lang w:val="zh-CN" w:eastAsia="zh-CN"/>
        </w:rPr>
        <w:t>2026</w:t>
      </w:r>
      <w:r>
        <w:rPr>
          <w:rFonts w:ascii="Times New Roman" w:eastAsia="仿宋_GB2312" w:hAnsi="Times New Roman" w:cs="仿宋_GB2312" w:hint="eastAsia"/>
          <w:snapToGrid/>
          <w:sz w:val="32"/>
          <w:szCs w:val="32"/>
          <w:lang w:val="zh-CN" w:eastAsia="zh-CN"/>
        </w:rPr>
        <w:t>年继续用于市场安全专项监管。</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4.</w:t>
      </w:r>
      <w:r>
        <w:rPr>
          <w:rFonts w:ascii="Times New Roman" w:eastAsia="仿宋_GB2312" w:hAnsi="Times New Roman" w:cs="仿宋_GB2312" w:hint="eastAsia"/>
          <w:snapToGrid/>
          <w:sz w:val="32"/>
          <w:szCs w:val="32"/>
          <w:lang w:val="zh-CN" w:eastAsia="zh-CN"/>
        </w:rPr>
        <w:t>项目结果。</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项目严格按照下达的《攀枝花市市场监督管理局关于印发</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年省市场监管专项资金项目实施方案的通知》（攀市监办</w:t>
      </w:r>
      <w:r>
        <w:rPr>
          <w:rFonts w:ascii="Times New Roman" w:eastAsia="仿宋_GB2312" w:hAnsi="Times New Roman" w:cs="仿宋_GB2312" w:hint="eastAsia"/>
          <w:snapToGrid/>
          <w:sz w:val="32"/>
          <w:szCs w:val="32"/>
          <w:lang w:val="zh-CN" w:eastAsia="zh-CN"/>
        </w:rPr>
        <w:lastRenderedPageBreak/>
        <w:t>〔</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64</w:t>
      </w:r>
      <w:r>
        <w:rPr>
          <w:rFonts w:ascii="Times New Roman" w:eastAsia="仿宋_GB2312" w:hAnsi="Times New Roman" w:cs="仿宋_GB2312" w:hint="eastAsia"/>
          <w:snapToGrid/>
          <w:sz w:val="32"/>
          <w:szCs w:val="32"/>
          <w:lang w:val="zh-CN" w:eastAsia="zh-CN"/>
        </w:rPr>
        <w:t>号）开展。项目资金严格按照《省级财政市场监管专项资金管理办法》管理使用，做到专款专用。项目绩效指标均在计划时间内有效完成，项目实施结果与绩效目标相匹配。</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（二）专用指标绩效分析。</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一是用途合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性。资金分配紧紧围绕《省级财政市场监管专项资金管理办法》规定用途、适用范围进行分配，符合</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年省级市场监管专项资金保障的范畴。项目实施单位财务制度健全规范，专项资金专账核算、专款专用，会计核算规范、账务处理及时。二是程序合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性。项目严格按照《省级财政市场监管专项资金管理办法》，经我局党组会议审议，联合市财政局报市政府审议通过后下达。项目实施单位均按照相关决策程序管理分配使用资金。三是标准合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性。项目均按照相关文件明确的标准或经集体决策程序审定后的标准测算。</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（三）个性指标绩效分析。</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数量指标</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）食品抽检监测。</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攀西院完成省级食品抽检监测任务</w:t>
      </w:r>
      <w:r>
        <w:rPr>
          <w:rFonts w:ascii="Times New Roman" w:eastAsia="仿宋_GB2312" w:hAnsi="Times New Roman" w:cs="仿宋_GB2312" w:hint="eastAsia"/>
          <w:snapToGrid/>
          <w:sz w:val="32"/>
          <w:szCs w:val="32"/>
          <w:lang w:val="zh-CN" w:eastAsia="zh-CN"/>
        </w:rPr>
        <w:t>505</w:t>
      </w:r>
      <w:r>
        <w:rPr>
          <w:rFonts w:ascii="Times New Roman" w:eastAsia="仿宋_GB2312" w:hAnsi="Times New Roman" w:cs="仿宋_GB2312" w:hint="eastAsia"/>
          <w:snapToGrid/>
          <w:sz w:val="32"/>
          <w:szCs w:val="32"/>
          <w:lang w:val="zh-CN" w:eastAsia="zh-CN"/>
        </w:rPr>
        <w:t>批次，完成计划</w:t>
      </w:r>
      <w:r>
        <w:rPr>
          <w:rFonts w:ascii="Times New Roman" w:eastAsia="仿宋_GB2312" w:hAnsi="Times New Roman" w:cs="仿宋_GB2312" w:hint="eastAsia"/>
          <w:snapToGrid/>
          <w:sz w:val="32"/>
          <w:szCs w:val="32"/>
          <w:lang w:val="zh-CN" w:eastAsia="zh-CN"/>
        </w:rPr>
        <w:t>100%</w:t>
      </w:r>
      <w:r>
        <w:rPr>
          <w:rFonts w:ascii="Times New Roman" w:eastAsia="仿宋_GB2312" w:hAnsi="Times New Roman" w:cs="仿宋_GB2312" w:hint="eastAsia"/>
          <w:snapToGrid/>
          <w:sz w:val="32"/>
          <w:szCs w:val="32"/>
          <w:lang w:val="zh-CN" w:eastAsia="zh-CN"/>
        </w:rPr>
        <w:t>。</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eastAsia="zh-CN"/>
        </w:rPr>
        <w:t>2</w:t>
      </w:r>
      <w:r>
        <w:rPr>
          <w:rFonts w:ascii="Times New Roman" w:eastAsia="仿宋_GB2312" w:hAnsi="Times New Roman" w:cs="仿宋_GB2312" w:hint="eastAsia"/>
          <w:snapToGrid/>
          <w:sz w:val="32"/>
          <w:szCs w:val="32"/>
          <w:lang w:val="zh-CN" w:eastAsia="zh-CN"/>
        </w:rPr>
        <w:t>）工业产品监督抽查。</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市本级完成工业产品质量监督抽查及风险监测</w:t>
      </w:r>
      <w:r>
        <w:rPr>
          <w:rFonts w:ascii="Times New Roman" w:eastAsia="仿宋_GB2312" w:hAnsi="Times New Roman" w:cs="仿宋_GB2312" w:hint="eastAsia"/>
          <w:snapToGrid/>
          <w:sz w:val="32"/>
          <w:szCs w:val="32"/>
          <w:lang w:val="zh-CN" w:eastAsia="zh-CN"/>
        </w:rPr>
        <w:t>39</w:t>
      </w:r>
      <w:r>
        <w:rPr>
          <w:rFonts w:ascii="Times New Roman" w:eastAsia="仿宋_GB2312" w:hAnsi="Times New Roman" w:cs="仿宋_GB2312" w:hint="eastAsia"/>
          <w:snapToGrid/>
          <w:sz w:val="32"/>
          <w:szCs w:val="32"/>
          <w:lang w:val="zh-CN" w:eastAsia="zh-CN"/>
        </w:rPr>
        <w:t>批次，完成计划</w:t>
      </w:r>
      <w:r>
        <w:rPr>
          <w:rFonts w:ascii="Times New Roman" w:eastAsia="仿宋_GB2312" w:hAnsi="Times New Roman" w:cs="仿宋_GB2312" w:hint="eastAsia"/>
          <w:snapToGrid/>
          <w:sz w:val="32"/>
          <w:szCs w:val="32"/>
          <w:lang w:val="zh-CN" w:eastAsia="zh-CN"/>
        </w:rPr>
        <w:t>100%</w:t>
      </w:r>
      <w:r>
        <w:rPr>
          <w:rFonts w:ascii="Times New Roman" w:eastAsia="仿宋_GB2312" w:hAnsi="Times New Roman" w:cs="仿宋_GB2312" w:hint="eastAsia"/>
          <w:snapToGrid/>
          <w:sz w:val="32"/>
          <w:szCs w:val="32"/>
          <w:lang w:val="zh-CN" w:eastAsia="zh-CN"/>
        </w:rPr>
        <w:t>。</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eastAsia="zh-CN"/>
        </w:rPr>
        <w:t>3</w:t>
      </w:r>
      <w:r>
        <w:rPr>
          <w:rFonts w:ascii="Times New Roman" w:eastAsia="仿宋_GB2312" w:hAnsi="Times New Roman" w:cs="仿宋_GB2312" w:hint="eastAsia"/>
          <w:snapToGrid/>
          <w:sz w:val="32"/>
          <w:szCs w:val="32"/>
          <w:lang w:val="zh-CN" w:eastAsia="zh-CN"/>
        </w:rPr>
        <w:t>）计量专项。</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lastRenderedPageBreak/>
        <w:t>攀西院完成定量包装监督抽查</w:t>
      </w:r>
      <w:r>
        <w:rPr>
          <w:rFonts w:ascii="Times New Roman" w:eastAsia="仿宋_GB2312" w:hAnsi="Times New Roman" w:cs="仿宋_GB2312" w:hint="eastAsia"/>
          <w:snapToGrid/>
          <w:sz w:val="32"/>
          <w:szCs w:val="32"/>
          <w:lang w:val="zh-CN" w:eastAsia="zh-CN"/>
        </w:rPr>
        <w:t>140</w:t>
      </w:r>
      <w:r>
        <w:rPr>
          <w:rFonts w:ascii="Times New Roman" w:eastAsia="仿宋_GB2312" w:hAnsi="Times New Roman" w:cs="仿宋_GB2312" w:hint="eastAsia"/>
          <w:snapToGrid/>
          <w:sz w:val="32"/>
          <w:szCs w:val="32"/>
          <w:lang w:val="zh-CN" w:eastAsia="zh-CN"/>
        </w:rPr>
        <w:t>批次，完成计划</w:t>
      </w:r>
      <w:r>
        <w:rPr>
          <w:rFonts w:ascii="Times New Roman" w:eastAsia="仿宋_GB2312" w:hAnsi="Times New Roman" w:cs="仿宋_GB2312" w:hint="eastAsia"/>
          <w:snapToGrid/>
          <w:sz w:val="32"/>
          <w:szCs w:val="32"/>
          <w:lang w:val="zh-CN" w:eastAsia="zh-CN"/>
        </w:rPr>
        <w:t>100%</w:t>
      </w:r>
      <w:r>
        <w:rPr>
          <w:rFonts w:ascii="Times New Roman" w:eastAsia="仿宋_GB2312" w:hAnsi="Times New Roman" w:cs="仿宋_GB2312" w:hint="eastAsia"/>
          <w:snapToGrid/>
          <w:sz w:val="32"/>
          <w:szCs w:val="32"/>
          <w:lang w:val="zh-CN" w:eastAsia="zh-CN"/>
        </w:rPr>
        <w:t>。完成凉山州</w:t>
      </w:r>
      <w:r>
        <w:rPr>
          <w:rFonts w:ascii="Times New Roman" w:eastAsia="仿宋_GB2312" w:hAnsi="Times New Roman" w:cs="仿宋_GB2312" w:hint="eastAsia"/>
          <w:snapToGrid/>
          <w:sz w:val="32"/>
          <w:szCs w:val="32"/>
          <w:lang w:val="zh-CN" w:eastAsia="zh-CN"/>
        </w:rPr>
        <w:t>10</w:t>
      </w:r>
      <w:r>
        <w:rPr>
          <w:rFonts w:ascii="Times New Roman" w:eastAsia="仿宋_GB2312" w:hAnsi="Times New Roman" w:cs="仿宋_GB2312" w:hint="eastAsia"/>
          <w:snapToGrid/>
          <w:sz w:val="32"/>
          <w:szCs w:val="32"/>
          <w:lang w:val="zh-CN" w:eastAsia="zh-CN"/>
        </w:rPr>
        <w:t>台动态汽车衡的抽查检定工作，并将结果上报至省局。</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4</w:t>
      </w:r>
      <w:r>
        <w:rPr>
          <w:rFonts w:ascii="Times New Roman" w:eastAsia="仿宋_GB2312" w:hAnsi="Times New Roman" w:cs="仿宋_GB2312" w:hint="eastAsia"/>
          <w:snapToGrid/>
          <w:sz w:val="32"/>
          <w:szCs w:val="32"/>
          <w:lang w:val="zh-CN" w:eastAsia="zh-CN"/>
        </w:rPr>
        <w:t>）标准化专项。</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全市获批发布《钛铁钛含量的测定硫酸铁铵滴定法》国际标准</w:t>
      </w: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项、《铁矿石钛含量的测定硫酸铁铵滴定法》等国家标准</w:t>
      </w:r>
      <w:r>
        <w:rPr>
          <w:rFonts w:ascii="Times New Roman" w:eastAsia="仿宋_GB2312" w:hAnsi="Times New Roman" w:cs="仿宋_GB2312" w:hint="eastAsia"/>
          <w:snapToGrid/>
          <w:sz w:val="32"/>
          <w:szCs w:val="32"/>
          <w:lang w:val="zh-CN" w:eastAsia="zh-CN"/>
        </w:rPr>
        <w:t>10</w:t>
      </w:r>
      <w:r>
        <w:rPr>
          <w:rFonts w:ascii="Times New Roman" w:eastAsia="仿宋_GB2312" w:hAnsi="Times New Roman" w:cs="仿宋_GB2312" w:hint="eastAsia"/>
          <w:snapToGrid/>
          <w:sz w:val="32"/>
          <w:szCs w:val="32"/>
          <w:lang w:val="zh-CN" w:eastAsia="zh-CN"/>
        </w:rPr>
        <w:t>项、《全钒液流电池用电解液化学分析方法</w:t>
      </w:r>
      <w:r>
        <w:rPr>
          <w:rFonts w:ascii="Times New Roman" w:eastAsia="仿宋_GB2312" w:hAnsi="Times New Roman" w:cs="仿宋_GB2312" w:hint="eastAsia"/>
          <w:snapToGrid/>
          <w:sz w:val="32"/>
          <w:szCs w:val="32"/>
          <w:lang w:val="zh-CN" w:eastAsia="zh-CN"/>
        </w:rPr>
        <w:t xml:space="preserve"> </w:t>
      </w:r>
      <w:r>
        <w:rPr>
          <w:rFonts w:ascii="Times New Roman" w:eastAsia="仿宋_GB2312" w:hAnsi="Times New Roman" w:cs="仿宋_GB2312" w:hint="eastAsia"/>
          <w:snapToGrid/>
          <w:sz w:val="32"/>
          <w:szCs w:val="32"/>
          <w:lang w:val="zh-CN" w:eastAsia="zh-CN"/>
        </w:rPr>
        <w:t>第</w:t>
      </w: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部分：钒含量的测定电位滴定法》等行业标准</w:t>
      </w:r>
      <w:r>
        <w:rPr>
          <w:rFonts w:ascii="Times New Roman" w:eastAsia="仿宋_GB2312" w:hAnsi="Times New Roman" w:cs="仿宋_GB2312" w:hint="eastAsia"/>
          <w:snapToGrid/>
          <w:sz w:val="32"/>
          <w:szCs w:val="32"/>
          <w:lang w:val="zh-CN" w:eastAsia="zh-CN"/>
        </w:rPr>
        <w:t>3</w:t>
      </w:r>
      <w:r>
        <w:rPr>
          <w:rFonts w:ascii="Times New Roman" w:eastAsia="仿宋_GB2312" w:hAnsi="Times New Roman" w:cs="仿宋_GB2312" w:hint="eastAsia"/>
          <w:snapToGrid/>
          <w:sz w:val="32"/>
          <w:szCs w:val="32"/>
          <w:lang w:val="zh-CN" w:eastAsia="zh-CN"/>
        </w:rPr>
        <w:t>项。制定发布</w:t>
      </w:r>
      <w:r>
        <w:rPr>
          <w:rFonts w:ascii="Times New Roman" w:eastAsia="仿宋_GB2312" w:hAnsi="Times New Roman" w:cs="仿宋_GB2312" w:hint="eastAsia"/>
          <w:snapToGrid/>
          <w:sz w:val="32"/>
          <w:szCs w:val="32"/>
          <w:lang w:val="zh-CN" w:eastAsia="zh-CN"/>
        </w:rPr>
        <w:t>27</w:t>
      </w:r>
      <w:r>
        <w:rPr>
          <w:rFonts w:ascii="Times New Roman" w:eastAsia="仿宋_GB2312" w:hAnsi="Times New Roman" w:cs="仿宋_GB2312" w:hint="eastAsia"/>
          <w:snapToGrid/>
          <w:sz w:val="32"/>
          <w:szCs w:val="32"/>
          <w:lang w:val="zh-CN" w:eastAsia="zh-CN"/>
        </w:rPr>
        <w:t>项地方标准，征集下达</w:t>
      </w:r>
      <w:r>
        <w:rPr>
          <w:rFonts w:ascii="Times New Roman" w:eastAsia="仿宋_GB2312" w:hAnsi="Times New Roman" w:cs="仿宋_GB2312" w:hint="eastAsia"/>
          <w:snapToGrid/>
          <w:sz w:val="32"/>
          <w:szCs w:val="32"/>
          <w:lang w:val="zh-CN" w:eastAsia="zh-CN"/>
        </w:rPr>
        <w:t>29</w:t>
      </w:r>
      <w:r>
        <w:rPr>
          <w:rFonts w:ascii="Times New Roman" w:eastAsia="仿宋_GB2312" w:hAnsi="Times New Roman" w:cs="仿宋_GB2312" w:hint="eastAsia"/>
          <w:snapToGrid/>
          <w:sz w:val="32"/>
          <w:szCs w:val="32"/>
          <w:lang w:val="zh-CN" w:eastAsia="zh-CN"/>
        </w:rPr>
        <w:t>项“标准助力共富”地方标准制定项目。按照地方标准改革要求，组织标准归口管理部门座谈、评估，公告废止</w:t>
      </w:r>
      <w:r>
        <w:rPr>
          <w:rFonts w:ascii="Times New Roman" w:eastAsia="仿宋_GB2312" w:hAnsi="Times New Roman" w:cs="仿宋_GB2312" w:hint="eastAsia"/>
          <w:snapToGrid/>
          <w:sz w:val="32"/>
          <w:szCs w:val="32"/>
          <w:lang w:val="zh-CN" w:eastAsia="zh-CN"/>
        </w:rPr>
        <w:t>89</w:t>
      </w:r>
      <w:r>
        <w:rPr>
          <w:rFonts w:ascii="Times New Roman" w:eastAsia="仿宋_GB2312" w:hAnsi="Times New Roman" w:cs="仿宋_GB2312" w:hint="eastAsia"/>
          <w:snapToGrid/>
          <w:sz w:val="32"/>
          <w:szCs w:val="32"/>
          <w:lang w:val="zh-CN" w:eastAsia="zh-CN"/>
        </w:rPr>
        <w:t>项标准。</w:t>
      </w:r>
      <w:r>
        <w:rPr>
          <w:rFonts w:ascii="Times New Roman" w:eastAsia="仿宋_GB2312" w:hAnsi="Times New Roman" w:cs="仿宋_GB2312" w:hint="eastAsia"/>
          <w:snapToGrid/>
          <w:sz w:val="32"/>
          <w:szCs w:val="32"/>
          <w:lang w:val="en" w:eastAsia="zh-CN"/>
        </w:rPr>
        <w:t>获批发布</w:t>
      </w:r>
      <w:r>
        <w:rPr>
          <w:rFonts w:ascii="Times New Roman" w:eastAsia="仿宋_GB2312" w:hAnsi="Times New Roman" w:cs="仿宋_GB2312" w:hint="eastAsia"/>
          <w:snapToGrid/>
          <w:sz w:val="32"/>
          <w:szCs w:val="32"/>
          <w:lang w:val="zh-CN" w:eastAsia="zh-CN"/>
        </w:rPr>
        <w:t>《汽车结构用含钒钛高强热轧钢板及钢带》等</w:t>
      </w:r>
      <w:r>
        <w:rPr>
          <w:rFonts w:ascii="Times New Roman" w:eastAsia="仿宋_GB2312" w:hAnsi="Times New Roman" w:cs="仿宋_GB2312" w:hint="eastAsia"/>
          <w:snapToGrid/>
          <w:sz w:val="32"/>
          <w:szCs w:val="32"/>
          <w:lang w:val="zh-CN" w:eastAsia="zh-CN"/>
        </w:rPr>
        <w:t>CSTM</w:t>
      </w:r>
      <w:r>
        <w:rPr>
          <w:rFonts w:ascii="Times New Roman" w:eastAsia="仿宋_GB2312" w:hAnsi="Times New Roman" w:cs="仿宋_GB2312" w:hint="eastAsia"/>
          <w:snapToGrid/>
          <w:sz w:val="32"/>
          <w:szCs w:val="32"/>
          <w:lang w:val="zh-CN" w:eastAsia="zh-CN"/>
        </w:rPr>
        <w:t>团体标准</w:t>
      </w:r>
      <w:r>
        <w:rPr>
          <w:rFonts w:ascii="Times New Roman" w:eastAsia="仿宋_GB2312" w:hAnsi="Times New Roman" w:cs="仿宋_GB2312" w:hint="eastAsia"/>
          <w:snapToGrid/>
          <w:sz w:val="32"/>
          <w:szCs w:val="32"/>
          <w:lang w:val="zh-CN" w:eastAsia="zh-CN"/>
        </w:rPr>
        <w:t>7</w:t>
      </w:r>
      <w:r>
        <w:rPr>
          <w:rFonts w:ascii="Times New Roman" w:eastAsia="仿宋_GB2312" w:hAnsi="Times New Roman" w:cs="仿宋_GB2312" w:hint="eastAsia"/>
          <w:snapToGrid/>
          <w:sz w:val="32"/>
          <w:szCs w:val="32"/>
          <w:lang w:val="zh-CN" w:eastAsia="zh-CN"/>
        </w:rPr>
        <w:t>项，</w:t>
      </w:r>
      <w:r>
        <w:rPr>
          <w:rFonts w:ascii="Times New Roman" w:eastAsia="仿宋_GB2312" w:hAnsi="Times New Roman" w:cs="仿宋_GB2312" w:hint="eastAsia"/>
          <w:snapToGrid/>
          <w:sz w:val="32"/>
          <w:szCs w:val="32"/>
          <w:lang w:val="zh-CN" w:eastAsia="zh-CN"/>
        </w:rPr>
        <w:t>CSTM</w:t>
      </w:r>
      <w:r>
        <w:rPr>
          <w:rFonts w:ascii="Times New Roman" w:eastAsia="仿宋_GB2312" w:hAnsi="Times New Roman" w:cs="仿宋_GB2312" w:hint="eastAsia"/>
          <w:snapToGrid/>
          <w:sz w:val="32"/>
          <w:szCs w:val="32"/>
          <w:lang w:val="en" w:eastAsia="zh-CN"/>
        </w:rPr>
        <w:t>/FC20</w:t>
      </w:r>
      <w:r>
        <w:rPr>
          <w:rFonts w:ascii="Times New Roman" w:eastAsia="仿宋_GB2312" w:hAnsi="Times New Roman" w:cs="仿宋_GB2312" w:hint="eastAsia"/>
          <w:snapToGrid/>
          <w:sz w:val="32"/>
          <w:szCs w:val="32"/>
          <w:lang w:val="en" w:eastAsia="zh-CN"/>
        </w:rPr>
        <w:t>归口申报的</w:t>
      </w:r>
      <w:r>
        <w:rPr>
          <w:rFonts w:ascii="Times New Roman" w:eastAsia="仿宋_GB2312" w:hAnsi="Times New Roman" w:cs="仿宋_GB2312" w:hint="eastAsia"/>
          <w:snapToGrid/>
          <w:sz w:val="32"/>
          <w:szCs w:val="32"/>
          <w:lang w:val="zh-CN" w:eastAsia="zh-CN"/>
        </w:rPr>
        <w:t>《钒钛磁铁矿镧、铈等</w:t>
      </w:r>
      <w:r>
        <w:rPr>
          <w:rFonts w:ascii="Times New Roman" w:eastAsia="仿宋_GB2312" w:hAnsi="Times New Roman" w:cs="仿宋_GB2312" w:hint="eastAsia"/>
          <w:snapToGrid/>
          <w:sz w:val="32"/>
          <w:szCs w:val="32"/>
          <w:lang w:val="zh-CN" w:eastAsia="zh-CN"/>
        </w:rPr>
        <w:t>15</w:t>
      </w:r>
      <w:r>
        <w:rPr>
          <w:rFonts w:ascii="Times New Roman" w:eastAsia="仿宋_GB2312" w:hAnsi="Times New Roman" w:cs="仿宋_GB2312" w:hint="eastAsia"/>
          <w:snapToGrid/>
          <w:sz w:val="32"/>
          <w:szCs w:val="32"/>
          <w:lang w:val="zh-CN" w:eastAsia="zh-CN"/>
        </w:rPr>
        <w:t>项稀土量的测定电感耦合等离子体质谱法》《钒酸钠第</w:t>
      </w: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部分：钒含量的测定</w:t>
      </w:r>
      <w:r>
        <w:rPr>
          <w:rFonts w:ascii="Times New Roman" w:eastAsia="仿宋_GB2312" w:hAnsi="Times New Roman" w:cs="仿宋_GB2312" w:hint="eastAsia"/>
          <w:snapToGrid/>
          <w:sz w:val="32"/>
          <w:szCs w:val="32"/>
          <w:lang w:val="zh-CN" w:eastAsia="zh-CN"/>
        </w:rPr>
        <w:t xml:space="preserve"> </w:t>
      </w:r>
      <w:r>
        <w:rPr>
          <w:rFonts w:ascii="Times New Roman" w:eastAsia="仿宋_GB2312" w:hAnsi="Times New Roman" w:cs="仿宋_GB2312" w:hint="eastAsia"/>
          <w:snapToGrid/>
          <w:sz w:val="32"/>
          <w:szCs w:val="32"/>
          <w:lang w:val="zh-CN" w:eastAsia="zh-CN"/>
        </w:rPr>
        <w:t>硫酸亚铁铵滴定法》</w:t>
      </w: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项</w:t>
      </w:r>
      <w:proofErr w:type="gramStart"/>
      <w:r>
        <w:rPr>
          <w:rFonts w:ascii="Times New Roman" w:eastAsia="仿宋_GB2312" w:hAnsi="Times New Roman" w:cs="仿宋_GB2312" w:hint="eastAsia"/>
          <w:snapToGrid/>
          <w:sz w:val="32"/>
          <w:szCs w:val="32"/>
          <w:lang w:val="zh-CN" w:eastAsia="zh-CN"/>
        </w:rPr>
        <w:t>标准获</w:t>
      </w:r>
      <w:proofErr w:type="gramEnd"/>
      <w:r>
        <w:rPr>
          <w:rFonts w:ascii="Times New Roman" w:eastAsia="仿宋_GB2312" w:hAnsi="Times New Roman" w:cs="仿宋_GB2312" w:hint="eastAsia"/>
          <w:snapToGrid/>
          <w:sz w:val="32"/>
          <w:szCs w:val="32"/>
          <w:lang w:val="zh-CN" w:eastAsia="zh-CN"/>
        </w:rPr>
        <w:t>评</w:t>
      </w:r>
      <w:r>
        <w:rPr>
          <w:rFonts w:ascii="Times New Roman" w:eastAsia="仿宋_GB2312" w:hAnsi="Times New Roman" w:cs="仿宋_GB2312" w:hint="eastAsia"/>
          <w:snapToGrid/>
          <w:sz w:val="32"/>
          <w:szCs w:val="32"/>
          <w:lang w:val="zh-CN" w:eastAsia="zh-CN"/>
        </w:rPr>
        <w:t>2024</w:t>
      </w:r>
      <w:r>
        <w:rPr>
          <w:rFonts w:ascii="Times New Roman" w:eastAsia="仿宋_GB2312" w:hAnsi="Times New Roman" w:cs="仿宋_GB2312" w:hint="eastAsia"/>
          <w:snapToGrid/>
          <w:sz w:val="32"/>
          <w:szCs w:val="32"/>
          <w:lang w:val="zh-CN" w:eastAsia="zh-CN"/>
        </w:rPr>
        <w:t>年</w:t>
      </w:r>
      <w:r>
        <w:rPr>
          <w:rFonts w:ascii="Times New Roman" w:eastAsia="仿宋_GB2312" w:hAnsi="Times New Roman" w:cs="仿宋_GB2312" w:hint="eastAsia"/>
          <w:snapToGrid/>
          <w:sz w:val="32"/>
          <w:szCs w:val="32"/>
          <w:lang w:val="zh-CN" w:eastAsia="zh-CN"/>
        </w:rPr>
        <w:t>CSTM</w:t>
      </w:r>
      <w:r>
        <w:rPr>
          <w:rFonts w:ascii="Times New Roman" w:eastAsia="仿宋_GB2312" w:hAnsi="Times New Roman" w:cs="仿宋_GB2312" w:hint="eastAsia"/>
          <w:snapToGrid/>
          <w:sz w:val="32"/>
          <w:szCs w:val="32"/>
          <w:lang w:val="zh-CN" w:eastAsia="zh-CN"/>
        </w:rPr>
        <w:t>团体标准创新贡献奖。</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en" w:eastAsia="zh-CN"/>
        </w:rPr>
        <w:t>（</w:t>
      </w:r>
      <w:r>
        <w:rPr>
          <w:rFonts w:ascii="Times New Roman" w:eastAsia="仿宋_GB2312" w:hAnsi="Times New Roman" w:cs="仿宋_GB2312" w:hint="eastAsia"/>
          <w:snapToGrid/>
          <w:sz w:val="32"/>
          <w:szCs w:val="32"/>
          <w:lang w:val="zh-CN" w:eastAsia="zh-CN"/>
        </w:rPr>
        <w:t>5</w:t>
      </w:r>
      <w:r>
        <w:rPr>
          <w:rFonts w:ascii="Times New Roman" w:eastAsia="仿宋_GB2312" w:hAnsi="Times New Roman" w:cs="仿宋_GB2312" w:hint="eastAsia"/>
          <w:snapToGrid/>
          <w:sz w:val="32"/>
          <w:szCs w:val="32"/>
          <w:lang w:val="en" w:eastAsia="zh-CN"/>
        </w:rPr>
        <w:t>）聚力“春雷”“铁拳”，严打</w:t>
      </w:r>
      <w:proofErr w:type="gramStart"/>
      <w:r>
        <w:rPr>
          <w:rFonts w:ascii="Times New Roman" w:eastAsia="仿宋_GB2312" w:hAnsi="Times New Roman" w:cs="仿宋_GB2312" w:hint="eastAsia"/>
          <w:snapToGrid/>
          <w:sz w:val="32"/>
          <w:szCs w:val="32"/>
          <w:lang w:val="en" w:eastAsia="zh-CN"/>
        </w:rPr>
        <w:t>违法成效</w:t>
      </w:r>
      <w:proofErr w:type="gramEnd"/>
      <w:r>
        <w:rPr>
          <w:rFonts w:ascii="Times New Roman" w:eastAsia="仿宋_GB2312" w:hAnsi="Times New Roman" w:cs="仿宋_GB2312" w:hint="eastAsia"/>
          <w:snapToGrid/>
          <w:sz w:val="32"/>
          <w:szCs w:val="32"/>
          <w:lang w:val="en" w:eastAsia="zh-CN"/>
        </w:rPr>
        <w:t>显著。紧盯民生关切和社会舆论反映强烈的突出问题，集中优势力量，纵深推进“春雷”“铁拳”行动。</w:t>
      </w:r>
      <w:r>
        <w:rPr>
          <w:rFonts w:ascii="Times New Roman" w:eastAsia="仿宋_GB2312" w:hAnsi="Times New Roman" w:cs="仿宋_GB2312" w:hint="eastAsia"/>
          <w:snapToGrid/>
          <w:sz w:val="32"/>
          <w:szCs w:val="32"/>
          <w:lang w:val="zh-CN" w:eastAsia="zh-CN"/>
        </w:rPr>
        <w:t>截至</w:t>
      </w:r>
      <w:r>
        <w:rPr>
          <w:rFonts w:ascii="Times New Roman" w:eastAsia="仿宋_GB2312" w:hAnsi="Times New Roman" w:cs="仿宋_GB2312" w:hint="eastAsia"/>
          <w:snapToGrid/>
          <w:sz w:val="32"/>
          <w:szCs w:val="32"/>
          <w:lang w:eastAsia="zh-CN"/>
        </w:rPr>
        <w:t>3</w:t>
      </w:r>
      <w:r>
        <w:rPr>
          <w:rFonts w:ascii="Times New Roman" w:eastAsia="仿宋_GB2312" w:hAnsi="Times New Roman" w:cs="仿宋_GB2312" w:hint="eastAsia"/>
          <w:snapToGrid/>
          <w:sz w:val="32"/>
          <w:szCs w:val="32"/>
          <w:lang w:eastAsia="zh-CN"/>
        </w:rPr>
        <w:t>月末</w:t>
      </w:r>
      <w:r>
        <w:rPr>
          <w:rFonts w:ascii="Times New Roman" w:eastAsia="仿宋_GB2312" w:hAnsi="Times New Roman" w:cs="仿宋_GB2312" w:hint="eastAsia"/>
          <w:snapToGrid/>
          <w:sz w:val="32"/>
          <w:szCs w:val="32"/>
          <w:lang w:val="zh-CN" w:eastAsia="zh-CN"/>
        </w:rPr>
        <w:t>，全市市场监管系统查办各类案件</w:t>
      </w:r>
      <w:r>
        <w:rPr>
          <w:rFonts w:ascii="Times New Roman" w:eastAsia="仿宋_GB2312" w:hAnsi="Times New Roman" w:cs="仿宋_GB2312" w:hint="eastAsia"/>
          <w:snapToGrid/>
          <w:sz w:val="32"/>
          <w:szCs w:val="32"/>
          <w:lang w:val="zh-CN" w:eastAsia="zh-CN"/>
        </w:rPr>
        <w:t>985</w:t>
      </w:r>
      <w:r>
        <w:rPr>
          <w:rFonts w:ascii="Times New Roman" w:eastAsia="仿宋_GB2312" w:hAnsi="Times New Roman" w:cs="仿宋_GB2312" w:hint="eastAsia"/>
          <w:snapToGrid/>
          <w:sz w:val="32"/>
          <w:szCs w:val="32"/>
          <w:lang w:val="zh-CN" w:eastAsia="zh-CN"/>
        </w:rPr>
        <w:t>件，罚没款</w:t>
      </w:r>
      <w:r>
        <w:rPr>
          <w:rFonts w:ascii="Times New Roman" w:eastAsia="仿宋_GB2312" w:hAnsi="Times New Roman" w:cs="仿宋_GB2312" w:hint="eastAsia"/>
          <w:snapToGrid/>
          <w:sz w:val="32"/>
          <w:szCs w:val="32"/>
          <w:lang w:val="zh-CN" w:eastAsia="zh-CN"/>
        </w:rPr>
        <w:t>600.16</w:t>
      </w:r>
      <w:r>
        <w:rPr>
          <w:rFonts w:ascii="Times New Roman" w:eastAsia="仿宋_GB2312" w:hAnsi="Times New Roman" w:cs="仿宋_GB2312" w:hint="eastAsia"/>
          <w:snapToGrid/>
          <w:sz w:val="32"/>
          <w:szCs w:val="32"/>
          <w:lang w:val="zh-CN" w:eastAsia="zh-CN"/>
        </w:rPr>
        <w:t>万元。</w:t>
      </w:r>
      <w:r>
        <w:rPr>
          <w:rFonts w:ascii="Times New Roman" w:eastAsia="仿宋_GB2312" w:hAnsi="Times New Roman" w:cs="仿宋_GB2312" w:hint="eastAsia"/>
          <w:snapToGrid/>
          <w:sz w:val="32"/>
          <w:szCs w:val="32"/>
          <w:lang w:val="en" w:eastAsia="zh-CN"/>
        </w:rPr>
        <w:t>执法质效稳步提升，</w:t>
      </w: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件案件被列为省局挂牌督办案件，</w:t>
      </w: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件案件入选省局“春雷行动</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”典型案例，</w:t>
      </w: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件案件入选全省消费维</w:t>
      </w:r>
      <w:proofErr w:type="gramStart"/>
      <w:r>
        <w:rPr>
          <w:rFonts w:ascii="Times New Roman" w:eastAsia="仿宋_GB2312" w:hAnsi="Times New Roman" w:cs="仿宋_GB2312" w:hint="eastAsia"/>
          <w:snapToGrid/>
          <w:sz w:val="32"/>
          <w:szCs w:val="32"/>
          <w:lang w:val="zh-CN" w:eastAsia="zh-CN"/>
        </w:rPr>
        <w:t>权行政</w:t>
      </w:r>
      <w:proofErr w:type="gramEnd"/>
      <w:r>
        <w:rPr>
          <w:rFonts w:ascii="Times New Roman" w:eastAsia="仿宋_GB2312" w:hAnsi="Times New Roman" w:cs="仿宋_GB2312" w:hint="eastAsia"/>
          <w:snapToGrid/>
          <w:sz w:val="32"/>
          <w:szCs w:val="32"/>
          <w:lang w:val="zh-CN" w:eastAsia="zh-CN"/>
        </w:rPr>
        <w:t>处罚十大典型案例，</w:t>
      </w: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件案件入选国家药监局南方医药经济研</w:t>
      </w:r>
      <w:r>
        <w:rPr>
          <w:rFonts w:ascii="Times New Roman" w:eastAsia="仿宋_GB2312" w:hAnsi="Times New Roman" w:cs="仿宋_GB2312" w:hint="eastAsia"/>
          <w:snapToGrid/>
          <w:sz w:val="32"/>
          <w:szCs w:val="32"/>
          <w:lang w:val="zh-CN" w:eastAsia="zh-CN"/>
        </w:rPr>
        <w:lastRenderedPageBreak/>
        <w:t>究所</w:t>
      </w:r>
      <w:r>
        <w:rPr>
          <w:rFonts w:ascii="Times New Roman" w:eastAsia="仿宋_GB2312" w:hAnsi="Times New Roman" w:cs="仿宋_GB2312" w:hint="eastAsia"/>
          <w:snapToGrid/>
          <w:sz w:val="32"/>
          <w:szCs w:val="32"/>
          <w:lang w:val="zh-CN" w:eastAsia="zh-CN"/>
        </w:rPr>
        <w:t>2024</w:t>
      </w:r>
      <w:r>
        <w:rPr>
          <w:rFonts w:ascii="Times New Roman" w:eastAsia="仿宋_GB2312" w:hAnsi="Times New Roman" w:cs="仿宋_GB2312" w:hint="eastAsia"/>
          <w:snapToGrid/>
          <w:sz w:val="32"/>
          <w:szCs w:val="32"/>
          <w:lang w:val="zh-CN" w:eastAsia="zh-CN"/>
        </w:rPr>
        <w:t>年度药械网络销售监管案例汇编。全面推行“亮码入企”执法检查</w:t>
      </w:r>
      <w:r>
        <w:rPr>
          <w:rFonts w:ascii="Times New Roman" w:eastAsia="仿宋_GB2312" w:hAnsi="Times New Roman" w:cs="仿宋_GB2312" w:hint="eastAsia"/>
          <w:snapToGrid/>
          <w:sz w:val="32"/>
          <w:szCs w:val="32"/>
          <w:lang w:val="zh-CN" w:eastAsia="zh-CN"/>
        </w:rPr>
        <w:t>536</w:t>
      </w:r>
      <w:r>
        <w:rPr>
          <w:rFonts w:ascii="Times New Roman" w:eastAsia="仿宋_GB2312" w:hAnsi="Times New Roman" w:cs="仿宋_GB2312" w:hint="eastAsia"/>
          <w:snapToGrid/>
          <w:sz w:val="32"/>
          <w:szCs w:val="32"/>
          <w:lang w:val="zh-CN" w:eastAsia="zh-CN"/>
        </w:rPr>
        <w:t>次，实施“综合查一次”</w:t>
      </w:r>
      <w:r>
        <w:rPr>
          <w:rFonts w:ascii="Times New Roman" w:eastAsia="仿宋_GB2312" w:hAnsi="Times New Roman" w:cs="仿宋_GB2312" w:hint="eastAsia"/>
          <w:snapToGrid/>
          <w:sz w:val="32"/>
          <w:szCs w:val="32"/>
          <w:lang w:val="zh-CN" w:eastAsia="zh-CN"/>
        </w:rPr>
        <w:t>25</w:t>
      </w:r>
      <w:r>
        <w:rPr>
          <w:rFonts w:ascii="Times New Roman" w:eastAsia="仿宋_GB2312" w:hAnsi="Times New Roman" w:cs="仿宋_GB2312" w:hint="eastAsia"/>
          <w:snapToGrid/>
          <w:sz w:val="32"/>
          <w:szCs w:val="32"/>
          <w:lang w:val="zh-CN" w:eastAsia="zh-CN"/>
        </w:rPr>
        <w:t>次，推广“首违警示、合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指导、柔性裁量”，建立健全“三回头”跟踪机制，组织专家</w:t>
      </w:r>
      <w:r>
        <w:rPr>
          <w:rFonts w:ascii="Times New Roman" w:eastAsia="仿宋_GB2312" w:hAnsi="Times New Roman" w:cs="仿宋_GB2312" w:hint="eastAsia"/>
          <w:snapToGrid/>
          <w:sz w:val="32"/>
          <w:szCs w:val="32"/>
          <w:lang w:val="zh-CN" w:eastAsia="zh-CN"/>
        </w:rPr>
        <w:t>23</w:t>
      </w:r>
      <w:r>
        <w:rPr>
          <w:rFonts w:ascii="Times New Roman" w:eastAsia="仿宋_GB2312" w:hAnsi="Times New Roman" w:cs="仿宋_GB2312" w:hint="eastAsia"/>
          <w:snapToGrid/>
          <w:sz w:val="32"/>
          <w:szCs w:val="32"/>
          <w:lang w:val="zh-CN" w:eastAsia="zh-CN"/>
        </w:rPr>
        <w:t>人次深入企业开展“质量义诊”，为</w:t>
      </w:r>
      <w:r>
        <w:rPr>
          <w:rFonts w:ascii="Times New Roman" w:eastAsia="仿宋_GB2312" w:hAnsi="Times New Roman" w:cs="仿宋_GB2312" w:hint="eastAsia"/>
          <w:snapToGrid/>
          <w:sz w:val="32"/>
          <w:szCs w:val="32"/>
          <w:lang w:val="zh-CN" w:eastAsia="zh-CN"/>
        </w:rPr>
        <w:t>37</w:t>
      </w:r>
      <w:r>
        <w:rPr>
          <w:rFonts w:ascii="Times New Roman" w:eastAsia="仿宋_GB2312" w:hAnsi="Times New Roman" w:cs="仿宋_GB2312" w:hint="eastAsia"/>
          <w:snapToGrid/>
          <w:sz w:val="32"/>
          <w:szCs w:val="32"/>
          <w:lang w:val="zh-CN" w:eastAsia="zh-CN"/>
        </w:rPr>
        <w:t>家企业量身定制“</w:t>
      </w:r>
      <w:proofErr w:type="gramStart"/>
      <w:r>
        <w:rPr>
          <w:rFonts w:ascii="Times New Roman" w:eastAsia="仿宋_GB2312" w:hAnsi="Times New Roman" w:cs="仿宋_GB2312" w:hint="eastAsia"/>
          <w:snapToGrid/>
          <w:sz w:val="32"/>
          <w:szCs w:val="32"/>
          <w:lang w:val="zh-CN" w:eastAsia="zh-CN"/>
        </w:rPr>
        <w:t>一</w:t>
      </w:r>
      <w:proofErr w:type="gramEnd"/>
      <w:r>
        <w:rPr>
          <w:rFonts w:ascii="Times New Roman" w:eastAsia="仿宋_GB2312" w:hAnsi="Times New Roman" w:cs="仿宋_GB2312" w:hint="eastAsia"/>
          <w:snapToGrid/>
          <w:sz w:val="32"/>
          <w:szCs w:val="32"/>
          <w:lang w:val="zh-CN" w:eastAsia="zh-CN"/>
        </w:rPr>
        <w:t>企</w:t>
      </w:r>
      <w:proofErr w:type="gramStart"/>
      <w:r>
        <w:rPr>
          <w:rFonts w:ascii="Times New Roman" w:eastAsia="仿宋_GB2312" w:hAnsi="Times New Roman" w:cs="仿宋_GB2312" w:hint="eastAsia"/>
          <w:snapToGrid/>
          <w:sz w:val="32"/>
          <w:szCs w:val="32"/>
          <w:lang w:val="zh-CN" w:eastAsia="zh-CN"/>
        </w:rPr>
        <w:t>一</w:t>
      </w:r>
      <w:proofErr w:type="gramEnd"/>
      <w:r>
        <w:rPr>
          <w:rFonts w:ascii="Times New Roman" w:eastAsia="仿宋_GB2312" w:hAnsi="Times New Roman" w:cs="仿宋_GB2312" w:hint="eastAsia"/>
          <w:snapToGrid/>
          <w:sz w:val="32"/>
          <w:szCs w:val="32"/>
          <w:lang w:val="zh-CN" w:eastAsia="zh-CN"/>
        </w:rPr>
        <w:t>策”解决方案，助力企业实现降本节支</w:t>
      </w:r>
      <w:r>
        <w:rPr>
          <w:rFonts w:ascii="Times New Roman" w:eastAsia="仿宋_GB2312" w:hAnsi="Times New Roman" w:cs="仿宋_GB2312" w:hint="eastAsia"/>
          <w:snapToGrid/>
          <w:sz w:val="32"/>
          <w:szCs w:val="32"/>
          <w:lang w:val="zh-CN" w:eastAsia="zh-CN"/>
        </w:rPr>
        <w:t>60</w:t>
      </w:r>
      <w:r>
        <w:rPr>
          <w:rFonts w:ascii="Times New Roman" w:eastAsia="仿宋_GB2312" w:hAnsi="Times New Roman" w:cs="仿宋_GB2312" w:hint="eastAsia"/>
          <w:snapToGrid/>
          <w:sz w:val="32"/>
          <w:szCs w:val="32"/>
          <w:lang w:val="zh-CN" w:eastAsia="zh-CN"/>
        </w:rPr>
        <w:t>余万元，形成监管执法与指导帮扶良性互动格局。</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6</w:t>
      </w:r>
      <w:r>
        <w:rPr>
          <w:rFonts w:ascii="Times New Roman" w:eastAsia="仿宋_GB2312" w:hAnsi="Times New Roman" w:cs="仿宋_GB2312" w:hint="eastAsia"/>
          <w:snapToGrid/>
          <w:sz w:val="32"/>
          <w:szCs w:val="32"/>
          <w:lang w:val="zh-CN" w:eastAsia="zh-CN"/>
        </w:rPr>
        <w:t>）市场监管能力建设（含科研）。</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推进科普教育基地建设。充分发挥“天府科技云服务”普惠民共享基地作用，</w:t>
      </w:r>
      <w:r w:rsidR="0061664C">
        <w:rPr>
          <w:rFonts w:ascii="Times New Roman" w:eastAsia="仿宋_GB2312" w:hAnsi="Times New Roman" w:cs="仿宋_GB2312" w:hint="eastAsia"/>
          <w:snapToGrid/>
          <w:sz w:val="32"/>
          <w:szCs w:val="32"/>
          <w:lang w:val="zh-CN" w:eastAsia="zh-CN"/>
        </w:rPr>
        <w:t>截至目前</w:t>
      </w:r>
      <w:r>
        <w:rPr>
          <w:rFonts w:ascii="Times New Roman" w:eastAsia="仿宋_GB2312" w:hAnsi="Times New Roman" w:cs="仿宋_GB2312" w:hint="eastAsia"/>
          <w:snapToGrid/>
          <w:sz w:val="32"/>
          <w:szCs w:val="32"/>
          <w:lang w:val="zh-CN" w:eastAsia="zh-CN"/>
        </w:rPr>
        <w:t>，通过“天府科技云”平台发布</w:t>
      </w:r>
      <w:r>
        <w:rPr>
          <w:rFonts w:ascii="Times New Roman" w:eastAsia="仿宋_GB2312" w:hAnsi="Times New Roman" w:cs="仿宋_GB2312" w:hint="eastAsia"/>
          <w:snapToGrid/>
          <w:sz w:val="32"/>
          <w:szCs w:val="32"/>
          <w:lang w:val="zh-CN" w:eastAsia="zh-CN"/>
        </w:rPr>
        <w:t>4</w:t>
      </w:r>
      <w:r>
        <w:rPr>
          <w:rFonts w:ascii="Times New Roman" w:eastAsia="仿宋_GB2312" w:hAnsi="Times New Roman" w:cs="仿宋_GB2312" w:hint="eastAsia"/>
          <w:snapToGrid/>
          <w:sz w:val="32"/>
          <w:szCs w:val="32"/>
          <w:lang w:val="zh-CN" w:eastAsia="zh-CN"/>
        </w:rPr>
        <w:t>项科技所需所能，完成</w:t>
      </w:r>
      <w:r>
        <w:rPr>
          <w:rFonts w:ascii="Times New Roman" w:eastAsia="仿宋_GB2312" w:hAnsi="Times New Roman" w:cs="仿宋_GB2312" w:hint="eastAsia"/>
          <w:snapToGrid/>
          <w:sz w:val="32"/>
          <w:szCs w:val="32"/>
          <w:lang w:val="zh-CN" w:eastAsia="zh-CN"/>
        </w:rPr>
        <w:t>4</w:t>
      </w:r>
      <w:r>
        <w:rPr>
          <w:rFonts w:ascii="Times New Roman" w:eastAsia="仿宋_GB2312" w:hAnsi="Times New Roman" w:cs="仿宋_GB2312" w:hint="eastAsia"/>
          <w:snapToGrid/>
          <w:sz w:val="32"/>
          <w:szCs w:val="32"/>
          <w:lang w:val="zh-CN" w:eastAsia="zh-CN"/>
        </w:rPr>
        <w:t>项交易，打造</w:t>
      </w: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个</w:t>
      </w:r>
      <w:proofErr w:type="gramStart"/>
      <w:r>
        <w:rPr>
          <w:rFonts w:ascii="Times New Roman" w:eastAsia="仿宋_GB2312" w:hAnsi="Times New Roman" w:cs="仿宋_GB2312" w:hint="eastAsia"/>
          <w:snapToGrid/>
          <w:sz w:val="32"/>
          <w:szCs w:val="32"/>
          <w:lang w:val="zh-CN" w:eastAsia="zh-CN"/>
        </w:rPr>
        <w:t>示范科创</w:t>
      </w:r>
      <w:proofErr w:type="gramEnd"/>
      <w:r>
        <w:rPr>
          <w:rFonts w:ascii="Times New Roman" w:eastAsia="仿宋_GB2312" w:hAnsi="Times New Roman" w:cs="仿宋_GB2312" w:hint="eastAsia"/>
          <w:snapToGrid/>
          <w:sz w:val="32"/>
          <w:szCs w:val="32"/>
          <w:lang w:val="zh-CN" w:eastAsia="zh-CN"/>
        </w:rPr>
        <w:t>工作室，积极推荐“科创会”项目</w:t>
      </w: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个。积极组织系统内各技术机构进行科研项目储备，按照上级要求，认真完成了</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年度科技计划项目的申报工作，确保项目立项的科学性和公正性，在项目实施过程中加强监督和评估，保证了项目按时按质完成。攀西钒钛院</w:t>
      </w: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个项目成功获批省局科技计划项目立项。加强药品安全领域科技创新，积极申报药品安全科技项目并立项。推动公平竞争审查与合法性审查深度融合，联动铸牢初审触发、标准统一、清理互动、备案监督、</w:t>
      </w:r>
      <w:proofErr w:type="gramStart"/>
      <w:r>
        <w:rPr>
          <w:rFonts w:ascii="Times New Roman" w:eastAsia="仿宋_GB2312" w:hAnsi="Times New Roman" w:cs="仿宋_GB2312" w:hint="eastAsia"/>
          <w:snapToGrid/>
          <w:sz w:val="32"/>
          <w:szCs w:val="32"/>
          <w:lang w:val="zh-CN" w:eastAsia="zh-CN"/>
        </w:rPr>
        <w:t>培训提能五个</w:t>
      </w:r>
      <w:proofErr w:type="gramEnd"/>
      <w:r>
        <w:rPr>
          <w:rFonts w:ascii="Times New Roman" w:eastAsia="仿宋_GB2312" w:hAnsi="Times New Roman" w:cs="仿宋_GB2312" w:hint="eastAsia"/>
          <w:snapToGrid/>
          <w:sz w:val="32"/>
          <w:szCs w:val="32"/>
          <w:lang w:val="zh-CN" w:eastAsia="zh-CN"/>
        </w:rPr>
        <w:t>环节，实现“</w:t>
      </w:r>
      <w:r>
        <w:rPr>
          <w:rFonts w:ascii="Times New Roman" w:eastAsia="仿宋_GB2312" w:hAnsi="Times New Roman" w:cs="仿宋_GB2312" w:hint="eastAsia"/>
          <w:snapToGrid/>
          <w:sz w:val="32"/>
          <w:szCs w:val="32"/>
          <w:lang w:val="zh-CN" w:eastAsia="zh-CN"/>
        </w:rPr>
        <w:t>1+1&gt;2</w:t>
      </w:r>
      <w:r>
        <w:rPr>
          <w:rFonts w:ascii="Times New Roman" w:eastAsia="仿宋_GB2312" w:hAnsi="Times New Roman" w:cs="仿宋_GB2312" w:hint="eastAsia"/>
          <w:snapToGrid/>
          <w:sz w:val="32"/>
          <w:szCs w:val="32"/>
          <w:lang w:val="zh-CN" w:eastAsia="zh-CN"/>
        </w:rPr>
        <w:t>”的审查效应。引入第三方评估，对市政府及各部门公开发布的政策措施进行公平竞争审查抽查，共抽查政策措施</w:t>
      </w:r>
      <w:r>
        <w:rPr>
          <w:rFonts w:ascii="Times New Roman" w:eastAsia="仿宋_GB2312" w:hAnsi="Times New Roman" w:cs="仿宋_GB2312" w:hint="eastAsia"/>
          <w:snapToGrid/>
          <w:sz w:val="32"/>
          <w:szCs w:val="32"/>
          <w:lang w:val="zh-CN" w:eastAsia="zh-CN"/>
        </w:rPr>
        <w:t>201</w:t>
      </w:r>
      <w:r>
        <w:rPr>
          <w:rFonts w:ascii="Times New Roman" w:eastAsia="仿宋_GB2312" w:hAnsi="Times New Roman" w:cs="仿宋_GB2312" w:hint="eastAsia"/>
          <w:snapToGrid/>
          <w:sz w:val="32"/>
          <w:szCs w:val="32"/>
          <w:lang w:val="zh-CN" w:eastAsia="zh-CN"/>
        </w:rPr>
        <w:t>件。深化区域协同，与内江、资阳、自贡、璧山、铜梁签署《公平竞争审查一体化合作协议》，联合印发《公平竞争审</w:t>
      </w:r>
      <w:r>
        <w:rPr>
          <w:rFonts w:ascii="Times New Roman" w:eastAsia="仿宋_GB2312" w:hAnsi="Times New Roman" w:cs="仿宋_GB2312" w:hint="eastAsia"/>
          <w:snapToGrid/>
          <w:sz w:val="32"/>
          <w:szCs w:val="32"/>
          <w:lang w:val="zh-CN" w:eastAsia="zh-CN"/>
        </w:rPr>
        <w:lastRenderedPageBreak/>
        <w:t>查工作指引》，共建共享专家库，同时与重庆市长寿区、铜梁区开展交叉互评。严守增量“关口”，</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年前三季度全市共备案审查增量文件</w:t>
      </w:r>
      <w:r>
        <w:rPr>
          <w:rFonts w:ascii="Times New Roman" w:eastAsia="仿宋_GB2312" w:hAnsi="Times New Roman" w:cs="仿宋_GB2312" w:hint="eastAsia"/>
          <w:snapToGrid/>
          <w:sz w:val="32"/>
          <w:szCs w:val="32"/>
          <w:lang w:val="zh-CN" w:eastAsia="zh-CN"/>
        </w:rPr>
        <w:t>212</w:t>
      </w:r>
      <w:r>
        <w:rPr>
          <w:rFonts w:ascii="Times New Roman" w:eastAsia="仿宋_GB2312" w:hAnsi="Times New Roman" w:cs="仿宋_GB2312" w:hint="eastAsia"/>
          <w:snapToGrid/>
          <w:sz w:val="32"/>
          <w:szCs w:val="32"/>
          <w:lang w:val="zh-CN" w:eastAsia="zh-CN"/>
        </w:rPr>
        <w:t>件，会同审查重大政策措施</w:t>
      </w:r>
      <w:r>
        <w:rPr>
          <w:rFonts w:ascii="Times New Roman" w:eastAsia="仿宋_GB2312" w:hAnsi="Times New Roman" w:cs="仿宋_GB2312" w:hint="eastAsia"/>
          <w:snapToGrid/>
          <w:sz w:val="32"/>
          <w:szCs w:val="32"/>
          <w:lang w:val="zh-CN" w:eastAsia="zh-CN"/>
        </w:rPr>
        <w:t>93</w:t>
      </w:r>
      <w:r>
        <w:rPr>
          <w:rFonts w:ascii="Times New Roman" w:eastAsia="仿宋_GB2312" w:hAnsi="Times New Roman" w:cs="仿宋_GB2312" w:hint="eastAsia"/>
          <w:snapToGrid/>
          <w:sz w:val="32"/>
          <w:szCs w:val="32"/>
          <w:lang w:val="zh-CN" w:eastAsia="zh-CN"/>
        </w:rPr>
        <w:t>件，提出修改意见建议</w:t>
      </w:r>
      <w:r>
        <w:rPr>
          <w:rFonts w:ascii="Times New Roman" w:eastAsia="仿宋_GB2312" w:hAnsi="Times New Roman" w:cs="仿宋_GB2312" w:hint="eastAsia"/>
          <w:snapToGrid/>
          <w:sz w:val="32"/>
          <w:szCs w:val="32"/>
          <w:lang w:val="zh-CN" w:eastAsia="zh-CN"/>
        </w:rPr>
        <w:t>19</w:t>
      </w:r>
      <w:r>
        <w:rPr>
          <w:rFonts w:ascii="Times New Roman" w:eastAsia="仿宋_GB2312" w:hAnsi="Times New Roman" w:cs="仿宋_GB2312" w:hint="eastAsia"/>
          <w:snapToGrid/>
          <w:sz w:val="32"/>
          <w:szCs w:val="32"/>
          <w:lang w:val="zh-CN" w:eastAsia="zh-CN"/>
        </w:rPr>
        <w:t>条。</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年，全市共查办不正当竞争案件</w:t>
      </w:r>
      <w:r>
        <w:rPr>
          <w:rFonts w:ascii="Times New Roman" w:eastAsia="仿宋_GB2312" w:hAnsi="Times New Roman" w:cs="仿宋_GB2312" w:hint="eastAsia"/>
          <w:snapToGrid/>
          <w:sz w:val="32"/>
          <w:szCs w:val="32"/>
          <w:lang w:val="zh-CN" w:eastAsia="zh-CN"/>
        </w:rPr>
        <w:t>16</w:t>
      </w:r>
      <w:r>
        <w:rPr>
          <w:rFonts w:ascii="Times New Roman" w:eastAsia="仿宋_GB2312" w:hAnsi="Times New Roman" w:cs="仿宋_GB2312" w:hint="eastAsia"/>
          <w:snapToGrid/>
          <w:sz w:val="32"/>
          <w:szCs w:val="32"/>
          <w:lang w:val="zh-CN" w:eastAsia="zh-CN"/>
        </w:rPr>
        <w:t>件，罚没款</w:t>
      </w:r>
      <w:r>
        <w:rPr>
          <w:rFonts w:ascii="Times New Roman" w:eastAsia="仿宋_GB2312" w:hAnsi="Times New Roman" w:cs="仿宋_GB2312" w:hint="eastAsia"/>
          <w:snapToGrid/>
          <w:sz w:val="32"/>
          <w:szCs w:val="32"/>
          <w:lang w:val="zh-CN" w:eastAsia="zh-CN"/>
        </w:rPr>
        <w:t>20.2</w:t>
      </w:r>
      <w:r>
        <w:rPr>
          <w:rFonts w:ascii="Times New Roman" w:eastAsia="仿宋_GB2312" w:hAnsi="Times New Roman" w:cs="仿宋_GB2312" w:hint="eastAsia"/>
          <w:snapToGrid/>
          <w:sz w:val="32"/>
          <w:szCs w:val="32"/>
          <w:lang w:val="zh-CN" w:eastAsia="zh-CN"/>
        </w:rPr>
        <w:t>万元，</w:t>
      </w: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件案件入选全省典型案例。</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7</w:t>
      </w:r>
      <w:r>
        <w:rPr>
          <w:rFonts w:ascii="Times New Roman" w:eastAsia="仿宋_GB2312" w:hAnsi="Times New Roman" w:cs="仿宋_GB2312" w:hint="eastAsia"/>
          <w:snapToGrid/>
          <w:sz w:val="32"/>
          <w:szCs w:val="32"/>
          <w:lang w:val="zh-CN" w:eastAsia="zh-CN"/>
        </w:rPr>
        <w:t>）市场监管综合业务。</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聚焦“一个大市场”建设，全面优化营商环境。一是优化市场环境，大力实施促进经营主体增加、发展能力增强、从业人员增收的“三增”行动，推行从“准入预服务”到“除名试点”的全生命周期服务，集成</w:t>
      </w:r>
      <w:r>
        <w:rPr>
          <w:rFonts w:ascii="Times New Roman" w:eastAsia="仿宋_GB2312" w:hAnsi="Times New Roman" w:cs="仿宋_GB2312" w:hint="eastAsia"/>
          <w:snapToGrid/>
          <w:sz w:val="32"/>
          <w:szCs w:val="32"/>
          <w:lang w:val="zh-CN" w:eastAsia="zh-CN"/>
        </w:rPr>
        <w:t>82</w:t>
      </w:r>
      <w:r>
        <w:rPr>
          <w:rFonts w:ascii="Times New Roman" w:eastAsia="仿宋_GB2312" w:hAnsi="Times New Roman" w:cs="仿宋_GB2312" w:hint="eastAsia"/>
          <w:snapToGrid/>
          <w:sz w:val="32"/>
          <w:szCs w:val="32"/>
          <w:lang w:val="zh-CN" w:eastAsia="zh-CN"/>
        </w:rPr>
        <w:t>个事项实施“高效办成一件事”改革，精准滴灌企业需求，经营主体登记提速</w:t>
      </w:r>
      <w:r>
        <w:rPr>
          <w:rFonts w:ascii="Times New Roman" w:eastAsia="仿宋_GB2312" w:hAnsi="Times New Roman" w:cs="仿宋_GB2312" w:hint="eastAsia"/>
          <w:snapToGrid/>
          <w:sz w:val="32"/>
          <w:szCs w:val="32"/>
          <w:lang w:val="zh-CN" w:eastAsia="zh-CN"/>
        </w:rPr>
        <w:t>80%</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年全市新登记经营主体</w:t>
      </w:r>
      <w:r>
        <w:rPr>
          <w:rFonts w:ascii="Times New Roman" w:eastAsia="仿宋_GB2312" w:hAnsi="Times New Roman" w:cs="仿宋_GB2312" w:hint="eastAsia"/>
          <w:snapToGrid/>
          <w:sz w:val="32"/>
          <w:szCs w:val="32"/>
          <w:lang w:val="zh-CN" w:eastAsia="zh-CN"/>
        </w:rPr>
        <w:t>1.18</w:t>
      </w:r>
      <w:r>
        <w:rPr>
          <w:rFonts w:ascii="Times New Roman" w:eastAsia="仿宋_GB2312" w:hAnsi="Times New Roman" w:cs="仿宋_GB2312" w:hint="eastAsia"/>
          <w:snapToGrid/>
          <w:sz w:val="32"/>
          <w:szCs w:val="32"/>
          <w:lang w:val="zh-CN" w:eastAsia="zh-CN"/>
        </w:rPr>
        <w:t>万户，净增</w:t>
      </w:r>
      <w:r>
        <w:rPr>
          <w:rFonts w:ascii="Times New Roman" w:eastAsia="仿宋_GB2312" w:hAnsi="Times New Roman" w:cs="仿宋_GB2312" w:hint="eastAsia"/>
          <w:snapToGrid/>
          <w:sz w:val="32"/>
          <w:szCs w:val="32"/>
          <w:lang w:val="zh-CN" w:eastAsia="zh-CN"/>
        </w:rPr>
        <w:t>3138</w:t>
      </w:r>
      <w:r>
        <w:rPr>
          <w:rFonts w:ascii="Times New Roman" w:eastAsia="仿宋_GB2312" w:hAnsi="Times New Roman" w:cs="仿宋_GB2312" w:hint="eastAsia"/>
          <w:snapToGrid/>
          <w:sz w:val="32"/>
          <w:szCs w:val="32"/>
          <w:lang w:val="zh-CN" w:eastAsia="zh-CN"/>
        </w:rPr>
        <w:t>户，同比增加</w:t>
      </w:r>
      <w:r>
        <w:rPr>
          <w:rFonts w:ascii="Times New Roman" w:eastAsia="仿宋_GB2312" w:hAnsi="Times New Roman" w:cs="仿宋_GB2312" w:hint="eastAsia"/>
          <w:snapToGrid/>
          <w:sz w:val="32"/>
          <w:szCs w:val="32"/>
          <w:lang w:val="zh-CN" w:eastAsia="zh-CN"/>
        </w:rPr>
        <w:t>98.</w:t>
      </w:r>
      <w:r>
        <w:rPr>
          <w:rFonts w:ascii="Times New Roman" w:eastAsia="仿宋_GB2312" w:hAnsi="Times New Roman" w:cs="仿宋_GB2312" w:hint="eastAsia"/>
          <w:snapToGrid/>
          <w:sz w:val="32"/>
          <w:szCs w:val="32"/>
          <w:lang w:eastAsia="zh-CN"/>
        </w:rPr>
        <w:t>4</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，全市个体工商户实现营业收入</w:t>
      </w:r>
      <w:r>
        <w:rPr>
          <w:rFonts w:ascii="Times New Roman" w:eastAsia="仿宋_GB2312" w:hAnsi="Times New Roman" w:cs="仿宋_GB2312" w:hint="eastAsia"/>
          <w:snapToGrid/>
          <w:sz w:val="32"/>
          <w:szCs w:val="32"/>
          <w:lang w:val="zh-CN" w:eastAsia="zh-CN"/>
        </w:rPr>
        <w:t>248</w:t>
      </w:r>
      <w:r>
        <w:rPr>
          <w:rFonts w:ascii="Times New Roman" w:eastAsia="仿宋_GB2312" w:hAnsi="Times New Roman" w:cs="仿宋_GB2312" w:hint="eastAsia"/>
          <w:snapToGrid/>
          <w:sz w:val="32"/>
          <w:szCs w:val="32"/>
          <w:lang w:val="zh-CN" w:eastAsia="zh-CN"/>
        </w:rPr>
        <w:t>亿元，同比增长</w:t>
      </w:r>
      <w:r>
        <w:rPr>
          <w:rFonts w:ascii="Times New Roman" w:eastAsia="仿宋_GB2312" w:hAnsi="Times New Roman" w:cs="仿宋_GB2312" w:hint="eastAsia"/>
          <w:snapToGrid/>
          <w:sz w:val="32"/>
          <w:szCs w:val="32"/>
          <w:lang w:val="zh-CN" w:eastAsia="zh-CN"/>
        </w:rPr>
        <w:t>19.8%</w:t>
      </w:r>
      <w:r>
        <w:rPr>
          <w:rFonts w:ascii="Times New Roman" w:eastAsia="仿宋_GB2312" w:hAnsi="Times New Roman" w:cs="仿宋_GB2312" w:hint="eastAsia"/>
          <w:snapToGrid/>
          <w:sz w:val="32"/>
          <w:szCs w:val="32"/>
          <w:lang w:val="zh-CN" w:eastAsia="zh-CN"/>
        </w:rPr>
        <w:t>。培育</w:t>
      </w: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名优秀中国特色社会主义建设者。二是优化消费环境，聚焦提</w:t>
      </w:r>
      <w:proofErr w:type="gramStart"/>
      <w:r>
        <w:rPr>
          <w:rFonts w:ascii="Times New Roman" w:eastAsia="仿宋_GB2312" w:hAnsi="Times New Roman" w:cs="仿宋_GB2312" w:hint="eastAsia"/>
          <w:snapToGrid/>
          <w:sz w:val="32"/>
          <w:szCs w:val="32"/>
          <w:lang w:val="zh-CN" w:eastAsia="zh-CN"/>
        </w:rPr>
        <w:t>振消费</w:t>
      </w:r>
      <w:proofErr w:type="gramEnd"/>
      <w:r>
        <w:rPr>
          <w:rFonts w:ascii="Times New Roman" w:eastAsia="仿宋_GB2312" w:hAnsi="Times New Roman" w:cs="仿宋_GB2312" w:hint="eastAsia"/>
          <w:snapToGrid/>
          <w:sz w:val="32"/>
          <w:szCs w:val="32"/>
          <w:lang w:val="zh-CN" w:eastAsia="zh-CN"/>
        </w:rPr>
        <w:t>五大工程和</w:t>
      </w:r>
      <w:proofErr w:type="gramStart"/>
      <w:r>
        <w:rPr>
          <w:rFonts w:ascii="Times New Roman" w:eastAsia="仿宋_GB2312" w:hAnsi="Times New Roman" w:cs="仿宋_GB2312" w:hint="eastAsia"/>
          <w:snapToGrid/>
          <w:sz w:val="32"/>
          <w:szCs w:val="32"/>
          <w:lang w:val="zh-CN" w:eastAsia="zh-CN"/>
        </w:rPr>
        <w:t>文旅康养</w:t>
      </w:r>
      <w:proofErr w:type="gramEnd"/>
      <w:r>
        <w:rPr>
          <w:rFonts w:ascii="Times New Roman" w:eastAsia="仿宋_GB2312" w:hAnsi="Times New Roman" w:cs="仿宋_GB2312" w:hint="eastAsia"/>
          <w:snapToGrid/>
          <w:sz w:val="32"/>
          <w:szCs w:val="32"/>
          <w:lang w:val="zh-CN" w:eastAsia="zh-CN"/>
        </w:rPr>
        <w:t>深度融合发展，实施优化消费环境行动，培育发展放心舒心消费基础单元</w:t>
      </w:r>
      <w:r>
        <w:rPr>
          <w:rFonts w:ascii="Times New Roman" w:eastAsia="仿宋_GB2312" w:hAnsi="Times New Roman" w:cs="仿宋_GB2312" w:hint="eastAsia"/>
          <w:snapToGrid/>
          <w:sz w:val="32"/>
          <w:szCs w:val="32"/>
          <w:lang w:val="zh-CN" w:eastAsia="zh-CN"/>
        </w:rPr>
        <w:t>828</w:t>
      </w:r>
      <w:r>
        <w:rPr>
          <w:rFonts w:ascii="Times New Roman" w:eastAsia="仿宋_GB2312" w:hAnsi="Times New Roman" w:cs="仿宋_GB2312" w:hint="eastAsia"/>
          <w:snapToGrid/>
          <w:sz w:val="32"/>
          <w:szCs w:val="32"/>
          <w:lang w:val="zh-CN" w:eastAsia="zh-CN"/>
        </w:rPr>
        <w:t>个、集聚区</w:t>
      </w:r>
      <w:r>
        <w:rPr>
          <w:rFonts w:ascii="Times New Roman" w:eastAsia="仿宋_GB2312" w:hAnsi="Times New Roman" w:cs="仿宋_GB2312" w:hint="eastAsia"/>
          <w:snapToGrid/>
          <w:sz w:val="32"/>
          <w:szCs w:val="32"/>
          <w:lang w:val="zh-CN" w:eastAsia="zh-CN"/>
        </w:rPr>
        <w:t>37</w:t>
      </w:r>
      <w:r>
        <w:rPr>
          <w:rFonts w:ascii="Times New Roman" w:eastAsia="仿宋_GB2312" w:hAnsi="Times New Roman" w:cs="仿宋_GB2312" w:hint="eastAsia"/>
          <w:snapToGrid/>
          <w:sz w:val="32"/>
          <w:szCs w:val="32"/>
          <w:lang w:val="zh-CN" w:eastAsia="zh-CN"/>
        </w:rPr>
        <w:t>个、“为你点赞”放心消费经营单位</w:t>
      </w:r>
      <w:r>
        <w:rPr>
          <w:rFonts w:ascii="Times New Roman" w:eastAsia="仿宋_GB2312" w:hAnsi="Times New Roman" w:cs="仿宋_GB2312" w:hint="eastAsia"/>
          <w:snapToGrid/>
          <w:sz w:val="32"/>
          <w:szCs w:val="32"/>
          <w:lang w:val="zh-CN" w:eastAsia="zh-CN"/>
        </w:rPr>
        <w:t>30</w:t>
      </w:r>
      <w:r>
        <w:rPr>
          <w:rFonts w:ascii="Times New Roman" w:eastAsia="仿宋_GB2312" w:hAnsi="Times New Roman" w:cs="仿宋_GB2312" w:hint="eastAsia"/>
          <w:snapToGrid/>
          <w:sz w:val="32"/>
          <w:szCs w:val="32"/>
          <w:lang w:val="zh-CN" w:eastAsia="zh-CN"/>
        </w:rPr>
        <w:t>个。探索实施消费维权“红黑榜”重点公示制度，构建消费维权“五个一”及应对异常投诉举报行为工作机制，目前全市消费投诉信息公示率</w:t>
      </w:r>
      <w:r>
        <w:rPr>
          <w:rFonts w:ascii="Times New Roman" w:eastAsia="仿宋_GB2312" w:hAnsi="Times New Roman" w:cs="仿宋_GB2312" w:hint="eastAsia"/>
          <w:snapToGrid/>
          <w:sz w:val="32"/>
          <w:szCs w:val="32"/>
          <w:lang w:val="zh-CN" w:eastAsia="zh-CN"/>
        </w:rPr>
        <w:t>98.7%</w:t>
      </w:r>
      <w:r>
        <w:rPr>
          <w:rFonts w:ascii="Times New Roman" w:eastAsia="仿宋_GB2312" w:hAnsi="Times New Roman" w:cs="仿宋_GB2312" w:hint="eastAsia"/>
          <w:snapToGrid/>
          <w:sz w:val="32"/>
          <w:szCs w:val="32"/>
          <w:lang w:val="zh-CN" w:eastAsia="zh-CN"/>
        </w:rPr>
        <w:t>，高于全国平均水平</w:t>
      </w:r>
      <w:r>
        <w:rPr>
          <w:rFonts w:ascii="Times New Roman" w:eastAsia="仿宋_GB2312" w:hAnsi="Times New Roman" w:cs="仿宋_GB2312" w:hint="eastAsia"/>
          <w:snapToGrid/>
          <w:sz w:val="32"/>
          <w:szCs w:val="32"/>
          <w:lang w:val="zh-CN" w:eastAsia="zh-CN"/>
        </w:rPr>
        <w:t>0.47</w:t>
      </w:r>
      <w:r>
        <w:rPr>
          <w:rFonts w:ascii="Times New Roman" w:eastAsia="仿宋_GB2312" w:hAnsi="Times New Roman" w:cs="仿宋_GB2312" w:hint="eastAsia"/>
          <w:snapToGrid/>
          <w:sz w:val="32"/>
          <w:szCs w:val="32"/>
          <w:lang w:val="zh-CN" w:eastAsia="zh-CN"/>
        </w:rPr>
        <w:t>个百分点；</w:t>
      </w:r>
      <w:r>
        <w:rPr>
          <w:rFonts w:ascii="Times New Roman" w:eastAsia="仿宋_GB2312" w:hAnsi="Times New Roman" w:cs="仿宋_GB2312" w:hint="eastAsia"/>
          <w:snapToGrid/>
          <w:sz w:val="32"/>
          <w:szCs w:val="32"/>
          <w:lang w:val="zh-CN" w:eastAsia="zh-CN"/>
        </w:rPr>
        <w:t>12315</w:t>
      </w:r>
      <w:r>
        <w:rPr>
          <w:rFonts w:ascii="Times New Roman" w:eastAsia="仿宋_GB2312" w:hAnsi="Times New Roman" w:cs="仿宋_GB2312" w:hint="eastAsia"/>
          <w:snapToGrid/>
          <w:sz w:val="32"/>
          <w:szCs w:val="32"/>
          <w:lang w:val="zh-CN" w:eastAsia="zh-CN"/>
        </w:rPr>
        <w:t>平台投诉按时初查率、办结率和核查率首次均达</w:t>
      </w:r>
      <w:r>
        <w:rPr>
          <w:rFonts w:ascii="Times New Roman" w:eastAsia="仿宋_GB2312" w:hAnsi="Times New Roman" w:cs="仿宋_GB2312" w:hint="eastAsia"/>
          <w:snapToGrid/>
          <w:sz w:val="32"/>
          <w:szCs w:val="32"/>
          <w:lang w:val="zh-CN" w:eastAsia="zh-CN"/>
        </w:rPr>
        <w:t>100%</w:t>
      </w:r>
      <w:r>
        <w:rPr>
          <w:rFonts w:ascii="Times New Roman" w:eastAsia="仿宋_GB2312" w:hAnsi="Times New Roman" w:cs="仿宋_GB2312" w:hint="eastAsia"/>
          <w:snapToGrid/>
          <w:sz w:val="32"/>
          <w:szCs w:val="32"/>
          <w:lang w:val="zh-CN" w:eastAsia="zh-CN"/>
        </w:rPr>
        <w:t>，消费调解成功率</w:t>
      </w:r>
      <w:r>
        <w:rPr>
          <w:rFonts w:ascii="Times New Roman" w:eastAsia="仿宋_GB2312" w:hAnsi="Times New Roman" w:cs="仿宋_GB2312" w:hint="eastAsia"/>
          <w:snapToGrid/>
          <w:sz w:val="32"/>
          <w:szCs w:val="32"/>
          <w:lang w:val="zh-CN" w:eastAsia="zh-CN"/>
        </w:rPr>
        <w:t>70.</w:t>
      </w:r>
      <w:r>
        <w:rPr>
          <w:rFonts w:ascii="Times New Roman" w:eastAsia="仿宋_GB2312" w:hAnsi="Times New Roman" w:cs="仿宋_GB2312" w:hint="eastAsia"/>
          <w:snapToGrid/>
          <w:sz w:val="32"/>
          <w:szCs w:val="32"/>
          <w:lang w:eastAsia="zh-CN"/>
        </w:rPr>
        <w:t>5</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，分别高于全国</w:t>
      </w:r>
      <w:r>
        <w:rPr>
          <w:rFonts w:ascii="Times New Roman" w:eastAsia="仿宋_GB2312" w:hAnsi="Times New Roman" w:cs="仿宋_GB2312" w:hint="eastAsia"/>
          <w:snapToGrid/>
          <w:sz w:val="32"/>
          <w:szCs w:val="32"/>
          <w:lang w:val="zh-CN" w:eastAsia="zh-CN"/>
        </w:rPr>
        <w:t>15.5%</w:t>
      </w:r>
      <w:r>
        <w:rPr>
          <w:rFonts w:ascii="Times New Roman" w:eastAsia="仿宋_GB2312" w:hAnsi="Times New Roman" w:cs="仿宋_GB2312" w:hint="eastAsia"/>
          <w:snapToGrid/>
          <w:sz w:val="32"/>
          <w:szCs w:val="32"/>
          <w:lang w:val="zh-CN" w:eastAsia="zh-CN"/>
        </w:rPr>
        <w:t>、全省</w:t>
      </w:r>
      <w:r>
        <w:rPr>
          <w:rFonts w:ascii="Times New Roman" w:eastAsia="仿宋_GB2312" w:hAnsi="Times New Roman" w:cs="仿宋_GB2312" w:hint="eastAsia"/>
          <w:snapToGrid/>
          <w:sz w:val="32"/>
          <w:szCs w:val="32"/>
          <w:lang w:val="zh-CN" w:eastAsia="zh-CN"/>
        </w:rPr>
        <w:t>6.</w:t>
      </w:r>
      <w:r>
        <w:rPr>
          <w:rFonts w:ascii="Times New Roman" w:eastAsia="仿宋_GB2312" w:hAnsi="Times New Roman" w:cs="仿宋_GB2312" w:hint="eastAsia"/>
          <w:snapToGrid/>
          <w:sz w:val="32"/>
          <w:szCs w:val="32"/>
          <w:lang w:eastAsia="zh-CN"/>
        </w:rPr>
        <w:t>1</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，市消委会连续</w:t>
      </w:r>
      <w:r>
        <w:rPr>
          <w:rFonts w:ascii="Times New Roman" w:eastAsia="仿宋_GB2312" w:hAnsi="Times New Roman" w:cs="仿宋_GB2312" w:hint="eastAsia"/>
          <w:snapToGrid/>
          <w:sz w:val="32"/>
          <w:szCs w:val="32"/>
          <w:lang w:val="zh-CN" w:eastAsia="zh-CN"/>
        </w:rPr>
        <w:lastRenderedPageBreak/>
        <w:t>三届获评全国消协先进组织，连续三年我市消费者满意度排名全省前五。三是优化竞争环境。贯彻全国统一大市场建设部署，深化川</w:t>
      </w:r>
      <w:proofErr w:type="gramStart"/>
      <w:r>
        <w:rPr>
          <w:rFonts w:ascii="Times New Roman" w:eastAsia="仿宋_GB2312" w:hAnsi="Times New Roman" w:cs="仿宋_GB2312" w:hint="eastAsia"/>
          <w:snapToGrid/>
          <w:sz w:val="32"/>
          <w:szCs w:val="32"/>
          <w:lang w:val="zh-CN" w:eastAsia="zh-CN"/>
        </w:rPr>
        <w:t>渝竞争</w:t>
      </w:r>
      <w:proofErr w:type="gramEnd"/>
      <w:r>
        <w:rPr>
          <w:rFonts w:ascii="Times New Roman" w:eastAsia="仿宋_GB2312" w:hAnsi="Times New Roman" w:cs="仿宋_GB2312" w:hint="eastAsia"/>
          <w:snapToGrid/>
          <w:sz w:val="32"/>
          <w:szCs w:val="32"/>
          <w:lang w:val="zh-CN" w:eastAsia="zh-CN"/>
        </w:rPr>
        <w:t>审查一体化协作，出台全市合法性审查与公平竞争审查衔接联动机制，会审重大政策措施</w:t>
      </w:r>
      <w:r>
        <w:rPr>
          <w:rFonts w:ascii="Times New Roman" w:eastAsia="仿宋_GB2312" w:hAnsi="Times New Roman" w:cs="仿宋_GB2312" w:hint="eastAsia"/>
          <w:snapToGrid/>
          <w:sz w:val="32"/>
          <w:szCs w:val="32"/>
          <w:lang w:val="zh-CN" w:eastAsia="zh-CN"/>
        </w:rPr>
        <w:t>148</w:t>
      </w:r>
      <w:r>
        <w:rPr>
          <w:rFonts w:ascii="Times New Roman" w:eastAsia="仿宋_GB2312" w:hAnsi="Times New Roman" w:cs="仿宋_GB2312" w:hint="eastAsia"/>
          <w:snapToGrid/>
          <w:sz w:val="32"/>
          <w:szCs w:val="32"/>
          <w:lang w:val="zh-CN" w:eastAsia="zh-CN"/>
        </w:rPr>
        <w:t>件。在全省率先发布实施国有企业、行业协会两项竞争合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地方标准，查办不正当竞争案件</w:t>
      </w:r>
      <w:r>
        <w:rPr>
          <w:rFonts w:ascii="Times New Roman" w:eastAsia="仿宋_GB2312" w:hAnsi="Times New Roman" w:cs="仿宋_GB2312" w:hint="eastAsia"/>
          <w:snapToGrid/>
          <w:sz w:val="32"/>
          <w:szCs w:val="32"/>
          <w:lang w:val="zh-CN" w:eastAsia="zh-CN"/>
        </w:rPr>
        <w:t>18</w:t>
      </w:r>
      <w:r>
        <w:rPr>
          <w:rFonts w:ascii="Times New Roman" w:eastAsia="仿宋_GB2312" w:hAnsi="Times New Roman" w:cs="仿宋_GB2312" w:hint="eastAsia"/>
          <w:snapToGrid/>
          <w:sz w:val="32"/>
          <w:szCs w:val="32"/>
          <w:lang w:val="zh-CN" w:eastAsia="zh-CN"/>
        </w:rPr>
        <w:t>件。培育商业秘密保护创新试点企业，华森糖业等</w:t>
      </w:r>
      <w:r>
        <w:rPr>
          <w:rFonts w:ascii="Times New Roman" w:eastAsia="仿宋_GB2312" w:hAnsi="Times New Roman" w:cs="仿宋_GB2312" w:hint="eastAsia"/>
          <w:snapToGrid/>
          <w:sz w:val="32"/>
          <w:szCs w:val="32"/>
          <w:lang w:val="zh-CN" w:eastAsia="zh-CN"/>
        </w:rPr>
        <w:t>5</w:t>
      </w:r>
      <w:r>
        <w:rPr>
          <w:rFonts w:ascii="Times New Roman" w:eastAsia="仿宋_GB2312" w:hAnsi="Times New Roman" w:cs="仿宋_GB2312" w:hint="eastAsia"/>
          <w:snapToGrid/>
          <w:sz w:val="32"/>
          <w:szCs w:val="32"/>
          <w:lang w:val="zh-CN" w:eastAsia="zh-CN"/>
        </w:rPr>
        <w:t>家企业成功创建全省商业秘密保护创新试点基地。</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聚焦“三个纲要”落实，全面服务发展大局。一是突出质量服务，系统推进钒钛产业强链、梯次培育强企、建设质量强县行动，实施</w:t>
      </w:r>
      <w:r>
        <w:rPr>
          <w:rFonts w:ascii="Times New Roman" w:eastAsia="仿宋_GB2312" w:hAnsi="Times New Roman" w:cs="仿宋_GB2312" w:hint="eastAsia"/>
          <w:snapToGrid/>
          <w:sz w:val="32"/>
          <w:szCs w:val="32"/>
          <w:lang w:val="zh-CN" w:eastAsia="zh-CN"/>
        </w:rPr>
        <w:t>10</w:t>
      </w:r>
      <w:r>
        <w:rPr>
          <w:rFonts w:ascii="Times New Roman" w:eastAsia="仿宋_GB2312" w:hAnsi="Times New Roman" w:cs="仿宋_GB2312" w:hint="eastAsia"/>
          <w:snapToGrid/>
          <w:sz w:val="32"/>
          <w:szCs w:val="32"/>
          <w:lang w:val="zh-CN" w:eastAsia="zh-CN"/>
        </w:rPr>
        <w:t>个重点项目、</w:t>
      </w:r>
      <w:r>
        <w:rPr>
          <w:rFonts w:ascii="Times New Roman" w:eastAsia="仿宋_GB2312" w:hAnsi="Times New Roman" w:cs="仿宋_GB2312" w:hint="eastAsia"/>
          <w:snapToGrid/>
          <w:sz w:val="32"/>
          <w:szCs w:val="32"/>
          <w:lang w:val="zh-CN" w:eastAsia="zh-CN"/>
        </w:rPr>
        <w:t>23</w:t>
      </w:r>
      <w:r>
        <w:rPr>
          <w:rFonts w:ascii="Times New Roman" w:eastAsia="仿宋_GB2312" w:hAnsi="Times New Roman" w:cs="仿宋_GB2312" w:hint="eastAsia"/>
          <w:snapToGrid/>
          <w:sz w:val="32"/>
          <w:szCs w:val="32"/>
          <w:lang w:val="zh-CN" w:eastAsia="zh-CN"/>
        </w:rPr>
        <w:t>项重点工作，</w:t>
      </w:r>
      <w:r>
        <w:rPr>
          <w:rFonts w:ascii="Times New Roman" w:eastAsia="仿宋_GB2312" w:hAnsi="Times New Roman" w:cs="仿宋_GB2312" w:hint="eastAsia"/>
          <w:snapToGrid/>
          <w:sz w:val="32"/>
          <w:szCs w:val="32"/>
          <w:lang w:val="zh-CN" w:eastAsia="zh-CN"/>
        </w:rPr>
        <w:t>4</w:t>
      </w:r>
      <w:r>
        <w:rPr>
          <w:rFonts w:ascii="Times New Roman" w:eastAsia="仿宋_GB2312" w:hAnsi="Times New Roman" w:cs="仿宋_GB2312" w:hint="eastAsia"/>
          <w:snapToGrid/>
          <w:sz w:val="32"/>
          <w:szCs w:val="32"/>
          <w:lang w:val="zh-CN" w:eastAsia="zh-CN"/>
        </w:rPr>
        <w:t>个项目列入省级质量</w:t>
      </w:r>
      <w:proofErr w:type="gramStart"/>
      <w:r>
        <w:rPr>
          <w:rFonts w:ascii="Times New Roman" w:eastAsia="仿宋_GB2312" w:hAnsi="Times New Roman" w:cs="仿宋_GB2312" w:hint="eastAsia"/>
          <w:snapToGrid/>
          <w:sz w:val="32"/>
          <w:szCs w:val="32"/>
          <w:lang w:val="zh-CN" w:eastAsia="zh-CN"/>
        </w:rPr>
        <w:t>强链重点</w:t>
      </w:r>
      <w:proofErr w:type="gramEnd"/>
      <w:r>
        <w:rPr>
          <w:rFonts w:ascii="Times New Roman" w:eastAsia="仿宋_GB2312" w:hAnsi="Times New Roman" w:cs="仿宋_GB2312" w:hint="eastAsia"/>
          <w:snapToGrid/>
          <w:sz w:val="32"/>
          <w:szCs w:val="32"/>
          <w:lang w:val="zh-CN" w:eastAsia="zh-CN"/>
        </w:rPr>
        <w:t>项目，取得质量技术攻关成果</w:t>
      </w:r>
      <w:r>
        <w:rPr>
          <w:rFonts w:ascii="Times New Roman" w:eastAsia="仿宋_GB2312" w:hAnsi="Times New Roman" w:cs="仿宋_GB2312" w:hint="eastAsia"/>
          <w:snapToGrid/>
          <w:sz w:val="32"/>
          <w:szCs w:val="32"/>
          <w:lang w:val="zh-CN" w:eastAsia="zh-CN"/>
        </w:rPr>
        <w:t>14</w:t>
      </w:r>
      <w:r>
        <w:rPr>
          <w:rFonts w:ascii="Times New Roman" w:eastAsia="仿宋_GB2312" w:hAnsi="Times New Roman" w:cs="仿宋_GB2312" w:hint="eastAsia"/>
          <w:snapToGrid/>
          <w:sz w:val="32"/>
          <w:szCs w:val="32"/>
          <w:lang w:val="zh-CN" w:eastAsia="zh-CN"/>
        </w:rPr>
        <w:t>项，预计年提升经济效益超亿元。高速铁路用</w:t>
      </w:r>
      <w:proofErr w:type="gramStart"/>
      <w:r>
        <w:rPr>
          <w:rFonts w:ascii="Times New Roman" w:eastAsia="仿宋_GB2312" w:hAnsi="Times New Roman" w:cs="仿宋_GB2312" w:hint="eastAsia"/>
          <w:snapToGrid/>
          <w:sz w:val="32"/>
          <w:szCs w:val="32"/>
          <w:lang w:val="zh-CN" w:eastAsia="zh-CN"/>
        </w:rPr>
        <w:t>钢轨获</w:t>
      </w:r>
      <w:proofErr w:type="gramEnd"/>
      <w:r>
        <w:rPr>
          <w:rFonts w:ascii="Times New Roman" w:eastAsia="仿宋_GB2312" w:hAnsi="Times New Roman" w:cs="仿宋_GB2312" w:hint="eastAsia"/>
          <w:snapToGrid/>
          <w:sz w:val="32"/>
          <w:szCs w:val="32"/>
          <w:lang w:val="zh-CN" w:eastAsia="zh-CN"/>
        </w:rPr>
        <w:t>“天府名品”认证。推动达成市政府与中检广西公司战略合作协议。投入</w:t>
      </w:r>
      <w:r>
        <w:rPr>
          <w:rFonts w:ascii="Times New Roman" w:eastAsia="仿宋_GB2312" w:hAnsi="Times New Roman" w:cs="仿宋_GB2312" w:hint="eastAsia"/>
          <w:snapToGrid/>
          <w:sz w:val="32"/>
          <w:szCs w:val="32"/>
          <w:lang w:val="zh-CN" w:eastAsia="zh-CN"/>
        </w:rPr>
        <w:t>7000</w:t>
      </w:r>
      <w:r>
        <w:rPr>
          <w:rFonts w:ascii="Times New Roman" w:eastAsia="仿宋_GB2312" w:hAnsi="Times New Roman" w:cs="仿宋_GB2312" w:hint="eastAsia"/>
          <w:snapToGrid/>
          <w:sz w:val="32"/>
          <w:szCs w:val="32"/>
          <w:lang w:val="zh-CN" w:eastAsia="zh-CN"/>
        </w:rPr>
        <w:t>万元债券资金提升</w:t>
      </w:r>
      <w:proofErr w:type="gramStart"/>
      <w:r>
        <w:rPr>
          <w:rFonts w:ascii="Times New Roman" w:eastAsia="仿宋_GB2312" w:hAnsi="Times New Roman" w:cs="仿宋_GB2312" w:hint="eastAsia"/>
          <w:snapToGrid/>
          <w:sz w:val="32"/>
          <w:szCs w:val="32"/>
          <w:lang w:val="zh-CN" w:eastAsia="zh-CN"/>
        </w:rPr>
        <w:t>数智化质量</w:t>
      </w:r>
      <w:proofErr w:type="gramEnd"/>
      <w:r>
        <w:rPr>
          <w:rFonts w:ascii="Times New Roman" w:eastAsia="仿宋_GB2312" w:hAnsi="Times New Roman" w:cs="仿宋_GB2312" w:hint="eastAsia"/>
          <w:snapToGrid/>
          <w:sz w:val="32"/>
          <w:szCs w:val="32"/>
          <w:lang w:val="zh-CN" w:eastAsia="zh-CN"/>
        </w:rPr>
        <w:t>检测系统，检测能力增项至</w:t>
      </w:r>
      <w:r>
        <w:rPr>
          <w:rFonts w:ascii="Times New Roman" w:eastAsia="仿宋_GB2312" w:hAnsi="Times New Roman" w:cs="仿宋_GB2312" w:hint="eastAsia"/>
          <w:snapToGrid/>
          <w:sz w:val="32"/>
          <w:szCs w:val="32"/>
          <w:lang w:val="zh-CN" w:eastAsia="zh-CN"/>
        </w:rPr>
        <w:t>5000</w:t>
      </w:r>
      <w:r>
        <w:rPr>
          <w:rFonts w:ascii="Times New Roman" w:eastAsia="仿宋_GB2312" w:hAnsi="Times New Roman" w:cs="仿宋_GB2312" w:hint="eastAsia"/>
          <w:snapToGrid/>
          <w:sz w:val="32"/>
          <w:szCs w:val="32"/>
          <w:lang w:val="zh-CN" w:eastAsia="zh-CN"/>
        </w:rPr>
        <w:t>余个参数，能力覆盖钒钛产业全链条，助企降本</w:t>
      </w:r>
      <w:r>
        <w:rPr>
          <w:rFonts w:ascii="Times New Roman" w:eastAsia="仿宋_GB2312" w:hAnsi="Times New Roman" w:cs="仿宋_GB2312" w:hint="eastAsia"/>
          <w:snapToGrid/>
          <w:sz w:val="32"/>
          <w:szCs w:val="32"/>
          <w:lang w:val="zh-CN" w:eastAsia="zh-CN"/>
        </w:rPr>
        <w:t>800</w:t>
      </w:r>
      <w:r>
        <w:rPr>
          <w:rFonts w:ascii="Times New Roman" w:eastAsia="仿宋_GB2312" w:hAnsi="Times New Roman" w:cs="仿宋_GB2312" w:hint="eastAsia"/>
          <w:snapToGrid/>
          <w:sz w:val="32"/>
          <w:szCs w:val="32"/>
          <w:lang w:val="zh-CN" w:eastAsia="zh-CN"/>
        </w:rPr>
        <w:t>余万元，获</w:t>
      </w:r>
      <w:proofErr w:type="gramStart"/>
      <w:r>
        <w:rPr>
          <w:rFonts w:ascii="Times New Roman" w:eastAsia="仿宋_GB2312" w:hAnsi="Times New Roman" w:cs="仿宋_GB2312" w:hint="eastAsia"/>
          <w:snapToGrid/>
          <w:sz w:val="32"/>
          <w:szCs w:val="32"/>
          <w:lang w:val="zh-CN" w:eastAsia="zh-CN"/>
        </w:rPr>
        <w:t>评质量强链典型</w:t>
      </w:r>
      <w:proofErr w:type="gramEnd"/>
      <w:r>
        <w:rPr>
          <w:rFonts w:ascii="Times New Roman" w:eastAsia="仿宋_GB2312" w:hAnsi="Times New Roman" w:cs="仿宋_GB2312" w:hint="eastAsia"/>
          <w:snapToGrid/>
          <w:sz w:val="32"/>
          <w:szCs w:val="32"/>
          <w:lang w:val="zh-CN" w:eastAsia="zh-CN"/>
        </w:rPr>
        <w:t>案例</w:t>
      </w: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个。二是健全标准体系。强化钒钛钢铁、</w:t>
      </w:r>
      <w:proofErr w:type="gramStart"/>
      <w:r>
        <w:rPr>
          <w:rFonts w:ascii="Times New Roman" w:eastAsia="仿宋_GB2312" w:hAnsi="Times New Roman" w:cs="仿宋_GB2312" w:hint="eastAsia"/>
          <w:snapToGrid/>
          <w:sz w:val="32"/>
          <w:szCs w:val="32"/>
          <w:lang w:val="zh-CN" w:eastAsia="zh-CN"/>
        </w:rPr>
        <w:t>阳光康养等</w:t>
      </w:r>
      <w:proofErr w:type="gramEnd"/>
      <w:r>
        <w:rPr>
          <w:rFonts w:ascii="Times New Roman" w:eastAsia="仿宋_GB2312" w:hAnsi="Times New Roman" w:cs="仿宋_GB2312" w:hint="eastAsia"/>
          <w:snapToGrid/>
          <w:sz w:val="32"/>
          <w:szCs w:val="32"/>
          <w:lang w:val="zh-CN" w:eastAsia="zh-CN"/>
        </w:rPr>
        <w:t>领域标准制修订，服务特色优势产业提质升级。征集下达</w:t>
      </w:r>
      <w:r>
        <w:rPr>
          <w:rFonts w:ascii="Times New Roman" w:eastAsia="仿宋_GB2312" w:hAnsi="Times New Roman" w:cs="仿宋_GB2312" w:hint="eastAsia"/>
          <w:snapToGrid/>
          <w:sz w:val="32"/>
          <w:szCs w:val="32"/>
          <w:lang w:val="zh-CN" w:eastAsia="zh-CN"/>
        </w:rPr>
        <w:t>29</w:t>
      </w:r>
      <w:r>
        <w:rPr>
          <w:rFonts w:ascii="Times New Roman" w:eastAsia="仿宋_GB2312" w:hAnsi="Times New Roman" w:cs="仿宋_GB2312" w:hint="eastAsia"/>
          <w:snapToGrid/>
          <w:sz w:val="32"/>
          <w:szCs w:val="32"/>
          <w:lang w:val="zh-CN" w:eastAsia="zh-CN"/>
        </w:rPr>
        <w:t>项“标准助力共富”地方标准制修订项目，获批发布国际标准</w:t>
      </w: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项、国家标准</w:t>
      </w:r>
      <w:r>
        <w:rPr>
          <w:rFonts w:ascii="Times New Roman" w:eastAsia="仿宋_GB2312" w:hAnsi="Times New Roman" w:cs="仿宋_GB2312" w:hint="eastAsia"/>
          <w:snapToGrid/>
          <w:sz w:val="32"/>
          <w:szCs w:val="32"/>
          <w:lang w:val="zh-CN" w:eastAsia="zh-CN"/>
        </w:rPr>
        <w:t>11</w:t>
      </w:r>
      <w:r>
        <w:rPr>
          <w:rFonts w:ascii="Times New Roman" w:eastAsia="仿宋_GB2312" w:hAnsi="Times New Roman" w:cs="仿宋_GB2312" w:hint="eastAsia"/>
          <w:snapToGrid/>
          <w:sz w:val="32"/>
          <w:szCs w:val="32"/>
          <w:lang w:val="zh-CN" w:eastAsia="zh-CN"/>
        </w:rPr>
        <w:t>项、行业标准</w:t>
      </w:r>
      <w:r>
        <w:rPr>
          <w:rFonts w:ascii="Times New Roman" w:eastAsia="仿宋_GB2312" w:hAnsi="Times New Roman" w:cs="仿宋_GB2312" w:hint="eastAsia"/>
          <w:snapToGrid/>
          <w:sz w:val="32"/>
          <w:szCs w:val="32"/>
          <w:lang w:val="zh-CN" w:eastAsia="zh-CN"/>
        </w:rPr>
        <w:t>4</w:t>
      </w:r>
      <w:r>
        <w:rPr>
          <w:rFonts w:ascii="Times New Roman" w:eastAsia="仿宋_GB2312" w:hAnsi="Times New Roman" w:cs="仿宋_GB2312" w:hint="eastAsia"/>
          <w:snapToGrid/>
          <w:sz w:val="32"/>
          <w:szCs w:val="32"/>
          <w:lang w:val="zh-CN" w:eastAsia="zh-CN"/>
        </w:rPr>
        <w:t>项、地方标准</w:t>
      </w:r>
      <w:r>
        <w:rPr>
          <w:rFonts w:ascii="Times New Roman" w:eastAsia="仿宋_GB2312" w:hAnsi="Times New Roman" w:cs="仿宋_GB2312" w:hint="eastAsia"/>
          <w:snapToGrid/>
          <w:sz w:val="32"/>
          <w:szCs w:val="32"/>
          <w:lang w:val="zh-CN" w:eastAsia="zh-CN"/>
        </w:rPr>
        <w:t>27</w:t>
      </w:r>
      <w:r>
        <w:rPr>
          <w:rFonts w:ascii="Times New Roman" w:eastAsia="仿宋_GB2312" w:hAnsi="Times New Roman" w:cs="仿宋_GB2312" w:hint="eastAsia"/>
          <w:snapToGrid/>
          <w:sz w:val="32"/>
          <w:szCs w:val="32"/>
          <w:lang w:val="zh-CN" w:eastAsia="zh-CN"/>
        </w:rPr>
        <w:t>项、</w:t>
      </w:r>
      <w:r>
        <w:rPr>
          <w:rFonts w:ascii="Times New Roman" w:eastAsia="仿宋_GB2312" w:hAnsi="Times New Roman" w:cs="仿宋_GB2312" w:hint="eastAsia"/>
          <w:snapToGrid/>
          <w:sz w:val="32"/>
          <w:szCs w:val="32"/>
          <w:lang w:val="zh-CN" w:eastAsia="zh-CN"/>
        </w:rPr>
        <w:t>CSTM</w:t>
      </w:r>
      <w:r>
        <w:rPr>
          <w:rFonts w:ascii="Times New Roman" w:eastAsia="仿宋_GB2312" w:hAnsi="Times New Roman" w:cs="仿宋_GB2312" w:hint="eastAsia"/>
          <w:snapToGrid/>
          <w:sz w:val="32"/>
          <w:szCs w:val="32"/>
          <w:lang w:val="zh-CN" w:eastAsia="zh-CN"/>
        </w:rPr>
        <w:t>团体标准</w:t>
      </w:r>
      <w:r>
        <w:rPr>
          <w:rFonts w:ascii="Times New Roman" w:eastAsia="仿宋_GB2312" w:hAnsi="Times New Roman" w:cs="仿宋_GB2312" w:hint="eastAsia"/>
          <w:snapToGrid/>
          <w:sz w:val="32"/>
          <w:szCs w:val="32"/>
          <w:lang w:val="zh-CN" w:eastAsia="zh-CN"/>
        </w:rPr>
        <w:t>7</w:t>
      </w:r>
      <w:r>
        <w:rPr>
          <w:rFonts w:ascii="Times New Roman" w:eastAsia="仿宋_GB2312" w:hAnsi="Times New Roman" w:cs="仿宋_GB2312" w:hint="eastAsia"/>
          <w:snapToGrid/>
          <w:sz w:val="32"/>
          <w:szCs w:val="32"/>
          <w:lang w:val="zh-CN" w:eastAsia="zh-CN"/>
        </w:rPr>
        <w:t>项，其中</w:t>
      </w: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项</w:t>
      </w:r>
      <w:proofErr w:type="gramStart"/>
      <w:r>
        <w:rPr>
          <w:rFonts w:ascii="Times New Roman" w:eastAsia="仿宋_GB2312" w:hAnsi="Times New Roman" w:cs="仿宋_GB2312" w:hint="eastAsia"/>
          <w:snapToGrid/>
          <w:sz w:val="32"/>
          <w:szCs w:val="32"/>
          <w:lang w:val="zh-CN" w:eastAsia="zh-CN"/>
        </w:rPr>
        <w:t>标准获</w:t>
      </w:r>
      <w:proofErr w:type="gramEnd"/>
      <w:r>
        <w:rPr>
          <w:rFonts w:ascii="Times New Roman" w:eastAsia="仿宋_GB2312" w:hAnsi="Times New Roman" w:cs="仿宋_GB2312" w:hint="eastAsia"/>
          <w:snapToGrid/>
          <w:sz w:val="32"/>
          <w:szCs w:val="32"/>
          <w:lang w:val="zh-CN" w:eastAsia="zh-CN"/>
        </w:rPr>
        <w:t>评</w:t>
      </w:r>
      <w:r>
        <w:rPr>
          <w:rFonts w:ascii="Times New Roman" w:eastAsia="仿宋_GB2312" w:hAnsi="Times New Roman" w:cs="仿宋_GB2312" w:hint="eastAsia"/>
          <w:snapToGrid/>
          <w:sz w:val="32"/>
          <w:szCs w:val="32"/>
          <w:lang w:val="zh-CN" w:eastAsia="zh-CN"/>
        </w:rPr>
        <w:t>2024</w:t>
      </w:r>
      <w:r>
        <w:rPr>
          <w:rFonts w:ascii="Times New Roman" w:eastAsia="仿宋_GB2312" w:hAnsi="Times New Roman" w:cs="仿宋_GB2312" w:hint="eastAsia"/>
          <w:snapToGrid/>
          <w:sz w:val="32"/>
          <w:szCs w:val="32"/>
          <w:lang w:val="zh-CN" w:eastAsia="zh-CN"/>
        </w:rPr>
        <w:t>年</w:t>
      </w:r>
      <w:r>
        <w:rPr>
          <w:rFonts w:ascii="Times New Roman" w:eastAsia="仿宋_GB2312" w:hAnsi="Times New Roman" w:cs="仿宋_GB2312" w:hint="eastAsia"/>
          <w:snapToGrid/>
          <w:sz w:val="32"/>
          <w:szCs w:val="32"/>
          <w:lang w:val="zh-CN" w:eastAsia="zh-CN"/>
        </w:rPr>
        <w:t>CSTM</w:t>
      </w:r>
      <w:r>
        <w:rPr>
          <w:rFonts w:ascii="Times New Roman" w:eastAsia="仿宋_GB2312" w:hAnsi="Times New Roman" w:cs="仿宋_GB2312" w:hint="eastAsia"/>
          <w:snapToGrid/>
          <w:sz w:val="32"/>
          <w:szCs w:val="32"/>
          <w:lang w:val="zh-CN" w:eastAsia="zh-CN"/>
        </w:rPr>
        <w:t>团体标准创新贡献奖。攀枝花芒果被纳入</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年首批“天府名品”团体标准制定计划。三是突出知识产权创新。强力推进</w:t>
      </w:r>
      <w:r>
        <w:rPr>
          <w:rFonts w:ascii="Times New Roman" w:eastAsia="仿宋_GB2312" w:hAnsi="Times New Roman" w:cs="仿宋_GB2312" w:hint="eastAsia"/>
          <w:snapToGrid/>
          <w:sz w:val="32"/>
          <w:szCs w:val="32"/>
          <w:lang w:val="zh-CN" w:eastAsia="zh-CN"/>
        </w:rPr>
        <w:lastRenderedPageBreak/>
        <w:t>国家知识产权强市建设，围绕“</w:t>
      </w:r>
      <w:r>
        <w:rPr>
          <w:rFonts w:ascii="Times New Roman" w:eastAsia="仿宋_GB2312" w:hAnsi="Times New Roman" w:cs="仿宋_GB2312" w:hint="eastAsia"/>
          <w:snapToGrid/>
          <w:sz w:val="32"/>
          <w:szCs w:val="32"/>
          <w:lang w:val="zh-CN" w:eastAsia="zh-CN"/>
        </w:rPr>
        <w:t>9</w:t>
      </w:r>
      <w:r>
        <w:rPr>
          <w:rFonts w:ascii="Times New Roman" w:eastAsia="仿宋_GB2312" w:hAnsi="Times New Roman" w:cs="仿宋_GB2312" w:hint="eastAsia"/>
          <w:snapToGrid/>
          <w:sz w:val="32"/>
          <w:szCs w:val="32"/>
          <w:lang w:val="zh-CN" w:eastAsia="zh-CN"/>
        </w:rPr>
        <w:t>圈</w:t>
      </w:r>
      <w:r>
        <w:rPr>
          <w:rFonts w:ascii="Times New Roman" w:eastAsia="仿宋_GB2312" w:hAnsi="Times New Roman" w:cs="仿宋_GB2312" w:hint="eastAsia"/>
          <w:snapToGrid/>
          <w:sz w:val="32"/>
          <w:szCs w:val="32"/>
          <w:lang w:val="zh-CN" w:eastAsia="zh-CN"/>
        </w:rPr>
        <w:t>21</w:t>
      </w:r>
      <w:r>
        <w:rPr>
          <w:rFonts w:ascii="Times New Roman" w:eastAsia="仿宋_GB2312" w:hAnsi="Times New Roman" w:cs="仿宋_GB2312" w:hint="eastAsia"/>
          <w:snapToGrid/>
          <w:sz w:val="32"/>
          <w:szCs w:val="32"/>
          <w:lang w:val="zh-CN" w:eastAsia="zh-CN"/>
        </w:rPr>
        <w:t>链”构建</w:t>
      </w:r>
      <w:proofErr w:type="gramStart"/>
      <w:r>
        <w:rPr>
          <w:rFonts w:ascii="Times New Roman" w:eastAsia="仿宋_GB2312" w:hAnsi="Times New Roman" w:cs="仿宋_GB2312" w:hint="eastAsia"/>
          <w:snapToGrid/>
          <w:sz w:val="32"/>
          <w:szCs w:val="32"/>
          <w:lang w:val="zh-CN" w:eastAsia="zh-CN"/>
        </w:rPr>
        <w:t>知识产权强企培育</w:t>
      </w:r>
      <w:proofErr w:type="gramEnd"/>
      <w:r>
        <w:rPr>
          <w:rFonts w:ascii="Times New Roman" w:eastAsia="仿宋_GB2312" w:hAnsi="Times New Roman" w:cs="仿宋_GB2312" w:hint="eastAsia"/>
          <w:snapToGrid/>
          <w:sz w:val="32"/>
          <w:szCs w:val="32"/>
          <w:lang w:val="zh-CN" w:eastAsia="zh-CN"/>
        </w:rPr>
        <w:t>库，创新实施知识产权“护航员包联”定制培优计划，试点“先使用后付费”专利许可，引入保险机制分担维权风险，发布全市地域特色优质产品资源谱等</w:t>
      </w:r>
      <w:r>
        <w:rPr>
          <w:rFonts w:ascii="Times New Roman" w:eastAsia="仿宋_GB2312" w:hAnsi="Times New Roman" w:cs="仿宋_GB2312" w:hint="eastAsia"/>
          <w:snapToGrid/>
          <w:sz w:val="32"/>
          <w:szCs w:val="32"/>
          <w:lang w:val="zh-CN" w:eastAsia="zh-CN"/>
        </w:rPr>
        <w:t>4</w:t>
      </w:r>
      <w:r>
        <w:rPr>
          <w:rFonts w:ascii="Times New Roman" w:eastAsia="仿宋_GB2312" w:hAnsi="Times New Roman" w:cs="仿宋_GB2312" w:hint="eastAsia"/>
          <w:snapToGrid/>
          <w:sz w:val="32"/>
          <w:szCs w:val="32"/>
          <w:lang w:val="zh-CN" w:eastAsia="zh-CN"/>
        </w:rPr>
        <w:t>项成果。万人有效发明专利拥有量</w:t>
      </w:r>
      <w:r>
        <w:rPr>
          <w:rFonts w:ascii="Times New Roman" w:eastAsia="仿宋_GB2312" w:hAnsi="Times New Roman" w:cs="仿宋_GB2312" w:hint="eastAsia"/>
          <w:snapToGrid/>
          <w:sz w:val="32"/>
          <w:szCs w:val="32"/>
          <w:lang w:val="zh-CN" w:eastAsia="zh-CN"/>
        </w:rPr>
        <w:t>29.87</w:t>
      </w:r>
      <w:r>
        <w:rPr>
          <w:rFonts w:ascii="Times New Roman" w:eastAsia="仿宋_GB2312" w:hAnsi="Times New Roman" w:cs="仿宋_GB2312" w:hint="eastAsia"/>
          <w:snapToGrid/>
          <w:sz w:val="32"/>
          <w:szCs w:val="32"/>
          <w:lang w:val="zh-CN" w:eastAsia="zh-CN"/>
        </w:rPr>
        <w:t>件，同比增长</w:t>
      </w:r>
      <w:r>
        <w:rPr>
          <w:rFonts w:ascii="Times New Roman" w:eastAsia="仿宋_GB2312" w:hAnsi="Times New Roman" w:cs="仿宋_GB2312" w:hint="eastAsia"/>
          <w:snapToGrid/>
          <w:sz w:val="32"/>
          <w:szCs w:val="32"/>
          <w:lang w:val="zh-CN" w:eastAsia="zh-CN"/>
        </w:rPr>
        <w:t>6.8%</w:t>
      </w:r>
      <w:r>
        <w:rPr>
          <w:rFonts w:ascii="Times New Roman" w:eastAsia="仿宋_GB2312" w:hAnsi="Times New Roman" w:cs="仿宋_GB2312" w:hint="eastAsia"/>
          <w:snapToGrid/>
          <w:sz w:val="32"/>
          <w:szCs w:val="32"/>
          <w:lang w:val="zh-CN" w:eastAsia="zh-CN"/>
        </w:rPr>
        <w:t>；万人高价值专利拥有量</w:t>
      </w:r>
      <w:r>
        <w:rPr>
          <w:rFonts w:ascii="Times New Roman" w:eastAsia="仿宋_GB2312" w:hAnsi="Times New Roman" w:cs="仿宋_GB2312" w:hint="eastAsia"/>
          <w:snapToGrid/>
          <w:sz w:val="32"/>
          <w:szCs w:val="32"/>
          <w:lang w:val="zh-CN" w:eastAsia="zh-CN"/>
        </w:rPr>
        <w:t>12.94</w:t>
      </w:r>
      <w:r>
        <w:rPr>
          <w:rFonts w:ascii="Times New Roman" w:eastAsia="仿宋_GB2312" w:hAnsi="Times New Roman" w:cs="仿宋_GB2312" w:hint="eastAsia"/>
          <w:snapToGrid/>
          <w:sz w:val="32"/>
          <w:szCs w:val="32"/>
          <w:lang w:val="zh-CN" w:eastAsia="zh-CN"/>
        </w:rPr>
        <w:t>件，同比增长</w:t>
      </w:r>
      <w:r>
        <w:rPr>
          <w:rFonts w:ascii="Times New Roman" w:eastAsia="仿宋_GB2312" w:hAnsi="Times New Roman" w:cs="仿宋_GB2312" w:hint="eastAsia"/>
          <w:snapToGrid/>
          <w:sz w:val="32"/>
          <w:szCs w:val="32"/>
          <w:lang w:val="zh-CN" w:eastAsia="zh-CN"/>
        </w:rPr>
        <w:t>17.1%</w:t>
      </w:r>
      <w:r>
        <w:rPr>
          <w:rFonts w:ascii="Times New Roman" w:eastAsia="仿宋_GB2312" w:hAnsi="Times New Roman" w:cs="仿宋_GB2312" w:hint="eastAsia"/>
          <w:snapToGrid/>
          <w:sz w:val="32"/>
          <w:szCs w:val="32"/>
          <w:lang w:val="zh-CN" w:eastAsia="zh-CN"/>
        </w:rPr>
        <w:t>；专利转化</w:t>
      </w:r>
      <w:r>
        <w:rPr>
          <w:rFonts w:ascii="Times New Roman" w:eastAsia="仿宋_GB2312" w:hAnsi="Times New Roman" w:cs="仿宋_GB2312" w:hint="eastAsia"/>
          <w:snapToGrid/>
          <w:sz w:val="32"/>
          <w:szCs w:val="32"/>
          <w:lang w:val="zh-CN" w:eastAsia="zh-CN"/>
        </w:rPr>
        <w:t>844</w:t>
      </w:r>
      <w:r>
        <w:rPr>
          <w:rFonts w:ascii="Times New Roman" w:eastAsia="仿宋_GB2312" w:hAnsi="Times New Roman" w:cs="仿宋_GB2312" w:hint="eastAsia"/>
          <w:snapToGrid/>
          <w:sz w:val="32"/>
          <w:szCs w:val="32"/>
          <w:lang w:val="zh-CN" w:eastAsia="zh-CN"/>
        </w:rPr>
        <w:t>件，同比增长</w:t>
      </w:r>
      <w:r>
        <w:rPr>
          <w:rFonts w:ascii="Times New Roman" w:eastAsia="仿宋_GB2312" w:hAnsi="Times New Roman" w:cs="仿宋_GB2312" w:hint="eastAsia"/>
          <w:snapToGrid/>
          <w:sz w:val="32"/>
          <w:szCs w:val="32"/>
          <w:lang w:val="zh-CN" w:eastAsia="zh-CN"/>
        </w:rPr>
        <w:t>54%</w:t>
      </w:r>
      <w:r>
        <w:rPr>
          <w:rFonts w:ascii="Times New Roman" w:eastAsia="仿宋_GB2312" w:hAnsi="Times New Roman" w:cs="仿宋_GB2312" w:hint="eastAsia"/>
          <w:snapToGrid/>
          <w:sz w:val="32"/>
          <w:szCs w:val="32"/>
          <w:lang w:val="zh-CN" w:eastAsia="zh-CN"/>
        </w:rPr>
        <w:t>；质押融资</w:t>
      </w:r>
      <w:r>
        <w:rPr>
          <w:rFonts w:ascii="Times New Roman" w:eastAsia="仿宋_GB2312" w:hAnsi="Times New Roman" w:cs="仿宋_GB2312" w:hint="eastAsia"/>
          <w:snapToGrid/>
          <w:sz w:val="32"/>
          <w:szCs w:val="32"/>
          <w:lang w:val="zh-CN" w:eastAsia="zh-CN"/>
        </w:rPr>
        <w:t>3689</w:t>
      </w:r>
      <w:r>
        <w:rPr>
          <w:rFonts w:ascii="Times New Roman" w:eastAsia="仿宋_GB2312" w:hAnsi="Times New Roman" w:cs="仿宋_GB2312" w:hint="eastAsia"/>
          <w:snapToGrid/>
          <w:sz w:val="32"/>
          <w:szCs w:val="32"/>
          <w:lang w:val="zh-CN" w:eastAsia="zh-CN"/>
        </w:rPr>
        <w:t>万元，同比增长</w:t>
      </w:r>
      <w:r>
        <w:rPr>
          <w:rFonts w:ascii="Times New Roman" w:eastAsia="仿宋_GB2312" w:hAnsi="Times New Roman" w:cs="仿宋_GB2312" w:hint="eastAsia"/>
          <w:snapToGrid/>
          <w:sz w:val="32"/>
          <w:szCs w:val="32"/>
          <w:lang w:val="zh-CN" w:eastAsia="zh-CN"/>
        </w:rPr>
        <w:t>156%</w:t>
      </w:r>
      <w:r>
        <w:rPr>
          <w:rFonts w:ascii="Times New Roman" w:eastAsia="仿宋_GB2312" w:hAnsi="Times New Roman" w:cs="仿宋_GB2312" w:hint="eastAsia"/>
          <w:snapToGrid/>
          <w:sz w:val="32"/>
          <w:szCs w:val="32"/>
          <w:lang w:val="zh-CN" w:eastAsia="zh-CN"/>
        </w:rPr>
        <w:t>。攀枝花芒果等</w:t>
      </w:r>
      <w:r>
        <w:rPr>
          <w:rFonts w:ascii="Times New Roman" w:eastAsia="仿宋_GB2312" w:hAnsi="Times New Roman" w:cs="仿宋_GB2312" w:hint="eastAsia"/>
          <w:snapToGrid/>
          <w:sz w:val="32"/>
          <w:szCs w:val="32"/>
          <w:lang w:val="zh-CN" w:eastAsia="zh-CN"/>
        </w:rPr>
        <w:t>10</w:t>
      </w:r>
      <w:r>
        <w:rPr>
          <w:rFonts w:ascii="Times New Roman" w:eastAsia="仿宋_GB2312" w:hAnsi="Times New Roman" w:cs="仿宋_GB2312" w:hint="eastAsia"/>
          <w:snapToGrid/>
          <w:sz w:val="32"/>
          <w:szCs w:val="32"/>
          <w:lang w:val="zh-CN" w:eastAsia="zh-CN"/>
        </w:rPr>
        <w:t>个产品获地理标志产品认定，成功取得区域公共品牌“滋味盐边”集体商标。</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聚焦“三个监管”建设，全面提升监管能力。一是深化法治监管，探索推行市场监管服务型执法“四维融合服务包”，发布行政许可、政务服务、行政执法、行为免罚“四张清单”</w:t>
      </w:r>
      <w:r>
        <w:rPr>
          <w:rFonts w:ascii="Times New Roman" w:eastAsia="仿宋_GB2312" w:hAnsi="Times New Roman" w:cs="仿宋_GB2312" w:hint="eastAsia"/>
          <w:snapToGrid/>
          <w:sz w:val="32"/>
          <w:szCs w:val="32"/>
          <w:lang w:val="zh-CN" w:eastAsia="zh-CN"/>
        </w:rPr>
        <w:t>1191</w:t>
      </w:r>
      <w:r>
        <w:rPr>
          <w:rFonts w:ascii="Times New Roman" w:eastAsia="仿宋_GB2312" w:hAnsi="Times New Roman" w:cs="仿宋_GB2312" w:hint="eastAsia"/>
          <w:snapToGrid/>
          <w:sz w:val="32"/>
          <w:szCs w:val="32"/>
          <w:lang w:val="zh-CN" w:eastAsia="zh-CN"/>
        </w:rPr>
        <w:t>个事项，加强法制教育、“罚”前服务，深化“亮码入企”“综合查一次”，全年查办案件</w:t>
      </w:r>
      <w:r>
        <w:rPr>
          <w:rFonts w:ascii="Times New Roman" w:eastAsia="仿宋_GB2312" w:hAnsi="Times New Roman" w:cs="仿宋_GB2312" w:hint="eastAsia"/>
          <w:snapToGrid/>
          <w:sz w:val="32"/>
          <w:szCs w:val="32"/>
          <w:lang w:val="zh-CN" w:eastAsia="zh-CN"/>
        </w:rPr>
        <w:t>1244</w:t>
      </w:r>
      <w:r>
        <w:rPr>
          <w:rFonts w:ascii="Times New Roman" w:eastAsia="仿宋_GB2312" w:hAnsi="Times New Roman" w:cs="仿宋_GB2312" w:hint="eastAsia"/>
          <w:snapToGrid/>
          <w:sz w:val="32"/>
          <w:szCs w:val="32"/>
          <w:lang w:val="zh-CN" w:eastAsia="zh-CN"/>
        </w:rPr>
        <w:t>件，罚没款</w:t>
      </w:r>
      <w:r>
        <w:rPr>
          <w:rFonts w:ascii="Times New Roman" w:eastAsia="仿宋_GB2312" w:hAnsi="Times New Roman" w:cs="仿宋_GB2312" w:hint="eastAsia"/>
          <w:snapToGrid/>
          <w:sz w:val="32"/>
          <w:szCs w:val="32"/>
          <w:lang w:val="zh-CN" w:eastAsia="zh-CN"/>
        </w:rPr>
        <w:t>738.03</w:t>
      </w:r>
      <w:r>
        <w:rPr>
          <w:rFonts w:ascii="Times New Roman" w:eastAsia="仿宋_GB2312" w:hAnsi="Times New Roman" w:cs="仿宋_GB2312" w:hint="eastAsia"/>
          <w:snapToGrid/>
          <w:sz w:val="32"/>
          <w:szCs w:val="32"/>
          <w:lang w:val="zh-CN" w:eastAsia="zh-CN"/>
        </w:rPr>
        <w:t>万元，其中办理免于处罚、减轻</w:t>
      </w:r>
      <w:proofErr w:type="gramStart"/>
      <w:r>
        <w:rPr>
          <w:rFonts w:ascii="Times New Roman" w:eastAsia="仿宋_GB2312" w:hAnsi="Times New Roman" w:cs="仿宋_GB2312" w:hint="eastAsia"/>
          <w:snapToGrid/>
          <w:sz w:val="32"/>
          <w:szCs w:val="32"/>
          <w:lang w:val="zh-CN" w:eastAsia="zh-CN"/>
        </w:rPr>
        <w:t>处罚共</w:t>
      </w:r>
      <w:proofErr w:type="gramEnd"/>
      <w:r>
        <w:rPr>
          <w:rFonts w:ascii="Times New Roman" w:eastAsia="仿宋_GB2312" w:hAnsi="Times New Roman" w:cs="仿宋_GB2312" w:hint="eastAsia"/>
          <w:snapToGrid/>
          <w:sz w:val="32"/>
          <w:szCs w:val="32"/>
          <w:lang w:val="zh-CN" w:eastAsia="zh-CN"/>
        </w:rPr>
        <w:t>968</w:t>
      </w:r>
      <w:r>
        <w:rPr>
          <w:rFonts w:ascii="Times New Roman" w:eastAsia="仿宋_GB2312" w:hAnsi="Times New Roman" w:cs="仿宋_GB2312" w:hint="eastAsia"/>
          <w:snapToGrid/>
          <w:sz w:val="32"/>
          <w:szCs w:val="32"/>
          <w:lang w:val="zh-CN" w:eastAsia="zh-CN"/>
        </w:rPr>
        <w:t>件，减免罚款</w:t>
      </w:r>
      <w:r>
        <w:rPr>
          <w:rFonts w:ascii="Times New Roman" w:eastAsia="仿宋_GB2312" w:hAnsi="Times New Roman" w:cs="仿宋_GB2312" w:hint="eastAsia"/>
          <w:snapToGrid/>
          <w:sz w:val="32"/>
          <w:szCs w:val="32"/>
          <w:lang w:val="zh-CN" w:eastAsia="zh-CN"/>
        </w:rPr>
        <w:t>1225.73</w:t>
      </w:r>
      <w:r>
        <w:rPr>
          <w:rFonts w:ascii="Times New Roman" w:eastAsia="仿宋_GB2312" w:hAnsi="Times New Roman" w:cs="仿宋_GB2312" w:hint="eastAsia"/>
          <w:snapToGrid/>
          <w:sz w:val="32"/>
          <w:szCs w:val="32"/>
          <w:lang w:val="zh-CN" w:eastAsia="zh-CN"/>
        </w:rPr>
        <w:t>万元。二是强化信用监管，围绕信用经济发展完善信息披露、社会信用等制度。聚焦“退出难”，创新经营主体“除名”制度，公示除名“僵尸企业”</w:t>
      </w:r>
      <w:r>
        <w:rPr>
          <w:rFonts w:ascii="Times New Roman" w:eastAsia="仿宋_GB2312" w:hAnsi="Times New Roman" w:cs="仿宋_GB2312" w:hint="eastAsia"/>
          <w:snapToGrid/>
          <w:sz w:val="32"/>
          <w:szCs w:val="32"/>
          <w:lang w:val="zh-CN" w:eastAsia="zh-CN"/>
        </w:rPr>
        <w:t>70</w:t>
      </w:r>
      <w:r>
        <w:rPr>
          <w:rFonts w:ascii="Times New Roman" w:eastAsia="仿宋_GB2312" w:hAnsi="Times New Roman" w:cs="仿宋_GB2312" w:hint="eastAsia"/>
          <w:snapToGrid/>
          <w:sz w:val="32"/>
          <w:szCs w:val="32"/>
          <w:lang w:val="zh-CN" w:eastAsia="zh-CN"/>
        </w:rPr>
        <w:t>户，释放登记资源。聚焦“改错难”，完善信用修复机制，目前信用修复经营主体</w:t>
      </w:r>
      <w:r>
        <w:rPr>
          <w:rFonts w:ascii="Times New Roman" w:eastAsia="仿宋_GB2312" w:hAnsi="Times New Roman" w:cs="仿宋_GB2312" w:hint="eastAsia"/>
          <w:snapToGrid/>
          <w:sz w:val="32"/>
          <w:szCs w:val="32"/>
          <w:lang w:val="zh-CN" w:eastAsia="zh-CN"/>
        </w:rPr>
        <w:t>10818</w:t>
      </w:r>
      <w:r>
        <w:rPr>
          <w:rFonts w:ascii="Times New Roman" w:eastAsia="仿宋_GB2312" w:hAnsi="Times New Roman" w:cs="仿宋_GB2312" w:hint="eastAsia"/>
          <w:snapToGrid/>
          <w:sz w:val="32"/>
          <w:szCs w:val="32"/>
          <w:lang w:val="zh-CN" w:eastAsia="zh-CN"/>
        </w:rPr>
        <w:t>户，占失信主体的</w:t>
      </w:r>
      <w:r>
        <w:rPr>
          <w:rFonts w:ascii="Times New Roman" w:eastAsia="仿宋_GB2312" w:hAnsi="Times New Roman" w:cs="仿宋_GB2312" w:hint="eastAsia"/>
          <w:snapToGrid/>
          <w:sz w:val="32"/>
          <w:szCs w:val="32"/>
          <w:lang w:val="zh-CN" w:eastAsia="zh-CN"/>
        </w:rPr>
        <w:t>23.2%</w:t>
      </w:r>
      <w:r>
        <w:rPr>
          <w:rFonts w:ascii="Times New Roman" w:eastAsia="仿宋_GB2312" w:hAnsi="Times New Roman" w:cs="仿宋_GB2312" w:hint="eastAsia"/>
          <w:snapToGrid/>
          <w:sz w:val="32"/>
          <w:szCs w:val="32"/>
          <w:lang w:val="zh-CN" w:eastAsia="zh-CN"/>
        </w:rPr>
        <w:t>。聚焦“融资难”，联动强化信用融资，帮助中小</w:t>
      </w:r>
      <w:proofErr w:type="gramStart"/>
      <w:r>
        <w:rPr>
          <w:rFonts w:ascii="Times New Roman" w:eastAsia="仿宋_GB2312" w:hAnsi="Times New Roman" w:cs="仿宋_GB2312" w:hint="eastAsia"/>
          <w:snapToGrid/>
          <w:sz w:val="32"/>
          <w:szCs w:val="32"/>
          <w:lang w:val="zh-CN" w:eastAsia="zh-CN"/>
        </w:rPr>
        <w:t>微企业</w:t>
      </w:r>
      <w:proofErr w:type="gramEnd"/>
      <w:r>
        <w:rPr>
          <w:rFonts w:ascii="Times New Roman" w:eastAsia="仿宋_GB2312" w:hAnsi="Times New Roman" w:cs="仿宋_GB2312" w:hint="eastAsia"/>
          <w:snapToGrid/>
          <w:sz w:val="32"/>
          <w:szCs w:val="32"/>
          <w:lang w:val="zh-CN" w:eastAsia="zh-CN"/>
        </w:rPr>
        <w:t>信贷融资</w:t>
      </w:r>
      <w:r>
        <w:rPr>
          <w:rFonts w:ascii="Times New Roman" w:eastAsia="仿宋_GB2312" w:hAnsi="Times New Roman" w:cs="仿宋_GB2312" w:hint="eastAsia"/>
          <w:snapToGrid/>
          <w:sz w:val="32"/>
          <w:szCs w:val="32"/>
          <w:lang w:val="zh-CN" w:eastAsia="zh-CN"/>
        </w:rPr>
        <w:t>63.06</w:t>
      </w:r>
      <w:r>
        <w:rPr>
          <w:rFonts w:ascii="Times New Roman" w:eastAsia="仿宋_GB2312" w:hAnsi="Times New Roman" w:cs="仿宋_GB2312" w:hint="eastAsia"/>
          <w:snapToGrid/>
          <w:sz w:val="32"/>
          <w:szCs w:val="32"/>
          <w:lang w:val="zh-CN" w:eastAsia="zh-CN"/>
        </w:rPr>
        <w:t>亿元，同比增长</w:t>
      </w:r>
      <w:r>
        <w:rPr>
          <w:rFonts w:ascii="Times New Roman" w:eastAsia="仿宋_GB2312" w:hAnsi="Times New Roman" w:cs="仿宋_GB2312" w:hint="eastAsia"/>
          <w:snapToGrid/>
          <w:sz w:val="32"/>
          <w:szCs w:val="32"/>
          <w:lang w:val="zh-CN" w:eastAsia="zh-CN"/>
        </w:rPr>
        <w:t>149%</w:t>
      </w:r>
      <w:r>
        <w:rPr>
          <w:rFonts w:ascii="Times New Roman" w:eastAsia="仿宋_GB2312" w:hAnsi="Times New Roman" w:cs="仿宋_GB2312" w:hint="eastAsia"/>
          <w:snapToGrid/>
          <w:sz w:val="32"/>
          <w:szCs w:val="32"/>
          <w:lang w:val="zh-CN" w:eastAsia="zh-CN"/>
        </w:rPr>
        <w:t>，赋能经营主体发展壮大。三是加强智慧监管，优化食品安全“魔镜慧眼”智</w:t>
      </w:r>
      <w:r>
        <w:rPr>
          <w:rFonts w:ascii="Times New Roman" w:eastAsia="仿宋_GB2312" w:hAnsi="Times New Roman" w:cs="仿宋_GB2312" w:hint="eastAsia"/>
          <w:snapToGrid/>
          <w:sz w:val="32"/>
          <w:szCs w:val="32"/>
          <w:lang w:val="zh-CN" w:eastAsia="zh-CN"/>
        </w:rPr>
        <w:lastRenderedPageBreak/>
        <w:t>慧监管，全力攻坚“互联网</w:t>
      </w:r>
      <w:r>
        <w:rPr>
          <w:rFonts w:ascii="Times New Roman" w:eastAsia="仿宋_GB2312" w:hAnsi="Times New Roman" w:cs="仿宋_GB2312" w:hint="eastAsia"/>
          <w:snapToGrid/>
          <w:sz w:val="32"/>
          <w:szCs w:val="32"/>
          <w:lang w:val="zh-CN" w:eastAsia="zh-CN"/>
        </w:rPr>
        <w:t>+AI</w:t>
      </w:r>
      <w:r>
        <w:rPr>
          <w:rFonts w:ascii="Times New Roman" w:eastAsia="仿宋_GB2312" w:hAnsi="Times New Roman" w:cs="仿宋_GB2312" w:hint="eastAsia"/>
          <w:snapToGrid/>
          <w:sz w:val="32"/>
          <w:szCs w:val="32"/>
          <w:lang w:val="zh-CN" w:eastAsia="zh-CN"/>
        </w:rPr>
        <w:t>监管”</w:t>
      </w:r>
      <w:proofErr w:type="gramStart"/>
      <w:r>
        <w:rPr>
          <w:rFonts w:ascii="Times New Roman" w:eastAsia="仿宋_GB2312" w:hAnsi="Times New Roman" w:cs="仿宋_GB2312" w:hint="eastAsia"/>
          <w:snapToGrid/>
          <w:sz w:val="32"/>
          <w:szCs w:val="32"/>
          <w:lang w:val="zh-CN" w:eastAsia="zh-CN"/>
        </w:rPr>
        <w:t>国省重点</w:t>
      </w:r>
      <w:proofErr w:type="gramEnd"/>
      <w:r>
        <w:rPr>
          <w:rFonts w:ascii="Times New Roman" w:eastAsia="仿宋_GB2312" w:hAnsi="Times New Roman" w:cs="仿宋_GB2312" w:hint="eastAsia"/>
          <w:snapToGrid/>
          <w:sz w:val="32"/>
          <w:szCs w:val="32"/>
          <w:lang w:val="zh-CN" w:eastAsia="zh-CN"/>
        </w:rPr>
        <w:t>任务，截至</w:t>
      </w:r>
      <w:r>
        <w:rPr>
          <w:rFonts w:ascii="Times New Roman" w:eastAsia="仿宋_GB2312" w:hAnsi="Times New Roman" w:cs="仿宋_GB2312" w:hint="eastAsia"/>
          <w:snapToGrid/>
          <w:sz w:val="32"/>
          <w:szCs w:val="32"/>
          <w:lang w:val="zh-CN" w:eastAsia="zh-CN"/>
        </w:rPr>
        <w:t>12</w:t>
      </w:r>
      <w:r>
        <w:rPr>
          <w:rFonts w:ascii="Times New Roman" w:eastAsia="仿宋_GB2312" w:hAnsi="Times New Roman" w:cs="仿宋_GB2312" w:hint="eastAsia"/>
          <w:snapToGrid/>
          <w:sz w:val="32"/>
          <w:szCs w:val="32"/>
          <w:lang w:val="zh-CN" w:eastAsia="zh-CN"/>
        </w:rPr>
        <w:t>月</w:t>
      </w:r>
      <w:r>
        <w:rPr>
          <w:rFonts w:ascii="Times New Roman" w:eastAsia="仿宋_GB2312" w:hAnsi="Times New Roman" w:cs="仿宋_GB2312" w:hint="eastAsia"/>
          <w:snapToGrid/>
          <w:sz w:val="32"/>
          <w:szCs w:val="32"/>
          <w:lang w:val="zh-CN" w:eastAsia="zh-CN"/>
        </w:rPr>
        <w:t>31</w:t>
      </w:r>
      <w:r>
        <w:rPr>
          <w:rFonts w:ascii="Times New Roman" w:eastAsia="仿宋_GB2312" w:hAnsi="Times New Roman" w:cs="仿宋_GB2312" w:hint="eastAsia"/>
          <w:snapToGrid/>
          <w:sz w:val="32"/>
          <w:szCs w:val="32"/>
          <w:lang w:val="zh-CN" w:eastAsia="zh-CN"/>
        </w:rPr>
        <w:t>日，成功向</w:t>
      </w:r>
      <w:proofErr w:type="gramStart"/>
      <w:r>
        <w:rPr>
          <w:rFonts w:ascii="Times New Roman" w:eastAsia="仿宋_GB2312" w:hAnsi="Times New Roman" w:cs="仿宋_GB2312" w:hint="eastAsia"/>
          <w:snapToGrid/>
          <w:sz w:val="32"/>
          <w:szCs w:val="32"/>
          <w:lang w:val="zh-CN" w:eastAsia="zh-CN"/>
        </w:rPr>
        <w:t>国省监管</w:t>
      </w:r>
      <w:proofErr w:type="gramEnd"/>
      <w:r>
        <w:rPr>
          <w:rFonts w:ascii="Times New Roman" w:eastAsia="仿宋_GB2312" w:hAnsi="Times New Roman" w:cs="仿宋_GB2312" w:hint="eastAsia"/>
          <w:snapToGrid/>
          <w:sz w:val="32"/>
          <w:szCs w:val="32"/>
          <w:lang w:val="zh-CN" w:eastAsia="zh-CN"/>
        </w:rPr>
        <w:t>平台推送主体</w:t>
      </w:r>
      <w:r>
        <w:rPr>
          <w:rFonts w:ascii="Times New Roman" w:eastAsia="仿宋_GB2312" w:hAnsi="Times New Roman" w:cs="仿宋_GB2312" w:hint="eastAsia"/>
          <w:snapToGrid/>
          <w:sz w:val="32"/>
          <w:szCs w:val="32"/>
          <w:lang w:val="zh-CN" w:eastAsia="zh-CN"/>
        </w:rPr>
        <w:t>1823</w:t>
      </w:r>
      <w:r>
        <w:rPr>
          <w:rFonts w:ascii="Times New Roman" w:eastAsia="仿宋_GB2312" w:hAnsi="Times New Roman" w:cs="仿宋_GB2312" w:hint="eastAsia"/>
          <w:snapToGrid/>
          <w:sz w:val="32"/>
          <w:szCs w:val="32"/>
          <w:lang w:val="zh-CN" w:eastAsia="zh-CN"/>
        </w:rPr>
        <w:t>家，完成率达</w:t>
      </w:r>
      <w:r>
        <w:rPr>
          <w:rFonts w:ascii="Times New Roman" w:eastAsia="仿宋_GB2312" w:hAnsi="Times New Roman" w:cs="仿宋_GB2312" w:hint="eastAsia"/>
          <w:snapToGrid/>
          <w:sz w:val="32"/>
          <w:szCs w:val="32"/>
          <w:lang w:val="zh-CN" w:eastAsia="zh-CN"/>
        </w:rPr>
        <w:t>64.</w:t>
      </w:r>
      <w:r>
        <w:rPr>
          <w:rFonts w:ascii="Times New Roman" w:eastAsia="仿宋_GB2312" w:hAnsi="Times New Roman" w:cs="仿宋_GB2312" w:hint="eastAsia"/>
          <w:snapToGrid/>
          <w:sz w:val="32"/>
          <w:szCs w:val="32"/>
          <w:lang w:eastAsia="zh-CN"/>
        </w:rPr>
        <w:t>4</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，其中学校、养老机构、医疗机构、党政机关食堂等重点单位覆盖率达</w:t>
      </w:r>
      <w:r>
        <w:rPr>
          <w:rFonts w:ascii="Times New Roman" w:eastAsia="仿宋_GB2312" w:hAnsi="Times New Roman" w:cs="仿宋_GB2312" w:hint="eastAsia"/>
          <w:snapToGrid/>
          <w:sz w:val="32"/>
          <w:szCs w:val="32"/>
          <w:lang w:val="zh-CN" w:eastAsia="zh-CN"/>
        </w:rPr>
        <w:t>100%</w:t>
      </w:r>
      <w:r>
        <w:rPr>
          <w:rFonts w:ascii="Times New Roman" w:eastAsia="仿宋_GB2312" w:hAnsi="Times New Roman" w:cs="仿宋_GB2312" w:hint="eastAsia"/>
          <w:snapToGrid/>
          <w:sz w:val="32"/>
          <w:szCs w:val="32"/>
          <w:lang w:val="zh-CN" w:eastAsia="zh-CN"/>
        </w:rPr>
        <w:t>。完善药品信息化追溯体系，全市药品零售企业有效</w:t>
      </w:r>
      <w:proofErr w:type="gramStart"/>
      <w:r>
        <w:rPr>
          <w:rFonts w:ascii="Times New Roman" w:eastAsia="仿宋_GB2312" w:hAnsi="Times New Roman" w:cs="仿宋_GB2312" w:hint="eastAsia"/>
          <w:snapToGrid/>
          <w:sz w:val="32"/>
          <w:szCs w:val="32"/>
          <w:lang w:val="zh-CN" w:eastAsia="zh-CN"/>
        </w:rPr>
        <w:t>入驻率</w:t>
      </w:r>
      <w:proofErr w:type="gramEnd"/>
      <w:r>
        <w:rPr>
          <w:rFonts w:ascii="Times New Roman" w:eastAsia="仿宋_GB2312" w:hAnsi="Times New Roman" w:cs="仿宋_GB2312" w:hint="eastAsia"/>
          <w:snapToGrid/>
          <w:sz w:val="32"/>
          <w:szCs w:val="32"/>
          <w:lang w:val="zh-CN" w:eastAsia="zh-CN"/>
        </w:rPr>
        <w:t>100%</w:t>
      </w:r>
      <w:r>
        <w:rPr>
          <w:rFonts w:ascii="Times New Roman" w:eastAsia="仿宋_GB2312" w:hAnsi="Times New Roman" w:cs="仿宋_GB2312" w:hint="eastAsia"/>
          <w:snapToGrid/>
          <w:sz w:val="32"/>
          <w:szCs w:val="32"/>
          <w:lang w:val="zh-CN" w:eastAsia="zh-CN"/>
        </w:rPr>
        <w:t>。优化</w:t>
      </w:r>
      <w:r>
        <w:rPr>
          <w:rFonts w:ascii="Times New Roman" w:eastAsia="仿宋_GB2312" w:hAnsi="Times New Roman" w:cs="仿宋_GB2312" w:hint="eastAsia"/>
          <w:snapToGrid/>
          <w:sz w:val="32"/>
          <w:szCs w:val="32"/>
          <w:lang w:val="zh-CN" w:eastAsia="zh-CN"/>
        </w:rPr>
        <w:t>96933</w:t>
      </w:r>
      <w:r>
        <w:rPr>
          <w:rFonts w:ascii="Times New Roman" w:eastAsia="仿宋_GB2312" w:hAnsi="Times New Roman" w:cs="仿宋_GB2312" w:hint="eastAsia"/>
          <w:snapToGrid/>
          <w:sz w:val="32"/>
          <w:szCs w:val="32"/>
          <w:lang w:val="zh-CN" w:eastAsia="zh-CN"/>
        </w:rPr>
        <w:t>电梯应急救援处置平台，处置电梯应急事件</w:t>
      </w:r>
      <w:r>
        <w:rPr>
          <w:rFonts w:ascii="Times New Roman" w:eastAsia="仿宋_GB2312" w:hAnsi="Times New Roman" w:cs="仿宋_GB2312" w:hint="eastAsia"/>
          <w:snapToGrid/>
          <w:sz w:val="32"/>
          <w:szCs w:val="32"/>
          <w:lang w:val="zh-CN" w:eastAsia="zh-CN"/>
        </w:rPr>
        <w:t>346</w:t>
      </w:r>
      <w:r>
        <w:rPr>
          <w:rFonts w:ascii="Times New Roman" w:eastAsia="仿宋_GB2312" w:hAnsi="Times New Roman" w:cs="仿宋_GB2312" w:hint="eastAsia"/>
          <w:snapToGrid/>
          <w:sz w:val="32"/>
          <w:szCs w:val="32"/>
          <w:lang w:val="zh-CN" w:eastAsia="zh-CN"/>
        </w:rPr>
        <w:t>起，解救乘客</w:t>
      </w:r>
      <w:r>
        <w:rPr>
          <w:rFonts w:ascii="Times New Roman" w:eastAsia="仿宋_GB2312" w:hAnsi="Times New Roman" w:cs="仿宋_GB2312" w:hint="eastAsia"/>
          <w:snapToGrid/>
          <w:sz w:val="32"/>
          <w:szCs w:val="32"/>
          <w:lang w:val="zh-CN" w:eastAsia="zh-CN"/>
        </w:rPr>
        <w:t>496</w:t>
      </w:r>
      <w:r>
        <w:rPr>
          <w:rFonts w:ascii="Times New Roman" w:eastAsia="仿宋_GB2312" w:hAnsi="Times New Roman" w:cs="仿宋_GB2312" w:hint="eastAsia"/>
          <w:snapToGrid/>
          <w:sz w:val="32"/>
          <w:szCs w:val="32"/>
          <w:lang w:val="zh-CN" w:eastAsia="zh-CN"/>
        </w:rPr>
        <w:t>人次。</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聚焦“四个安全”监管，全面夯实安全基础。一是全链条监管食品安全，创新实施食品安全“百村千企万户”行动、“沙盒监管”试点和“红黄蓝”三色信用动态分级管理，首创“外卖骑手随手拍”机制，打造“食安花城”志愿服务品牌，推行旅游景区“潮汐式监管”，集中整治假冒伪劣食品、校园餐等突出问题，全市</w:t>
      </w:r>
      <w:r>
        <w:rPr>
          <w:rFonts w:ascii="Times New Roman" w:eastAsia="仿宋_GB2312" w:hAnsi="Times New Roman" w:cs="仿宋_GB2312" w:hint="eastAsia"/>
          <w:snapToGrid/>
          <w:sz w:val="32"/>
          <w:szCs w:val="32"/>
          <w:lang w:val="zh-CN" w:eastAsia="zh-CN"/>
        </w:rPr>
        <w:t>2506</w:t>
      </w:r>
      <w:r>
        <w:rPr>
          <w:rFonts w:ascii="Times New Roman" w:eastAsia="仿宋_GB2312" w:hAnsi="Times New Roman" w:cs="仿宋_GB2312" w:hint="eastAsia"/>
          <w:snapToGrid/>
          <w:sz w:val="32"/>
          <w:szCs w:val="32"/>
          <w:lang w:val="zh-CN" w:eastAsia="zh-CN"/>
        </w:rPr>
        <w:t>名包保干部全覆盖督导</w:t>
      </w:r>
      <w:r>
        <w:rPr>
          <w:rFonts w:ascii="Times New Roman" w:eastAsia="仿宋_GB2312" w:hAnsi="Times New Roman" w:cs="仿宋_GB2312" w:hint="eastAsia"/>
          <w:snapToGrid/>
          <w:sz w:val="32"/>
          <w:szCs w:val="32"/>
          <w:lang w:val="zh-CN" w:eastAsia="zh-CN"/>
        </w:rPr>
        <w:t>1.6</w:t>
      </w:r>
      <w:r>
        <w:rPr>
          <w:rFonts w:ascii="Times New Roman" w:eastAsia="仿宋_GB2312" w:hAnsi="Times New Roman" w:cs="仿宋_GB2312" w:hint="eastAsia"/>
          <w:snapToGrid/>
          <w:sz w:val="32"/>
          <w:szCs w:val="32"/>
          <w:lang w:val="zh-CN" w:eastAsia="zh-CN"/>
        </w:rPr>
        <w:t>万户生产经营主体，问题整改率</w:t>
      </w:r>
      <w:r>
        <w:rPr>
          <w:rFonts w:ascii="Times New Roman" w:eastAsia="仿宋_GB2312" w:hAnsi="Times New Roman" w:cs="仿宋_GB2312" w:hint="eastAsia"/>
          <w:snapToGrid/>
          <w:sz w:val="32"/>
          <w:szCs w:val="32"/>
          <w:lang w:val="zh-CN" w:eastAsia="zh-CN"/>
        </w:rPr>
        <w:t>99.</w:t>
      </w:r>
      <w:r>
        <w:rPr>
          <w:rFonts w:ascii="Times New Roman" w:eastAsia="仿宋_GB2312" w:hAnsi="Times New Roman" w:cs="仿宋_GB2312" w:hint="eastAsia"/>
          <w:snapToGrid/>
          <w:sz w:val="32"/>
          <w:szCs w:val="32"/>
          <w:lang w:eastAsia="zh-CN"/>
        </w:rPr>
        <w:t>9</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。开展食品抽检</w:t>
      </w:r>
      <w:r>
        <w:rPr>
          <w:rFonts w:ascii="Times New Roman" w:eastAsia="仿宋_GB2312" w:hAnsi="Times New Roman" w:cs="仿宋_GB2312" w:hint="eastAsia"/>
          <w:snapToGrid/>
          <w:sz w:val="32"/>
          <w:szCs w:val="32"/>
          <w:lang w:val="en" w:eastAsia="zh-CN"/>
        </w:rPr>
        <w:t>4883</w:t>
      </w:r>
      <w:r>
        <w:rPr>
          <w:rFonts w:ascii="Times New Roman" w:eastAsia="仿宋_GB2312" w:hAnsi="Times New Roman" w:cs="仿宋_GB2312" w:hint="eastAsia"/>
          <w:snapToGrid/>
          <w:sz w:val="32"/>
          <w:szCs w:val="32"/>
          <w:lang w:val="zh-CN" w:eastAsia="zh-CN"/>
        </w:rPr>
        <w:t>批次，省级评价性抽检合格率</w:t>
      </w:r>
      <w:r>
        <w:rPr>
          <w:rFonts w:ascii="Times New Roman" w:eastAsia="仿宋_GB2312" w:hAnsi="Times New Roman" w:cs="仿宋_GB2312" w:hint="eastAsia"/>
          <w:snapToGrid/>
          <w:sz w:val="32"/>
          <w:szCs w:val="32"/>
          <w:lang w:val="zh-CN" w:eastAsia="zh-CN"/>
        </w:rPr>
        <w:t>99.</w:t>
      </w:r>
      <w:r>
        <w:rPr>
          <w:rFonts w:ascii="Times New Roman" w:eastAsia="仿宋_GB2312" w:hAnsi="Times New Roman" w:cs="仿宋_GB2312" w:hint="eastAsia"/>
          <w:snapToGrid/>
          <w:sz w:val="32"/>
          <w:szCs w:val="32"/>
          <w:lang w:val="en" w:eastAsia="zh-CN"/>
        </w:rPr>
        <w:t>3</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。二是严控药品安全风险，落实“三医”协同发展治理，推行医疗器械经营企业正负面清单，开展药械化抽检</w:t>
      </w:r>
      <w:r>
        <w:rPr>
          <w:rFonts w:ascii="Times New Roman" w:eastAsia="仿宋_GB2312" w:hAnsi="Times New Roman" w:cs="仿宋_GB2312" w:hint="eastAsia"/>
          <w:snapToGrid/>
          <w:sz w:val="32"/>
          <w:szCs w:val="32"/>
          <w:lang w:val="zh-CN" w:eastAsia="zh-CN"/>
        </w:rPr>
        <w:t>540</w:t>
      </w:r>
      <w:r>
        <w:rPr>
          <w:rFonts w:ascii="Times New Roman" w:eastAsia="仿宋_GB2312" w:hAnsi="Times New Roman" w:cs="仿宋_GB2312" w:hint="eastAsia"/>
          <w:snapToGrid/>
          <w:sz w:val="32"/>
          <w:szCs w:val="32"/>
          <w:lang w:val="zh-CN" w:eastAsia="zh-CN"/>
        </w:rPr>
        <w:t>批次，查办的朱某某销售假药案等</w:t>
      </w: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个案件入选国家药监</w:t>
      </w:r>
      <w:proofErr w:type="gramStart"/>
      <w:r>
        <w:rPr>
          <w:rFonts w:ascii="Times New Roman" w:eastAsia="仿宋_GB2312" w:hAnsi="Times New Roman" w:cs="仿宋_GB2312" w:hint="eastAsia"/>
          <w:snapToGrid/>
          <w:sz w:val="32"/>
          <w:szCs w:val="32"/>
          <w:lang w:val="zh-CN" w:eastAsia="zh-CN"/>
        </w:rPr>
        <w:t>局典型</w:t>
      </w:r>
      <w:proofErr w:type="gramEnd"/>
      <w:r>
        <w:rPr>
          <w:rFonts w:ascii="Times New Roman" w:eastAsia="仿宋_GB2312" w:hAnsi="Times New Roman" w:cs="仿宋_GB2312" w:hint="eastAsia"/>
          <w:snapToGrid/>
          <w:sz w:val="32"/>
          <w:szCs w:val="32"/>
          <w:lang w:val="zh-CN" w:eastAsia="zh-CN"/>
        </w:rPr>
        <w:t>案例。三是强化工业产品安全源头治理，加强电动自行车、燃气器具等产品质量隐患排查，开展监督抽查</w:t>
      </w:r>
      <w:r>
        <w:rPr>
          <w:rFonts w:ascii="Times New Roman" w:eastAsia="仿宋_GB2312" w:hAnsi="Times New Roman" w:cs="仿宋_GB2312" w:hint="eastAsia"/>
          <w:snapToGrid/>
          <w:sz w:val="32"/>
          <w:szCs w:val="32"/>
          <w:lang w:val="zh-CN" w:eastAsia="zh-CN"/>
        </w:rPr>
        <w:t>395</w:t>
      </w:r>
      <w:r>
        <w:rPr>
          <w:rFonts w:ascii="Times New Roman" w:eastAsia="仿宋_GB2312" w:hAnsi="Times New Roman" w:cs="仿宋_GB2312" w:hint="eastAsia"/>
          <w:snapToGrid/>
          <w:sz w:val="32"/>
          <w:szCs w:val="32"/>
          <w:lang w:val="zh-CN" w:eastAsia="zh-CN"/>
        </w:rPr>
        <w:t>批次，发现整改问题</w:t>
      </w:r>
      <w:r>
        <w:rPr>
          <w:rFonts w:ascii="Times New Roman" w:eastAsia="仿宋_GB2312" w:hAnsi="Times New Roman" w:cs="仿宋_GB2312" w:hint="eastAsia"/>
          <w:snapToGrid/>
          <w:sz w:val="32"/>
          <w:szCs w:val="32"/>
          <w:lang w:val="zh-CN" w:eastAsia="zh-CN"/>
        </w:rPr>
        <w:t>454</w:t>
      </w:r>
      <w:r>
        <w:rPr>
          <w:rFonts w:ascii="Times New Roman" w:eastAsia="仿宋_GB2312" w:hAnsi="Times New Roman" w:cs="仿宋_GB2312" w:hint="eastAsia"/>
          <w:snapToGrid/>
          <w:sz w:val="32"/>
          <w:szCs w:val="32"/>
          <w:lang w:val="zh-CN" w:eastAsia="zh-CN"/>
        </w:rPr>
        <w:t>个。四是强化特种设备安全责任落实，深入推进城市有机更新行动，排查工贸、化工等领域特种设备重大事故隐患</w:t>
      </w:r>
      <w:r>
        <w:rPr>
          <w:rFonts w:ascii="Times New Roman" w:eastAsia="仿宋_GB2312" w:hAnsi="Times New Roman" w:cs="仿宋_GB2312" w:hint="eastAsia"/>
          <w:snapToGrid/>
          <w:sz w:val="32"/>
          <w:szCs w:val="32"/>
          <w:lang w:val="zh-CN" w:eastAsia="zh-CN"/>
        </w:rPr>
        <w:t>109</w:t>
      </w:r>
      <w:r>
        <w:rPr>
          <w:rFonts w:ascii="Times New Roman" w:eastAsia="仿宋_GB2312" w:hAnsi="Times New Roman" w:cs="仿宋_GB2312" w:hint="eastAsia"/>
          <w:snapToGrid/>
          <w:sz w:val="32"/>
          <w:szCs w:val="32"/>
          <w:lang w:val="zh-CN" w:eastAsia="zh-CN"/>
        </w:rPr>
        <w:t>个，整改率</w:t>
      </w:r>
      <w:r>
        <w:rPr>
          <w:rFonts w:ascii="Times New Roman" w:eastAsia="仿宋_GB2312" w:hAnsi="Times New Roman" w:cs="仿宋_GB2312" w:hint="eastAsia"/>
          <w:snapToGrid/>
          <w:sz w:val="32"/>
          <w:szCs w:val="32"/>
          <w:lang w:val="zh-CN" w:eastAsia="zh-CN"/>
        </w:rPr>
        <w:t>100%</w:t>
      </w:r>
      <w:r>
        <w:rPr>
          <w:rFonts w:ascii="Times New Roman" w:eastAsia="仿宋_GB2312" w:hAnsi="Times New Roman" w:cs="仿宋_GB2312" w:hint="eastAsia"/>
          <w:snapToGrid/>
          <w:sz w:val="32"/>
          <w:szCs w:val="32"/>
          <w:lang w:val="zh-CN" w:eastAsia="zh-CN"/>
        </w:rPr>
        <w:t>。试点省级化工企业特种设备规范化管理，全覆盖监管</w:t>
      </w:r>
      <w:r>
        <w:rPr>
          <w:rFonts w:ascii="Times New Roman" w:eastAsia="仿宋_GB2312" w:hAnsi="Times New Roman" w:cs="仿宋_GB2312" w:hint="eastAsia"/>
          <w:snapToGrid/>
          <w:sz w:val="32"/>
          <w:szCs w:val="32"/>
          <w:lang w:val="zh-CN" w:eastAsia="zh-CN"/>
        </w:rPr>
        <w:t>1183</w:t>
      </w:r>
      <w:r>
        <w:rPr>
          <w:rFonts w:ascii="Times New Roman" w:eastAsia="仿宋_GB2312" w:hAnsi="Times New Roman" w:cs="仿宋_GB2312" w:hint="eastAsia"/>
          <w:snapToGrid/>
          <w:sz w:val="32"/>
          <w:szCs w:val="32"/>
          <w:lang w:val="zh-CN" w:eastAsia="zh-CN"/>
        </w:rPr>
        <w:t>家生产使用单位和</w:t>
      </w:r>
      <w:r>
        <w:rPr>
          <w:rFonts w:ascii="Times New Roman" w:eastAsia="仿宋_GB2312" w:hAnsi="Times New Roman" w:cs="仿宋_GB2312" w:hint="eastAsia"/>
          <w:snapToGrid/>
          <w:sz w:val="32"/>
          <w:szCs w:val="32"/>
          <w:lang w:val="zh-CN" w:eastAsia="zh-CN"/>
        </w:rPr>
        <w:lastRenderedPageBreak/>
        <w:t>2.33</w:t>
      </w:r>
      <w:r>
        <w:rPr>
          <w:rFonts w:ascii="Times New Roman" w:eastAsia="仿宋_GB2312" w:hAnsi="Times New Roman" w:cs="仿宋_GB2312" w:hint="eastAsia"/>
          <w:snapToGrid/>
          <w:sz w:val="32"/>
          <w:szCs w:val="32"/>
          <w:lang w:val="zh-CN" w:eastAsia="zh-CN"/>
        </w:rPr>
        <w:t>台（套）特种设备。</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聚焦政治机关建设，</w:t>
      </w:r>
      <w:proofErr w:type="gramStart"/>
      <w:r>
        <w:rPr>
          <w:rFonts w:ascii="Times New Roman" w:eastAsia="仿宋_GB2312" w:hAnsi="Times New Roman" w:cs="仿宋_GB2312" w:hint="eastAsia"/>
          <w:snapToGrid/>
          <w:sz w:val="32"/>
          <w:szCs w:val="32"/>
          <w:lang w:val="zh-CN" w:eastAsia="zh-CN"/>
        </w:rPr>
        <w:t>打造市监</w:t>
      </w:r>
      <w:proofErr w:type="gramEnd"/>
      <w:r>
        <w:rPr>
          <w:rFonts w:ascii="Times New Roman" w:eastAsia="仿宋_GB2312" w:hAnsi="Times New Roman" w:cs="仿宋_GB2312" w:hint="eastAsia"/>
          <w:snapToGrid/>
          <w:sz w:val="32"/>
          <w:szCs w:val="32"/>
          <w:lang w:val="zh-CN" w:eastAsia="zh-CN"/>
        </w:rPr>
        <w:t>铁军队伍。一是深入学习贯彻党的二十届四中全会、省委十二届历次全会、市委十一届历次全会等重要会议精神，通过党组扩大会、“三会一课”等形式，组织党员干部研讨交流</w:t>
      </w:r>
      <w:r>
        <w:rPr>
          <w:rFonts w:ascii="Times New Roman" w:eastAsia="仿宋_GB2312" w:hAnsi="Times New Roman" w:cs="仿宋_GB2312" w:hint="eastAsia"/>
          <w:snapToGrid/>
          <w:sz w:val="32"/>
          <w:szCs w:val="32"/>
          <w:lang w:val="zh-CN" w:eastAsia="zh-CN"/>
        </w:rPr>
        <w:t>40</w:t>
      </w:r>
      <w:r>
        <w:rPr>
          <w:rFonts w:ascii="Times New Roman" w:eastAsia="仿宋_GB2312" w:hAnsi="Times New Roman" w:cs="仿宋_GB2312" w:hint="eastAsia"/>
          <w:snapToGrid/>
          <w:sz w:val="32"/>
          <w:szCs w:val="32"/>
          <w:lang w:val="zh-CN" w:eastAsia="zh-CN"/>
        </w:rPr>
        <w:t>余次。二是统筹推进群众身边不正之风和腐败问题集中及行风建设，细化行风建设</w:t>
      </w:r>
      <w:r>
        <w:rPr>
          <w:rFonts w:ascii="Times New Roman" w:eastAsia="仿宋_GB2312" w:hAnsi="Times New Roman" w:cs="仿宋_GB2312" w:hint="eastAsia"/>
          <w:snapToGrid/>
          <w:sz w:val="32"/>
          <w:szCs w:val="32"/>
          <w:lang w:val="zh-CN" w:eastAsia="zh-CN"/>
        </w:rPr>
        <w:t>33</w:t>
      </w:r>
      <w:r>
        <w:rPr>
          <w:rFonts w:ascii="Times New Roman" w:eastAsia="仿宋_GB2312" w:hAnsi="Times New Roman" w:cs="仿宋_GB2312" w:hint="eastAsia"/>
          <w:snapToGrid/>
          <w:sz w:val="32"/>
          <w:szCs w:val="32"/>
          <w:lang w:val="zh-CN" w:eastAsia="zh-CN"/>
        </w:rPr>
        <w:t>项任务，被纪检监察部门确定为有效线索</w:t>
      </w:r>
      <w:r>
        <w:rPr>
          <w:rFonts w:ascii="Times New Roman" w:eastAsia="仿宋_GB2312" w:hAnsi="Times New Roman" w:cs="仿宋_GB2312" w:hint="eastAsia"/>
          <w:snapToGrid/>
          <w:sz w:val="32"/>
          <w:szCs w:val="32"/>
          <w:lang w:val="zh-CN" w:eastAsia="zh-CN"/>
        </w:rPr>
        <w:t>13</w:t>
      </w:r>
      <w:r>
        <w:rPr>
          <w:rFonts w:ascii="Times New Roman" w:eastAsia="仿宋_GB2312" w:hAnsi="Times New Roman" w:cs="仿宋_GB2312" w:hint="eastAsia"/>
          <w:snapToGrid/>
          <w:sz w:val="32"/>
          <w:szCs w:val="32"/>
          <w:lang w:val="zh-CN" w:eastAsia="zh-CN"/>
        </w:rPr>
        <w:t>条，部门移交问题线索立案</w:t>
      </w:r>
      <w:r>
        <w:rPr>
          <w:rFonts w:ascii="Times New Roman" w:eastAsia="仿宋_GB2312" w:hAnsi="Times New Roman" w:cs="仿宋_GB2312" w:hint="eastAsia"/>
          <w:snapToGrid/>
          <w:sz w:val="32"/>
          <w:szCs w:val="32"/>
          <w:lang w:val="zh-CN" w:eastAsia="zh-CN"/>
        </w:rPr>
        <w:t>6</w:t>
      </w:r>
      <w:r>
        <w:rPr>
          <w:rFonts w:ascii="Times New Roman" w:eastAsia="仿宋_GB2312" w:hAnsi="Times New Roman" w:cs="仿宋_GB2312" w:hint="eastAsia"/>
          <w:snapToGrid/>
          <w:sz w:val="32"/>
          <w:szCs w:val="32"/>
          <w:lang w:val="zh-CN" w:eastAsia="zh-CN"/>
        </w:rPr>
        <w:t>件。三是加强“小个专”党建工作，培育“骑手友好商户”</w:t>
      </w:r>
      <w:r>
        <w:rPr>
          <w:rFonts w:ascii="Times New Roman" w:eastAsia="仿宋_GB2312" w:hAnsi="Times New Roman" w:cs="仿宋_GB2312" w:hint="eastAsia"/>
          <w:snapToGrid/>
          <w:sz w:val="32"/>
          <w:szCs w:val="32"/>
          <w:lang w:val="zh-CN" w:eastAsia="zh-CN"/>
        </w:rPr>
        <w:t>30</w:t>
      </w:r>
      <w:r>
        <w:rPr>
          <w:rFonts w:ascii="Times New Roman" w:eastAsia="仿宋_GB2312" w:hAnsi="Times New Roman" w:cs="仿宋_GB2312" w:hint="eastAsia"/>
          <w:snapToGrid/>
          <w:sz w:val="32"/>
          <w:szCs w:val="32"/>
          <w:lang w:val="zh-CN" w:eastAsia="zh-CN"/>
        </w:rPr>
        <w:t>户，表彰“微聚花城·红骑手”</w:t>
      </w:r>
      <w:r>
        <w:rPr>
          <w:rFonts w:ascii="Times New Roman" w:eastAsia="仿宋_GB2312" w:hAnsi="Times New Roman" w:cs="仿宋_GB2312" w:hint="eastAsia"/>
          <w:snapToGrid/>
          <w:sz w:val="32"/>
          <w:szCs w:val="32"/>
          <w:lang w:val="zh-CN" w:eastAsia="zh-CN"/>
        </w:rPr>
        <w:t>10</w:t>
      </w:r>
      <w:r>
        <w:rPr>
          <w:rFonts w:ascii="Times New Roman" w:eastAsia="仿宋_GB2312" w:hAnsi="Times New Roman" w:cs="仿宋_GB2312" w:hint="eastAsia"/>
          <w:snapToGrid/>
          <w:sz w:val="32"/>
          <w:szCs w:val="32"/>
          <w:lang w:val="zh-CN" w:eastAsia="zh-CN"/>
        </w:rPr>
        <w:t>名，宋艳华</w:t>
      </w:r>
      <w:proofErr w:type="gramStart"/>
      <w:r>
        <w:rPr>
          <w:rFonts w:ascii="Times New Roman" w:eastAsia="仿宋_GB2312" w:hAnsi="Times New Roman" w:cs="仿宋_GB2312" w:hint="eastAsia"/>
          <w:snapToGrid/>
          <w:sz w:val="32"/>
          <w:szCs w:val="32"/>
          <w:lang w:val="zh-CN" w:eastAsia="zh-CN"/>
        </w:rPr>
        <w:t>餐馆获</w:t>
      </w:r>
      <w:proofErr w:type="gramEnd"/>
      <w:r>
        <w:rPr>
          <w:rFonts w:ascii="Times New Roman" w:eastAsia="仿宋_GB2312" w:hAnsi="Times New Roman" w:cs="仿宋_GB2312" w:hint="eastAsia"/>
          <w:snapToGrid/>
          <w:sz w:val="32"/>
          <w:szCs w:val="32"/>
          <w:lang w:val="zh-CN" w:eastAsia="zh-CN"/>
        </w:rPr>
        <w:t>评全国“小个专”及网约配送员</w:t>
      </w:r>
      <w:proofErr w:type="gramStart"/>
      <w:r>
        <w:rPr>
          <w:rFonts w:ascii="Times New Roman" w:eastAsia="仿宋_GB2312" w:hAnsi="Times New Roman" w:cs="仿宋_GB2312" w:hint="eastAsia"/>
          <w:snapToGrid/>
          <w:sz w:val="32"/>
          <w:szCs w:val="32"/>
          <w:lang w:val="zh-CN" w:eastAsia="zh-CN"/>
        </w:rPr>
        <w:t>群体党建</w:t>
      </w:r>
      <w:proofErr w:type="gramEnd"/>
      <w:r>
        <w:rPr>
          <w:rFonts w:ascii="Times New Roman" w:eastAsia="仿宋_GB2312" w:hAnsi="Times New Roman" w:cs="仿宋_GB2312" w:hint="eastAsia"/>
          <w:snapToGrid/>
          <w:sz w:val="32"/>
          <w:szCs w:val="32"/>
          <w:lang w:val="zh-CN" w:eastAsia="zh-CN"/>
        </w:rPr>
        <w:t>工作创新试点单位，市</w:t>
      </w:r>
      <w:proofErr w:type="gramStart"/>
      <w:r>
        <w:rPr>
          <w:rFonts w:ascii="Times New Roman" w:eastAsia="仿宋_GB2312" w:hAnsi="Times New Roman" w:cs="仿宋_GB2312" w:hint="eastAsia"/>
          <w:snapToGrid/>
          <w:sz w:val="32"/>
          <w:szCs w:val="32"/>
          <w:lang w:val="zh-CN" w:eastAsia="zh-CN"/>
        </w:rPr>
        <w:t>个</w:t>
      </w:r>
      <w:proofErr w:type="gramEnd"/>
      <w:r>
        <w:rPr>
          <w:rFonts w:ascii="Times New Roman" w:eastAsia="仿宋_GB2312" w:hAnsi="Times New Roman" w:cs="仿宋_GB2312" w:hint="eastAsia"/>
          <w:snapToGrid/>
          <w:sz w:val="32"/>
          <w:szCs w:val="32"/>
          <w:lang w:val="zh-CN" w:eastAsia="zh-CN"/>
        </w:rPr>
        <w:t>私协会荣获全国系统先进单位（已公示）。四是强化队伍作风建设，严格执行会风“十严禁”、工作作风“十不准”，探索试行量化分级考核管理办法。</w:t>
      </w:r>
    </w:p>
    <w:p w:rsidR="004B0FC1" w:rsidRDefault="00A976D9">
      <w:pPr>
        <w:pStyle w:val="NewNewNewNewNewNewNewNewNewNewNewNewNewNewNewNew"/>
        <w:widowControl/>
        <w:pBdr>
          <w:bottom w:val="single" w:sz="4" w:space="30" w:color="FFFFFF"/>
        </w:pBdr>
        <w:adjustRightInd w:val="0"/>
        <w:snapToGrid w:val="0"/>
        <w:spacing w:line="560" w:lineRule="exact"/>
        <w:ind w:firstLineChars="200" w:firstLine="632"/>
        <w:rPr>
          <w:rFonts w:ascii="Times New Roman" w:eastAsia="黑体" w:hAnsi="Times New Roman" w:cs="Times New Roman"/>
          <w:sz w:val="32"/>
          <w:szCs w:val="32"/>
        </w:rPr>
      </w:pPr>
      <w:r>
        <w:rPr>
          <w:rFonts w:ascii="Times New Roman" w:eastAsia="黑体" w:hAnsi="Times New Roman" w:cs="Times New Roman" w:hint="eastAsia"/>
          <w:sz w:val="32"/>
          <w:szCs w:val="32"/>
        </w:rPr>
        <w:t>四、评价结论</w:t>
      </w:r>
    </w:p>
    <w:p w:rsidR="004B0FC1" w:rsidRDefault="00A976D9">
      <w:pPr>
        <w:pStyle w:val="NewNewNewNewNewNewNewNewNewNewNewNewNewNewNewNew"/>
        <w:widowControl/>
        <w:pBdr>
          <w:bottom w:val="single" w:sz="4" w:space="30" w:color="FFFFFF"/>
        </w:pBdr>
        <w:adjustRightInd w:val="0"/>
        <w:snapToGrid w:val="0"/>
        <w:spacing w:line="560" w:lineRule="exact"/>
        <w:ind w:firstLineChars="200" w:firstLine="632"/>
        <w:rPr>
          <w:rFonts w:ascii="Times New Roman" w:eastAsia="仿宋_GB2312" w:hAnsi="Times New Roman" w:cs="仿宋_GB2312"/>
          <w:kern w:val="0"/>
          <w:sz w:val="32"/>
          <w:szCs w:val="32"/>
          <w:lang w:val="zh-CN"/>
        </w:rPr>
      </w:pPr>
      <w:r>
        <w:rPr>
          <w:rFonts w:ascii="Times New Roman" w:eastAsia="仿宋_GB2312" w:hAnsi="Times New Roman" w:cs="仿宋_GB2312" w:hint="eastAsia"/>
          <w:kern w:val="0"/>
          <w:sz w:val="32"/>
          <w:szCs w:val="32"/>
          <w:lang w:val="zh-CN"/>
        </w:rPr>
        <w:t>2025</w:t>
      </w:r>
      <w:r>
        <w:rPr>
          <w:rFonts w:ascii="Times New Roman" w:eastAsia="仿宋_GB2312" w:hAnsi="Times New Roman" w:cs="仿宋_GB2312" w:hint="eastAsia"/>
          <w:kern w:val="0"/>
          <w:sz w:val="32"/>
          <w:szCs w:val="32"/>
          <w:lang w:val="zh-CN"/>
        </w:rPr>
        <w:t>年，我局坚定落实各项市场监管目标任务、聚焦重点关键，通过项目实施，加强了市场安全监管，防控食品、重要工业产品质量、特种设备安全风险隐患，严厉打击违规违法行为，保障了人民群众身体健康。省级市场监管专项资金绩效评价综合得分为</w:t>
      </w:r>
      <w:r>
        <w:rPr>
          <w:rFonts w:ascii="Times New Roman" w:eastAsia="仿宋_GB2312" w:hAnsi="Times New Roman" w:cs="仿宋_GB2312" w:hint="eastAsia"/>
          <w:kern w:val="0"/>
          <w:sz w:val="32"/>
          <w:szCs w:val="32"/>
          <w:lang w:val="zh-CN"/>
        </w:rPr>
        <w:t>95.25</w:t>
      </w:r>
      <w:r>
        <w:rPr>
          <w:rFonts w:ascii="Times New Roman" w:eastAsia="仿宋_GB2312" w:hAnsi="Times New Roman" w:cs="仿宋_GB2312" w:hint="eastAsia"/>
          <w:kern w:val="0"/>
          <w:sz w:val="32"/>
          <w:szCs w:val="32"/>
          <w:lang w:val="zh-CN"/>
        </w:rPr>
        <w:t>分。</w:t>
      </w:r>
    </w:p>
    <w:p w:rsidR="004B0FC1" w:rsidRDefault="00A976D9">
      <w:pPr>
        <w:pStyle w:val="NewNewNewNewNewNewNewNewNewNewNewNewNewNewNewNewNewNew"/>
        <w:widowControl/>
        <w:pBdr>
          <w:bottom w:val="single" w:sz="4" w:space="30" w:color="FFFFFF"/>
        </w:pBdr>
        <w:adjustRightInd w:val="0"/>
        <w:snapToGrid w:val="0"/>
        <w:spacing w:line="560" w:lineRule="exact"/>
        <w:ind w:firstLineChars="200" w:firstLine="632"/>
        <w:rPr>
          <w:rFonts w:eastAsia="黑体"/>
          <w:kern w:val="2"/>
          <w:szCs w:val="32"/>
        </w:rPr>
      </w:pPr>
      <w:r>
        <w:rPr>
          <w:rFonts w:eastAsia="黑体" w:hint="eastAsia"/>
          <w:kern w:val="2"/>
          <w:szCs w:val="32"/>
        </w:rPr>
        <w:t>五、存在主要问题</w:t>
      </w:r>
    </w:p>
    <w:p w:rsidR="004B0FC1" w:rsidRDefault="00A976D9">
      <w:pPr>
        <w:pStyle w:val="NewNewNewNewNewNewNewNewNewNewNewNewNewNewNewNew"/>
        <w:widowControl/>
        <w:pBdr>
          <w:bottom w:val="single" w:sz="4" w:space="30" w:color="FFFFFF"/>
        </w:pBdr>
        <w:adjustRightInd w:val="0"/>
        <w:snapToGrid w:val="0"/>
        <w:spacing w:line="560" w:lineRule="exact"/>
        <w:ind w:firstLineChars="200" w:firstLine="632"/>
        <w:rPr>
          <w:rFonts w:ascii="Times New Roman" w:eastAsia="仿宋_GB2312" w:hAnsi="Times New Roman" w:cs="仿宋_GB2312"/>
          <w:kern w:val="0"/>
          <w:sz w:val="32"/>
          <w:szCs w:val="32"/>
          <w:lang w:val="zh-CN"/>
        </w:rPr>
      </w:pPr>
      <w:r>
        <w:rPr>
          <w:rFonts w:ascii="Times New Roman" w:eastAsia="仿宋_GB2312" w:hAnsi="Times New Roman" w:cs="仿宋_GB2312" w:hint="eastAsia"/>
          <w:kern w:val="0"/>
          <w:sz w:val="32"/>
          <w:szCs w:val="32"/>
          <w:lang w:val="zh-CN"/>
        </w:rPr>
        <w:lastRenderedPageBreak/>
        <w:t>个别县区财力有限，存在下达资金已到位、但项目单位申请资金计划无法得到当地财政及时审核的情况，导致当年度预算执行率偏低的问题。</w:t>
      </w:r>
    </w:p>
    <w:p w:rsidR="004B0FC1" w:rsidRDefault="00A976D9">
      <w:pPr>
        <w:pStyle w:val="NewNewNewNewNewNewNewNewNewNewNewNewNewNewNewNewNew"/>
        <w:widowControl/>
        <w:pBdr>
          <w:bottom w:val="single" w:sz="4" w:space="30" w:color="FFFFFF"/>
        </w:pBdr>
        <w:adjustRightInd w:val="0"/>
        <w:snapToGrid w:val="0"/>
        <w:spacing w:line="560" w:lineRule="exact"/>
        <w:ind w:firstLine="640"/>
        <w:rPr>
          <w:rFonts w:eastAsia="黑体"/>
          <w:lang w:val="zh-CN"/>
        </w:rPr>
      </w:pPr>
      <w:r>
        <w:rPr>
          <w:rFonts w:eastAsia="黑体" w:hint="eastAsia"/>
        </w:rPr>
        <w:t>六、</w:t>
      </w:r>
      <w:r>
        <w:rPr>
          <w:rFonts w:eastAsia="黑体" w:hint="eastAsia"/>
          <w:lang w:val="zh-CN"/>
        </w:rPr>
        <w:t>改进建议</w:t>
      </w:r>
    </w:p>
    <w:p w:rsidR="004B0FC1" w:rsidRDefault="00A976D9">
      <w:pPr>
        <w:pStyle w:val="NewNewNewNewNewNewNewNewNewNewNewNewNewNewNewNew"/>
        <w:widowControl/>
        <w:pBdr>
          <w:bottom w:val="single" w:sz="4" w:space="30" w:color="FFFFFF"/>
        </w:pBdr>
        <w:adjustRightInd w:val="0"/>
        <w:snapToGrid w:val="0"/>
        <w:spacing w:line="560" w:lineRule="exact"/>
        <w:ind w:firstLineChars="200" w:firstLine="632"/>
        <w:rPr>
          <w:rFonts w:ascii="Times New Roman" w:eastAsia="仿宋_GB2312" w:hAnsi="Times New Roman" w:cs="仿宋_GB2312"/>
          <w:kern w:val="0"/>
          <w:sz w:val="32"/>
          <w:szCs w:val="32"/>
          <w:lang w:val="zh-CN"/>
        </w:rPr>
        <w:sectPr w:rsidR="004B0FC1">
          <w:pgSz w:w="11906" w:h="16838"/>
          <w:pgMar w:top="2098" w:right="1474" w:bottom="1984" w:left="1587" w:header="907" w:footer="1644" w:gutter="0"/>
          <w:cols w:space="0"/>
          <w:docGrid w:type="linesAndChars" w:linePitch="579" w:charSpace="-842"/>
        </w:sectPr>
      </w:pPr>
      <w:r>
        <w:rPr>
          <w:rFonts w:ascii="Times New Roman" w:eastAsia="仿宋_GB2312" w:hAnsi="Times New Roman" w:cs="仿宋_GB2312" w:hint="eastAsia"/>
          <w:kern w:val="0"/>
          <w:sz w:val="32"/>
          <w:szCs w:val="32"/>
          <w:lang w:val="zh-CN"/>
        </w:rPr>
        <w:t>下一步，将落实预算主体责任，加快预算执行进度。完善预算支出责任制度，强化目标绩效管理，细化财务核算。加强与同级财政部门对接沟通，加快预算资金拨付审核进度，确保预算执行力度，最大效益发挥专项资金效益。规范项目实施单位加强财务管理、内控制度的学习、培训，强化专项资金的执行规范，细化和规范专项资金核算要求，提高财务核算精细化水平，为成本分析和成本控制奠定基础。</w:t>
      </w:r>
    </w:p>
    <w:p w:rsidR="004B0FC1" w:rsidRDefault="00A976D9">
      <w:pPr>
        <w:spacing w:before="101" w:line="360" w:lineRule="auto"/>
        <w:rPr>
          <w:rFonts w:ascii="黑体" w:eastAsia="黑体" w:hAnsi="黑体" w:cs="黑体"/>
          <w:sz w:val="31"/>
          <w:szCs w:val="31"/>
          <w:lang w:eastAsia="zh-CN"/>
        </w:rPr>
      </w:pPr>
      <w:r>
        <w:rPr>
          <w:rFonts w:ascii="黑体" w:eastAsia="黑体" w:hAnsi="黑体" w:cs="黑体"/>
          <w:spacing w:val="-2"/>
          <w:sz w:val="31"/>
          <w:szCs w:val="31"/>
          <w:lang w:eastAsia="zh-CN"/>
        </w:rPr>
        <w:lastRenderedPageBreak/>
        <w:t>附件2-</w:t>
      </w:r>
      <w:r>
        <w:rPr>
          <w:rFonts w:ascii="黑体" w:eastAsia="黑体" w:hAnsi="黑体" w:cs="黑体" w:hint="eastAsia"/>
          <w:spacing w:val="-2"/>
          <w:sz w:val="31"/>
          <w:szCs w:val="31"/>
          <w:lang w:eastAsia="zh-CN"/>
        </w:rPr>
        <w:t>5</w:t>
      </w:r>
    </w:p>
    <w:p w:rsidR="004B0FC1" w:rsidRDefault="00A976D9">
      <w:pPr>
        <w:widowControl w:val="0"/>
        <w:kinsoku/>
        <w:autoSpaceDE/>
        <w:autoSpaceDN/>
        <w:adjustRightInd/>
        <w:snapToGrid/>
        <w:spacing w:line="600" w:lineRule="exact"/>
        <w:jc w:val="center"/>
        <w:textAlignment w:val="auto"/>
        <w:rPr>
          <w:rFonts w:ascii="Times New Roman" w:eastAsia="方正小标宋简体" w:hAnsi="Times New Roman" w:cs="Times New Roman"/>
          <w:snapToGrid/>
          <w:kern w:val="2"/>
          <w:sz w:val="40"/>
          <w:szCs w:val="40"/>
          <w:lang w:val="zh-CN" w:eastAsia="zh-CN"/>
        </w:rPr>
      </w:pPr>
      <w:r>
        <w:rPr>
          <w:rFonts w:ascii="Times New Roman" w:eastAsia="方正小标宋简体" w:hAnsi="Times New Roman" w:cs="Times New Roman" w:hint="eastAsia"/>
          <w:snapToGrid/>
          <w:kern w:val="2"/>
          <w:sz w:val="40"/>
          <w:szCs w:val="40"/>
          <w:lang w:val="zh-CN" w:eastAsia="zh-CN"/>
        </w:rPr>
        <w:t>攀枝花市市场监督管理局</w:t>
      </w:r>
    </w:p>
    <w:p w:rsidR="004B0FC1" w:rsidRDefault="00A976D9">
      <w:pPr>
        <w:widowControl w:val="0"/>
        <w:kinsoku/>
        <w:autoSpaceDE/>
        <w:autoSpaceDN/>
        <w:adjustRightInd/>
        <w:snapToGrid/>
        <w:spacing w:line="600" w:lineRule="exact"/>
        <w:jc w:val="center"/>
        <w:textAlignment w:val="auto"/>
        <w:rPr>
          <w:rFonts w:ascii="Times New Roman" w:eastAsia="方正小标宋简体" w:hAnsi="Times New Roman" w:cs="Times New Roman"/>
          <w:snapToGrid/>
          <w:kern w:val="2"/>
          <w:sz w:val="40"/>
          <w:szCs w:val="40"/>
          <w:lang w:val="zh-CN" w:eastAsia="zh-CN"/>
        </w:rPr>
      </w:pPr>
      <w:r>
        <w:rPr>
          <w:rFonts w:ascii="Times New Roman" w:eastAsia="方正小标宋简体" w:hAnsi="Times New Roman" w:cs="Times New Roman" w:hint="eastAsia"/>
          <w:snapToGrid/>
          <w:kern w:val="2"/>
          <w:sz w:val="40"/>
          <w:szCs w:val="40"/>
          <w:lang w:val="zh-CN" w:eastAsia="zh-CN"/>
        </w:rPr>
        <w:t>2025</w:t>
      </w:r>
      <w:r>
        <w:rPr>
          <w:rFonts w:ascii="Times New Roman" w:eastAsia="方正小标宋简体" w:hAnsi="Times New Roman" w:cs="Times New Roman" w:hint="eastAsia"/>
          <w:snapToGrid/>
          <w:kern w:val="2"/>
          <w:sz w:val="40"/>
          <w:szCs w:val="40"/>
          <w:lang w:val="zh-CN" w:eastAsia="zh-CN"/>
        </w:rPr>
        <w:t>年度互联网</w:t>
      </w:r>
      <w:r>
        <w:rPr>
          <w:rFonts w:ascii="Times New Roman" w:eastAsia="方正小标宋简体" w:hAnsi="Times New Roman" w:cs="Times New Roman" w:hint="eastAsia"/>
          <w:snapToGrid/>
          <w:kern w:val="2"/>
          <w:sz w:val="40"/>
          <w:szCs w:val="40"/>
          <w:lang w:val="zh-CN" w:eastAsia="zh-CN"/>
        </w:rPr>
        <w:t>+AI</w:t>
      </w:r>
      <w:r>
        <w:rPr>
          <w:rFonts w:ascii="Times New Roman" w:eastAsia="方正小标宋简体" w:hAnsi="Times New Roman" w:cs="Times New Roman" w:hint="eastAsia"/>
          <w:snapToGrid/>
          <w:kern w:val="2"/>
          <w:sz w:val="40"/>
          <w:szCs w:val="40"/>
          <w:lang w:val="zh-CN" w:eastAsia="zh-CN"/>
        </w:rPr>
        <w:t>监管专项预算项目</w:t>
      </w:r>
    </w:p>
    <w:p w:rsidR="004B0FC1" w:rsidRDefault="00A976D9">
      <w:pPr>
        <w:widowControl w:val="0"/>
        <w:kinsoku/>
        <w:autoSpaceDE/>
        <w:autoSpaceDN/>
        <w:adjustRightInd/>
        <w:snapToGrid/>
        <w:spacing w:line="600" w:lineRule="exact"/>
        <w:jc w:val="center"/>
        <w:textAlignment w:val="auto"/>
        <w:rPr>
          <w:rFonts w:ascii="Times New Roman" w:eastAsia="方正小标宋简体" w:hAnsi="Times New Roman" w:cs="Times New Roman"/>
          <w:snapToGrid/>
          <w:kern w:val="2"/>
          <w:sz w:val="40"/>
          <w:szCs w:val="40"/>
          <w:lang w:val="zh-CN" w:eastAsia="zh-CN"/>
        </w:rPr>
      </w:pPr>
      <w:r>
        <w:rPr>
          <w:rFonts w:ascii="Times New Roman" w:eastAsia="方正小标宋简体" w:hAnsi="Times New Roman" w:cs="Times New Roman" w:hint="eastAsia"/>
          <w:snapToGrid/>
          <w:kern w:val="2"/>
          <w:sz w:val="40"/>
          <w:szCs w:val="40"/>
          <w:lang w:val="zh-CN" w:eastAsia="zh-CN"/>
        </w:rPr>
        <w:t>支出绩效自评报告</w:t>
      </w:r>
    </w:p>
    <w:p w:rsidR="004B0FC1" w:rsidRDefault="004B0FC1">
      <w:pPr>
        <w:widowControl w:val="0"/>
        <w:kinsoku/>
        <w:autoSpaceDE/>
        <w:autoSpaceDN/>
        <w:adjustRightInd/>
        <w:snapToGrid/>
        <w:spacing w:line="600" w:lineRule="exact"/>
        <w:jc w:val="center"/>
        <w:textAlignment w:val="auto"/>
        <w:rPr>
          <w:rFonts w:ascii="Times New Roman" w:eastAsia="方正小标宋简体" w:hAnsi="Times New Roman" w:cs="Times New Roman"/>
          <w:snapToGrid/>
          <w:kern w:val="2"/>
          <w:sz w:val="40"/>
          <w:szCs w:val="40"/>
          <w:lang w:val="zh-CN" w:eastAsia="zh-CN"/>
        </w:rPr>
      </w:pPr>
    </w:p>
    <w:p w:rsidR="004B0FC1" w:rsidRDefault="00A976D9">
      <w:pPr>
        <w:widowControl w:val="0"/>
        <w:kinsoku/>
        <w:autoSpaceDE/>
        <w:autoSpaceDN/>
        <w:spacing w:line="600" w:lineRule="exact"/>
        <w:ind w:firstLine="720"/>
        <w:jc w:val="both"/>
        <w:textAlignment w:val="auto"/>
        <w:rPr>
          <w:rFonts w:ascii="Times New Roman" w:eastAsia="黑体" w:hAnsi="Times New Roman" w:cs="Times New Roman"/>
          <w:snapToGrid/>
          <w:kern w:val="2"/>
          <w:sz w:val="32"/>
          <w:szCs w:val="32"/>
          <w:lang w:val="zh-CN" w:eastAsia="zh-CN"/>
        </w:rPr>
      </w:pPr>
      <w:r>
        <w:rPr>
          <w:rFonts w:ascii="Times New Roman" w:eastAsia="黑体" w:hAnsi="Times New Roman" w:cs="Times New Roman"/>
          <w:snapToGrid/>
          <w:kern w:val="2"/>
          <w:sz w:val="32"/>
          <w:szCs w:val="32"/>
          <w:lang w:eastAsia="zh-CN"/>
        </w:rPr>
        <w:t>一、</w:t>
      </w:r>
      <w:r>
        <w:rPr>
          <w:rFonts w:ascii="Times New Roman" w:eastAsia="黑体" w:hAnsi="Times New Roman" w:cs="Times New Roman"/>
          <w:snapToGrid/>
          <w:kern w:val="2"/>
          <w:sz w:val="32"/>
          <w:szCs w:val="32"/>
          <w:lang w:val="zh-CN" w:eastAsia="zh-CN"/>
        </w:rPr>
        <w:t>项目概况</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（一）项目基本情况。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eastAsia="zh-CN"/>
        </w:rPr>
        <w:t>.</w:t>
      </w:r>
      <w:r>
        <w:rPr>
          <w:rFonts w:ascii="Times New Roman" w:eastAsia="仿宋_GB2312" w:hAnsi="Times New Roman" w:cs="仿宋_GB2312" w:hint="eastAsia"/>
          <w:snapToGrid/>
          <w:sz w:val="32"/>
          <w:szCs w:val="32"/>
          <w:lang w:val="zh-CN" w:eastAsia="zh-CN"/>
        </w:rPr>
        <w:t>攀枝花市市场监督管理局组织申报项目，对项目进度监督管理，受上级部门委托组织验收。</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按照全省“互联网</w:t>
      </w:r>
      <w:r>
        <w:rPr>
          <w:rFonts w:ascii="Times New Roman" w:eastAsia="仿宋_GB2312" w:hAnsi="Times New Roman" w:cs="仿宋_GB2312" w:hint="eastAsia"/>
          <w:snapToGrid/>
          <w:sz w:val="32"/>
          <w:szCs w:val="32"/>
          <w:lang w:val="zh-CN" w:eastAsia="zh-CN"/>
        </w:rPr>
        <w:t>+AI</w:t>
      </w:r>
      <w:r>
        <w:rPr>
          <w:rFonts w:ascii="Times New Roman" w:eastAsia="仿宋_GB2312" w:hAnsi="Times New Roman" w:cs="仿宋_GB2312" w:hint="eastAsia"/>
          <w:snapToGrid/>
          <w:sz w:val="32"/>
          <w:szCs w:val="32"/>
          <w:lang w:val="zh-CN" w:eastAsia="zh-CN"/>
        </w:rPr>
        <w:t>监管”工作推进会议安排及《四川省市场监督管理局关于印发</w:t>
      </w:r>
      <w:r>
        <w:rPr>
          <w:rFonts w:ascii="Times New Roman" w:eastAsia="仿宋_GB2312" w:hAnsi="Times New Roman" w:cs="仿宋_GB2312" w:hint="eastAsia"/>
          <w:snapToGrid/>
          <w:sz w:val="32"/>
          <w:szCs w:val="32"/>
          <w:lang w:val="zh-CN" w:eastAsia="zh-CN"/>
        </w:rPr>
        <w:t>&lt;</w:t>
      </w:r>
      <w:r>
        <w:rPr>
          <w:rFonts w:ascii="Times New Roman" w:eastAsia="仿宋_GB2312" w:hAnsi="Times New Roman" w:cs="仿宋_GB2312" w:hint="eastAsia"/>
          <w:snapToGrid/>
          <w:sz w:val="32"/>
          <w:szCs w:val="32"/>
          <w:lang w:val="zh-CN" w:eastAsia="zh-CN"/>
        </w:rPr>
        <w:t>四川省推进食品生产经营主体“互联网</w:t>
      </w:r>
      <w:r>
        <w:rPr>
          <w:rFonts w:ascii="Times New Roman" w:eastAsia="仿宋_GB2312" w:hAnsi="Times New Roman" w:cs="仿宋_GB2312" w:hint="eastAsia"/>
          <w:snapToGrid/>
          <w:sz w:val="32"/>
          <w:szCs w:val="32"/>
          <w:lang w:val="zh-CN" w:eastAsia="zh-CN"/>
        </w:rPr>
        <w:t>+AI</w:t>
      </w:r>
      <w:r>
        <w:rPr>
          <w:rFonts w:ascii="Times New Roman" w:eastAsia="仿宋_GB2312" w:hAnsi="Times New Roman" w:cs="仿宋_GB2312" w:hint="eastAsia"/>
          <w:snapToGrid/>
          <w:sz w:val="32"/>
          <w:szCs w:val="32"/>
          <w:lang w:val="zh-CN" w:eastAsia="zh-CN"/>
        </w:rPr>
        <w:t>监管”工作指引</w:t>
      </w:r>
      <w:r>
        <w:rPr>
          <w:rFonts w:ascii="Times New Roman" w:eastAsia="仿宋_GB2312" w:hAnsi="Times New Roman" w:cs="仿宋_GB2312" w:hint="eastAsia"/>
          <w:snapToGrid/>
          <w:sz w:val="32"/>
          <w:szCs w:val="32"/>
          <w:lang w:val="zh-CN" w:eastAsia="zh-CN"/>
        </w:rPr>
        <w:t>&gt;</w:t>
      </w:r>
      <w:r>
        <w:rPr>
          <w:rFonts w:ascii="Times New Roman" w:eastAsia="仿宋_GB2312" w:hAnsi="Times New Roman" w:cs="仿宋_GB2312" w:hint="eastAsia"/>
          <w:snapToGrid/>
          <w:sz w:val="32"/>
          <w:szCs w:val="32"/>
          <w:lang w:val="zh-CN" w:eastAsia="zh-CN"/>
        </w:rPr>
        <w:t>的通知》（川市监发〔</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45</w:t>
      </w:r>
      <w:r>
        <w:rPr>
          <w:rFonts w:ascii="Times New Roman" w:eastAsia="仿宋_GB2312" w:hAnsi="Times New Roman" w:cs="仿宋_GB2312" w:hint="eastAsia"/>
          <w:snapToGrid/>
          <w:sz w:val="32"/>
          <w:szCs w:val="32"/>
          <w:lang w:val="zh-CN" w:eastAsia="zh-CN"/>
        </w:rPr>
        <w:t>号）工作，要求搭建“互联网</w:t>
      </w:r>
      <w:r>
        <w:rPr>
          <w:rFonts w:ascii="Times New Roman" w:eastAsia="仿宋_GB2312" w:hAnsi="Times New Roman" w:cs="仿宋_GB2312" w:hint="eastAsia"/>
          <w:snapToGrid/>
          <w:sz w:val="32"/>
          <w:szCs w:val="32"/>
          <w:lang w:val="zh-CN" w:eastAsia="zh-CN"/>
        </w:rPr>
        <w:t>+AI</w:t>
      </w:r>
      <w:r>
        <w:rPr>
          <w:rFonts w:ascii="Times New Roman" w:eastAsia="仿宋_GB2312" w:hAnsi="Times New Roman" w:cs="仿宋_GB2312" w:hint="eastAsia"/>
          <w:snapToGrid/>
          <w:sz w:val="32"/>
          <w:szCs w:val="32"/>
          <w:lang w:val="zh-CN" w:eastAsia="zh-CN"/>
        </w:rPr>
        <w:t>监管”市级平台。</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3</w:t>
      </w:r>
      <w:r>
        <w:rPr>
          <w:rFonts w:ascii="Times New Roman" w:eastAsia="仿宋_GB2312" w:hAnsi="Times New Roman" w:cs="仿宋_GB2312" w:hint="eastAsia"/>
          <w:snapToGrid/>
          <w:sz w:val="32"/>
          <w:szCs w:val="32"/>
          <w:lang w:eastAsia="zh-CN"/>
        </w:rPr>
        <w:t>.</w:t>
      </w:r>
      <w:r>
        <w:rPr>
          <w:rFonts w:ascii="Times New Roman" w:eastAsia="仿宋_GB2312" w:hAnsi="Times New Roman" w:cs="仿宋_GB2312" w:hint="eastAsia"/>
          <w:snapToGrid/>
          <w:sz w:val="32"/>
          <w:szCs w:val="32"/>
          <w:lang w:val="zh-CN" w:eastAsia="zh-CN"/>
        </w:rPr>
        <w:t>攀枝花市市场监管局严格按照相关资金管理规定和绩效目标要求，规范管理和使用专项资金。资金投入有效保障了全市食品安全监管工作的顺利开展，各项核心监管任务基本完成，区域食品安全形势总体稳定向好。资金使用效益总体良好，基本达到了预期绩效目标。</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4.</w:t>
      </w:r>
      <w:r>
        <w:rPr>
          <w:rFonts w:ascii="Times New Roman" w:eastAsia="仿宋_GB2312" w:hAnsi="Times New Roman" w:cs="仿宋_GB2312" w:hint="eastAsia"/>
          <w:snapToGrid/>
          <w:sz w:val="32"/>
          <w:szCs w:val="32"/>
          <w:lang w:val="zh-CN" w:eastAsia="zh-CN"/>
        </w:rPr>
        <w:t>为保证本地平台搭建任务的完成，需租赁政务云资源。费用大概为</w:t>
      </w:r>
      <w:r>
        <w:rPr>
          <w:rFonts w:ascii="Times New Roman" w:eastAsia="仿宋_GB2312" w:hAnsi="Times New Roman" w:cs="仿宋_GB2312" w:hint="eastAsia"/>
          <w:snapToGrid/>
          <w:sz w:val="32"/>
          <w:szCs w:val="32"/>
          <w:lang w:val="zh-CN" w:eastAsia="zh-CN"/>
        </w:rPr>
        <w:t>23.4</w:t>
      </w:r>
      <w:r>
        <w:rPr>
          <w:rFonts w:ascii="Times New Roman" w:eastAsia="仿宋_GB2312" w:hAnsi="Times New Roman" w:cs="仿宋_GB2312" w:hint="eastAsia"/>
          <w:snapToGrid/>
          <w:sz w:val="32"/>
          <w:szCs w:val="32"/>
          <w:lang w:val="zh-CN" w:eastAsia="zh-CN"/>
        </w:rPr>
        <w:t>万元</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年。按年度支付攀枝花市科技创新投资有限公司</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w:t>
      </w:r>
      <w:r>
        <w:rPr>
          <w:rFonts w:ascii="Times New Roman" w:eastAsia="仿宋_GB2312" w:hAnsi="Times New Roman" w:cs="仿宋_GB2312" w:hint="eastAsia"/>
          <w:snapToGrid/>
          <w:sz w:val="32"/>
          <w:szCs w:val="32"/>
          <w:lang w:val="zh-CN" w:eastAsia="zh-CN"/>
        </w:rPr>
        <w:t>11</w:t>
      </w:r>
      <w:r>
        <w:rPr>
          <w:rFonts w:ascii="Times New Roman" w:eastAsia="仿宋_GB2312" w:hAnsi="Times New Roman" w:cs="仿宋_GB2312" w:hint="eastAsia"/>
          <w:snapToGrid/>
          <w:sz w:val="32"/>
          <w:szCs w:val="32"/>
          <w:lang w:val="zh-CN" w:eastAsia="zh-CN"/>
        </w:rPr>
        <w:t>月、</w:t>
      </w:r>
      <w:r>
        <w:rPr>
          <w:rFonts w:ascii="Times New Roman" w:eastAsia="仿宋_GB2312" w:hAnsi="Times New Roman" w:cs="仿宋_GB2312" w:hint="eastAsia"/>
          <w:snapToGrid/>
          <w:sz w:val="32"/>
          <w:szCs w:val="32"/>
          <w:lang w:val="zh-CN" w:eastAsia="zh-CN"/>
        </w:rPr>
        <w:t>12</w:t>
      </w:r>
      <w:r>
        <w:rPr>
          <w:rFonts w:ascii="Times New Roman" w:eastAsia="仿宋_GB2312" w:hAnsi="Times New Roman" w:cs="仿宋_GB2312" w:hint="eastAsia"/>
          <w:snapToGrid/>
          <w:sz w:val="32"/>
          <w:szCs w:val="32"/>
          <w:lang w:val="zh-CN" w:eastAsia="zh-CN"/>
        </w:rPr>
        <w:t>月租赁费共计</w:t>
      </w:r>
      <w:r>
        <w:rPr>
          <w:rFonts w:ascii="Times New Roman" w:eastAsia="仿宋_GB2312" w:hAnsi="Times New Roman" w:cs="仿宋_GB2312" w:hint="eastAsia"/>
          <w:snapToGrid/>
          <w:sz w:val="32"/>
          <w:szCs w:val="32"/>
          <w:lang w:val="zh-CN" w:eastAsia="zh-CN"/>
        </w:rPr>
        <w:t>3.9</w:t>
      </w:r>
      <w:r>
        <w:rPr>
          <w:rFonts w:ascii="Times New Roman" w:eastAsia="仿宋_GB2312" w:hAnsi="Times New Roman" w:cs="仿宋_GB2312" w:hint="eastAsia"/>
          <w:snapToGrid/>
          <w:sz w:val="32"/>
          <w:szCs w:val="32"/>
          <w:lang w:val="zh-CN" w:eastAsia="zh-CN"/>
        </w:rPr>
        <w:t>万元。</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lastRenderedPageBreak/>
        <w:t>（二）项目绩效目标。</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租赁政务云资源，搭建食品生产经营主体“互联网</w:t>
      </w:r>
      <w:r>
        <w:rPr>
          <w:rFonts w:ascii="Times New Roman" w:eastAsia="仿宋_GB2312" w:hAnsi="Times New Roman" w:cs="仿宋_GB2312" w:hint="eastAsia"/>
          <w:snapToGrid/>
          <w:sz w:val="32"/>
          <w:szCs w:val="32"/>
          <w:lang w:val="zh-CN" w:eastAsia="zh-CN"/>
        </w:rPr>
        <w:t>+AI</w:t>
      </w:r>
      <w:r>
        <w:rPr>
          <w:rFonts w:ascii="Times New Roman" w:eastAsia="仿宋_GB2312" w:hAnsi="Times New Roman" w:cs="仿宋_GB2312" w:hint="eastAsia"/>
          <w:snapToGrid/>
          <w:sz w:val="32"/>
          <w:szCs w:val="32"/>
          <w:lang w:val="zh-CN" w:eastAsia="zh-CN"/>
        </w:rPr>
        <w:t>监管”市级平台。</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推进食品生产经营者“互联网</w:t>
      </w:r>
      <w:r>
        <w:rPr>
          <w:rFonts w:ascii="Times New Roman" w:eastAsia="仿宋_GB2312" w:hAnsi="Times New Roman" w:cs="仿宋_GB2312" w:hint="eastAsia"/>
          <w:snapToGrid/>
          <w:sz w:val="32"/>
          <w:szCs w:val="32"/>
          <w:lang w:val="zh-CN" w:eastAsia="zh-CN"/>
        </w:rPr>
        <w:t>+AI</w:t>
      </w:r>
      <w:r>
        <w:rPr>
          <w:rFonts w:ascii="Times New Roman" w:eastAsia="仿宋_GB2312" w:hAnsi="Times New Roman" w:cs="仿宋_GB2312" w:hint="eastAsia"/>
          <w:snapToGrid/>
          <w:sz w:val="32"/>
          <w:szCs w:val="32"/>
          <w:lang w:val="zh-CN" w:eastAsia="zh-CN"/>
        </w:rPr>
        <w:t>监管”工作，进一步深化可视化非现场监管，强化智慧赋能，提升监管效能，</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年完成</w:t>
      </w:r>
      <w:r>
        <w:rPr>
          <w:rFonts w:ascii="Times New Roman" w:eastAsia="仿宋_GB2312" w:hAnsi="Times New Roman" w:cs="仿宋_GB2312" w:hint="eastAsia"/>
          <w:snapToGrid/>
          <w:sz w:val="32"/>
          <w:szCs w:val="32"/>
          <w:lang w:val="zh-CN" w:eastAsia="zh-CN"/>
        </w:rPr>
        <w:t>1823</w:t>
      </w:r>
      <w:r>
        <w:rPr>
          <w:rFonts w:ascii="Times New Roman" w:eastAsia="仿宋_GB2312" w:hAnsi="Times New Roman" w:cs="仿宋_GB2312" w:hint="eastAsia"/>
          <w:snapToGrid/>
          <w:sz w:val="32"/>
          <w:szCs w:val="32"/>
          <w:lang w:val="zh-CN" w:eastAsia="zh-CN"/>
        </w:rPr>
        <w:t>家在产在营业获证食品生产经营主体互联网</w:t>
      </w:r>
      <w:r>
        <w:rPr>
          <w:rFonts w:ascii="Times New Roman" w:eastAsia="仿宋_GB2312" w:hAnsi="Times New Roman" w:cs="仿宋_GB2312" w:hint="eastAsia"/>
          <w:snapToGrid/>
          <w:sz w:val="32"/>
          <w:szCs w:val="32"/>
          <w:lang w:val="zh-CN" w:eastAsia="zh-CN"/>
        </w:rPr>
        <w:t>+AI</w:t>
      </w:r>
      <w:r>
        <w:rPr>
          <w:rFonts w:ascii="Times New Roman" w:eastAsia="仿宋_GB2312" w:hAnsi="Times New Roman" w:cs="仿宋_GB2312" w:hint="eastAsia"/>
          <w:snapToGrid/>
          <w:sz w:val="32"/>
          <w:szCs w:val="32"/>
          <w:lang w:val="zh-CN" w:eastAsia="zh-CN"/>
        </w:rPr>
        <w:t>监管，占比</w:t>
      </w:r>
      <w:r>
        <w:rPr>
          <w:rFonts w:ascii="Times New Roman" w:eastAsia="仿宋_GB2312" w:hAnsi="Times New Roman" w:cs="仿宋_GB2312" w:hint="eastAsia"/>
          <w:snapToGrid/>
          <w:sz w:val="32"/>
          <w:szCs w:val="32"/>
          <w:lang w:val="zh-CN" w:eastAsia="zh-CN"/>
        </w:rPr>
        <w:t>40%</w:t>
      </w:r>
      <w:r>
        <w:rPr>
          <w:rFonts w:ascii="Times New Roman" w:eastAsia="仿宋_GB2312" w:hAnsi="Times New Roman" w:cs="仿宋_GB2312" w:hint="eastAsia"/>
          <w:snapToGrid/>
          <w:sz w:val="32"/>
          <w:szCs w:val="32"/>
          <w:lang w:val="zh-CN" w:eastAsia="zh-CN"/>
        </w:rPr>
        <w:t>。</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3.</w:t>
      </w:r>
      <w:r>
        <w:rPr>
          <w:rFonts w:ascii="Times New Roman" w:eastAsia="仿宋_GB2312" w:hAnsi="Times New Roman" w:cs="仿宋_GB2312" w:hint="eastAsia"/>
          <w:snapToGrid/>
          <w:sz w:val="32"/>
          <w:szCs w:val="32"/>
          <w:lang w:val="zh-CN" w:eastAsia="zh-CN"/>
        </w:rPr>
        <w:t>申报内容与实际相符，合理可行。</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（三）项目自评步骤及方法。</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项目绩效自评严格按照财政部门及单位绩效评价工作要求，规范组织、客观实施。一是成立自评工作小组，明确责任分工，统筹推进资料收集、数据核对、现场核查等工作；二是梳理项目实施情况，对照绩效目标、实施方案及合同约定，全面核查项目产出、效益、服务质量及资金使用情况；三是开展数据核实与分析，对预算执行、任务完成、服务对象满意度等指标进行统计测算，确保数据真实、准确、完整；四是对照标准综合评价，依据绩效评价指标体系逐项评分，客观分析成效、存在问题及原因；五是形成自评报告，总结项目实施成效，提出改进措施，确保自评工作真实、规范、有效。</w:t>
      </w:r>
    </w:p>
    <w:p w:rsidR="004B0FC1" w:rsidRDefault="00A976D9">
      <w:pPr>
        <w:widowControl w:val="0"/>
        <w:kinsoku/>
        <w:autoSpaceDE/>
        <w:autoSpaceDN/>
        <w:spacing w:line="600" w:lineRule="exact"/>
        <w:ind w:firstLine="720"/>
        <w:jc w:val="both"/>
        <w:textAlignment w:val="auto"/>
        <w:rPr>
          <w:rFonts w:ascii="Times New Roman" w:eastAsia="黑体" w:hAnsi="Times New Roman" w:cs="Times New Roman"/>
          <w:snapToGrid/>
          <w:kern w:val="2"/>
          <w:sz w:val="32"/>
          <w:szCs w:val="32"/>
          <w:lang w:val="zh-CN" w:eastAsia="zh-CN"/>
        </w:rPr>
      </w:pPr>
      <w:r>
        <w:rPr>
          <w:rFonts w:ascii="Times New Roman" w:eastAsia="黑体" w:hAnsi="Times New Roman" w:cs="Times New Roman"/>
          <w:snapToGrid/>
          <w:kern w:val="2"/>
          <w:sz w:val="32"/>
          <w:szCs w:val="32"/>
          <w:lang w:val="zh-CN" w:eastAsia="zh-CN"/>
        </w:rPr>
        <w:t>二、项目资金申报及使用情况</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（一）项目资金申报及批复情况。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lastRenderedPageBreak/>
        <w:t>2025</w:t>
      </w:r>
      <w:r>
        <w:rPr>
          <w:rFonts w:ascii="Times New Roman" w:eastAsia="仿宋_GB2312" w:hAnsi="Times New Roman" w:cs="仿宋_GB2312" w:hint="eastAsia"/>
          <w:snapToGrid/>
          <w:sz w:val="32"/>
          <w:szCs w:val="32"/>
          <w:lang w:val="zh-CN" w:eastAsia="zh-CN"/>
        </w:rPr>
        <w:t>年</w:t>
      </w:r>
      <w:r>
        <w:rPr>
          <w:rFonts w:ascii="Times New Roman" w:eastAsia="仿宋_GB2312" w:hAnsi="Times New Roman" w:cs="仿宋_GB2312" w:hint="eastAsia"/>
          <w:snapToGrid/>
          <w:sz w:val="32"/>
          <w:szCs w:val="32"/>
          <w:lang w:val="zh-CN" w:eastAsia="zh-CN"/>
        </w:rPr>
        <w:t>11</w:t>
      </w:r>
      <w:r>
        <w:rPr>
          <w:rFonts w:ascii="Times New Roman" w:eastAsia="仿宋_GB2312" w:hAnsi="Times New Roman" w:cs="仿宋_GB2312" w:hint="eastAsia"/>
          <w:snapToGrid/>
          <w:sz w:val="32"/>
          <w:szCs w:val="32"/>
          <w:lang w:val="zh-CN" w:eastAsia="zh-CN"/>
        </w:rPr>
        <w:t>月</w:t>
      </w:r>
      <w:r>
        <w:rPr>
          <w:rFonts w:ascii="Times New Roman" w:eastAsia="仿宋_GB2312" w:hAnsi="Times New Roman" w:cs="仿宋_GB2312" w:hint="eastAsia"/>
          <w:snapToGrid/>
          <w:sz w:val="32"/>
          <w:szCs w:val="32"/>
          <w:lang w:val="zh-CN" w:eastAsia="zh-CN"/>
        </w:rPr>
        <w:t>3</w:t>
      </w:r>
      <w:r>
        <w:rPr>
          <w:rFonts w:ascii="Times New Roman" w:eastAsia="仿宋_GB2312" w:hAnsi="Times New Roman" w:cs="仿宋_GB2312" w:hint="eastAsia"/>
          <w:snapToGrid/>
          <w:sz w:val="32"/>
          <w:szCs w:val="32"/>
          <w:lang w:val="zh-CN" w:eastAsia="zh-CN"/>
        </w:rPr>
        <w:t>日，攀枝花市市场监督管理局向市财政局出具《关于解决攀枝花市食品生产经营主体“互联网</w:t>
      </w:r>
      <w:r>
        <w:rPr>
          <w:rFonts w:ascii="Times New Roman" w:eastAsia="仿宋_GB2312" w:hAnsi="Times New Roman" w:cs="仿宋_GB2312" w:hint="eastAsia"/>
          <w:snapToGrid/>
          <w:sz w:val="32"/>
          <w:szCs w:val="32"/>
          <w:lang w:val="zh-CN" w:eastAsia="zh-CN"/>
        </w:rPr>
        <w:t>+AI</w:t>
      </w:r>
      <w:r>
        <w:rPr>
          <w:rFonts w:ascii="Times New Roman" w:eastAsia="仿宋_GB2312" w:hAnsi="Times New Roman" w:cs="仿宋_GB2312" w:hint="eastAsia"/>
          <w:snapToGrid/>
          <w:sz w:val="32"/>
          <w:szCs w:val="32"/>
          <w:lang w:val="zh-CN" w:eastAsia="zh-CN"/>
        </w:rPr>
        <w:t>监管”平台搭建政务云资源租赁费的函》，市财政于</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w:t>
      </w:r>
      <w:r>
        <w:rPr>
          <w:rFonts w:ascii="Times New Roman" w:eastAsia="仿宋_GB2312" w:hAnsi="Times New Roman" w:cs="仿宋_GB2312" w:hint="eastAsia"/>
          <w:snapToGrid/>
          <w:sz w:val="32"/>
          <w:szCs w:val="32"/>
          <w:lang w:val="zh-CN" w:eastAsia="zh-CN"/>
        </w:rPr>
        <w:t>11</w:t>
      </w:r>
      <w:r>
        <w:rPr>
          <w:rFonts w:ascii="Times New Roman" w:eastAsia="仿宋_GB2312" w:hAnsi="Times New Roman" w:cs="仿宋_GB2312" w:hint="eastAsia"/>
          <w:snapToGrid/>
          <w:sz w:val="32"/>
          <w:szCs w:val="32"/>
          <w:lang w:val="zh-CN" w:eastAsia="zh-CN"/>
        </w:rPr>
        <w:t>月</w:t>
      </w:r>
      <w:r>
        <w:rPr>
          <w:rFonts w:ascii="Times New Roman" w:eastAsia="仿宋_GB2312" w:hAnsi="Times New Roman" w:cs="仿宋_GB2312" w:hint="eastAsia"/>
          <w:snapToGrid/>
          <w:sz w:val="32"/>
          <w:szCs w:val="32"/>
          <w:lang w:val="zh-CN" w:eastAsia="zh-CN"/>
        </w:rPr>
        <w:t>28</w:t>
      </w:r>
      <w:r>
        <w:rPr>
          <w:rFonts w:ascii="Times New Roman" w:eastAsia="仿宋_GB2312" w:hAnsi="Times New Roman" w:cs="仿宋_GB2312" w:hint="eastAsia"/>
          <w:snapToGrid/>
          <w:sz w:val="32"/>
          <w:szCs w:val="32"/>
          <w:lang w:val="zh-CN" w:eastAsia="zh-CN"/>
        </w:rPr>
        <w:t>日下达资金</w:t>
      </w:r>
      <w:r>
        <w:rPr>
          <w:rFonts w:ascii="Times New Roman" w:eastAsia="仿宋_GB2312" w:hAnsi="Times New Roman" w:cs="仿宋_GB2312" w:hint="eastAsia"/>
          <w:snapToGrid/>
          <w:sz w:val="32"/>
          <w:szCs w:val="32"/>
          <w:lang w:val="zh-CN" w:eastAsia="zh-CN"/>
        </w:rPr>
        <w:t>3.9</w:t>
      </w:r>
      <w:r>
        <w:rPr>
          <w:rFonts w:ascii="Times New Roman" w:eastAsia="仿宋_GB2312" w:hAnsi="Times New Roman" w:cs="仿宋_GB2312" w:hint="eastAsia"/>
          <w:snapToGrid/>
          <w:sz w:val="32"/>
          <w:szCs w:val="32"/>
          <w:lang w:val="zh-CN" w:eastAsia="zh-CN"/>
        </w:rPr>
        <w:t>万元（攀财资建〔</w:t>
      </w:r>
      <w:r>
        <w:rPr>
          <w:rFonts w:ascii="Times New Roman" w:eastAsia="仿宋_GB2312" w:hAnsi="Times New Roman" w:cs="仿宋_GB2312" w:hint="eastAsia"/>
          <w:snapToGrid/>
          <w:sz w:val="32"/>
          <w:szCs w:val="32"/>
          <w:lang w:eastAsia="zh-CN"/>
        </w:rPr>
        <w:t>2025</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85</w:t>
      </w:r>
      <w:r>
        <w:rPr>
          <w:rFonts w:ascii="Times New Roman" w:eastAsia="仿宋_GB2312" w:hAnsi="Times New Roman" w:cs="仿宋_GB2312" w:hint="eastAsia"/>
          <w:snapToGrid/>
          <w:sz w:val="32"/>
          <w:szCs w:val="32"/>
          <w:lang w:val="zh-CN" w:eastAsia="zh-CN"/>
        </w:rPr>
        <w:t>号）。</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（二）资金计划、到位及使用情况。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资金计划。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4984"/>
        <w:gridCol w:w="1131"/>
        <w:gridCol w:w="1095"/>
      </w:tblGrid>
      <w:tr w:rsidR="004B0FC1">
        <w:trPr>
          <w:trHeight w:hRule="exact" w:val="667"/>
          <w:jc w:val="center"/>
        </w:trPr>
        <w:tc>
          <w:tcPr>
            <w:tcW w:w="866" w:type="dxa"/>
            <w:vAlign w:val="center"/>
          </w:tcPr>
          <w:p w:rsidR="004B0FC1" w:rsidRDefault="00A976D9">
            <w:pPr>
              <w:jc w:val="center"/>
              <w:rPr>
                <w:rFonts w:eastAsia="仿宋"/>
                <w:kern w:val="2"/>
                <w:sz w:val="24"/>
                <w:szCs w:val="22"/>
              </w:rPr>
            </w:pPr>
            <w:r>
              <w:rPr>
                <w:rFonts w:eastAsia="仿宋" w:hint="eastAsia"/>
                <w:kern w:val="2"/>
                <w:sz w:val="24"/>
                <w:szCs w:val="22"/>
              </w:rPr>
              <w:t>序号</w:t>
            </w:r>
          </w:p>
        </w:tc>
        <w:tc>
          <w:tcPr>
            <w:tcW w:w="4984" w:type="dxa"/>
            <w:vAlign w:val="center"/>
          </w:tcPr>
          <w:p w:rsidR="004B0FC1" w:rsidRDefault="00A976D9">
            <w:pPr>
              <w:jc w:val="center"/>
              <w:rPr>
                <w:rFonts w:eastAsia="仿宋"/>
                <w:kern w:val="2"/>
                <w:sz w:val="24"/>
                <w:szCs w:val="22"/>
              </w:rPr>
            </w:pPr>
            <w:r>
              <w:rPr>
                <w:rFonts w:eastAsia="仿宋" w:hint="eastAsia"/>
                <w:kern w:val="2"/>
                <w:sz w:val="24"/>
                <w:szCs w:val="22"/>
              </w:rPr>
              <w:t>名</w:t>
            </w:r>
            <w:r>
              <w:rPr>
                <w:rFonts w:eastAsia="仿宋"/>
                <w:kern w:val="2"/>
                <w:sz w:val="24"/>
                <w:szCs w:val="22"/>
              </w:rPr>
              <w:t xml:space="preserve">        </w:t>
            </w:r>
            <w:r>
              <w:rPr>
                <w:rFonts w:eastAsia="仿宋" w:hint="eastAsia"/>
                <w:kern w:val="2"/>
                <w:sz w:val="24"/>
                <w:szCs w:val="22"/>
              </w:rPr>
              <w:t>称</w:t>
            </w:r>
          </w:p>
        </w:tc>
        <w:tc>
          <w:tcPr>
            <w:tcW w:w="1131" w:type="dxa"/>
            <w:vAlign w:val="center"/>
          </w:tcPr>
          <w:p w:rsidR="004B0FC1" w:rsidRDefault="00A976D9">
            <w:pPr>
              <w:jc w:val="center"/>
              <w:rPr>
                <w:rFonts w:eastAsia="仿宋"/>
                <w:kern w:val="2"/>
                <w:sz w:val="24"/>
                <w:szCs w:val="22"/>
              </w:rPr>
            </w:pPr>
            <w:r>
              <w:rPr>
                <w:rFonts w:eastAsia="仿宋" w:hint="eastAsia"/>
                <w:kern w:val="2"/>
                <w:sz w:val="24"/>
                <w:szCs w:val="22"/>
              </w:rPr>
              <w:t>金额（万元）</w:t>
            </w:r>
          </w:p>
        </w:tc>
        <w:tc>
          <w:tcPr>
            <w:tcW w:w="1095" w:type="dxa"/>
            <w:vAlign w:val="center"/>
          </w:tcPr>
          <w:p w:rsidR="004B0FC1" w:rsidRDefault="00A976D9">
            <w:pPr>
              <w:jc w:val="center"/>
              <w:rPr>
                <w:rFonts w:eastAsia="仿宋"/>
                <w:kern w:val="2"/>
                <w:sz w:val="24"/>
                <w:szCs w:val="22"/>
              </w:rPr>
            </w:pPr>
            <w:r>
              <w:rPr>
                <w:rFonts w:eastAsia="仿宋" w:hint="eastAsia"/>
                <w:kern w:val="2"/>
                <w:sz w:val="24"/>
                <w:szCs w:val="22"/>
              </w:rPr>
              <w:t>备注</w:t>
            </w:r>
          </w:p>
        </w:tc>
      </w:tr>
      <w:tr w:rsidR="004B0FC1">
        <w:trPr>
          <w:trHeight w:hRule="exact" w:val="935"/>
          <w:jc w:val="center"/>
        </w:trPr>
        <w:tc>
          <w:tcPr>
            <w:tcW w:w="866" w:type="dxa"/>
            <w:vAlign w:val="center"/>
          </w:tcPr>
          <w:p w:rsidR="004B0FC1" w:rsidRDefault="00A976D9">
            <w:pPr>
              <w:jc w:val="center"/>
              <w:rPr>
                <w:rFonts w:eastAsia="仿宋"/>
                <w:kern w:val="2"/>
                <w:sz w:val="24"/>
                <w:szCs w:val="22"/>
              </w:rPr>
            </w:pPr>
            <w:r>
              <w:rPr>
                <w:rFonts w:eastAsia="仿宋"/>
                <w:kern w:val="2"/>
                <w:sz w:val="24"/>
                <w:szCs w:val="22"/>
              </w:rPr>
              <w:t>1</w:t>
            </w:r>
            <w:bookmarkStart w:id="72" w:name="zjlist"/>
            <w:bookmarkEnd w:id="72"/>
          </w:p>
        </w:tc>
        <w:tc>
          <w:tcPr>
            <w:tcW w:w="4984" w:type="dxa"/>
            <w:vAlign w:val="center"/>
          </w:tcPr>
          <w:p w:rsidR="004B0FC1" w:rsidRDefault="00A976D9">
            <w:pPr>
              <w:jc w:val="center"/>
              <w:rPr>
                <w:rFonts w:eastAsia="仿宋"/>
                <w:kern w:val="2"/>
                <w:sz w:val="24"/>
                <w:szCs w:val="22"/>
                <w:lang w:eastAsia="zh-CN"/>
              </w:rPr>
            </w:pPr>
            <w:r>
              <w:rPr>
                <w:rFonts w:eastAsia="仿宋" w:hint="eastAsia"/>
                <w:kern w:val="2"/>
                <w:sz w:val="24"/>
                <w:szCs w:val="22"/>
                <w:lang w:val="zh-CN" w:eastAsia="zh-CN"/>
              </w:rPr>
              <w:t>租赁政务</w:t>
            </w:r>
            <w:proofErr w:type="gramStart"/>
            <w:r>
              <w:rPr>
                <w:rFonts w:eastAsia="仿宋" w:hint="eastAsia"/>
                <w:kern w:val="2"/>
                <w:sz w:val="24"/>
                <w:szCs w:val="22"/>
                <w:lang w:val="zh-CN" w:eastAsia="zh-CN"/>
              </w:rPr>
              <w:t>云资源</w:t>
            </w:r>
            <w:proofErr w:type="gramEnd"/>
            <w:r>
              <w:rPr>
                <w:rFonts w:eastAsia="仿宋" w:hint="eastAsia"/>
                <w:kern w:val="2"/>
                <w:sz w:val="24"/>
                <w:szCs w:val="22"/>
                <w:lang w:val="zh-CN" w:eastAsia="zh-CN"/>
              </w:rPr>
              <w:t>11</w:t>
            </w:r>
            <w:r>
              <w:rPr>
                <w:rFonts w:eastAsia="仿宋" w:hint="eastAsia"/>
                <w:kern w:val="2"/>
                <w:sz w:val="24"/>
                <w:szCs w:val="22"/>
                <w:lang w:val="zh-CN" w:eastAsia="zh-CN"/>
              </w:rPr>
              <w:t>月、</w:t>
            </w:r>
            <w:r>
              <w:rPr>
                <w:rFonts w:eastAsia="仿宋" w:hint="eastAsia"/>
                <w:kern w:val="2"/>
                <w:sz w:val="24"/>
                <w:szCs w:val="22"/>
                <w:lang w:val="zh-CN" w:eastAsia="zh-CN"/>
              </w:rPr>
              <w:t>12</w:t>
            </w:r>
            <w:r>
              <w:rPr>
                <w:rFonts w:eastAsia="仿宋" w:hint="eastAsia"/>
                <w:kern w:val="2"/>
                <w:sz w:val="24"/>
                <w:szCs w:val="22"/>
                <w:lang w:val="zh-CN" w:eastAsia="zh-CN"/>
              </w:rPr>
              <w:t>月费用</w:t>
            </w:r>
          </w:p>
        </w:tc>
        <w:tc>
          <w:tcPr>
            <w:tcW w:w="1131" w:type="dxa"/>
            <w:vAlign w:val="center"/>
          </w:tcPr>
          <w:p w:rsidR="004B0FC1" w:rsidRDefault="00A976D9">
            <w:pPr>
              <w:jc w:val="center"/>
              <w:rPr>
                <w:rFonts w:eastAsia="仿宋"/>
                <w:kern w:val="2"/>
                <w:sz w:val="24"/>
                <w:szCs w:val="22"/>
              </w:rPr>
            </w:pPr>
            <w:r>
              <w:rPr>
                <w:rFonts w:eastAsia="仿宋"/>
                <w:kern w:val="2"/>
                <w:sz w:val="24"/>
                <w:szCs w:val="22"/>
              </w:rPr>
              <w:t>3.9</w:t>
            </w:r>
          </w:p>
        </w:tc>
        <w:tc>
          <w:tcPr>
            <w:tcW w:w="1095" w:type="dxa"/>
            <w:vAlign w:val="center"/>
          </w:tcPr>
          <w:p w:rsidR="004B0FC1" w:rsidRDefault="004B0FC1">
            <w:pPr>
              <w:jc w:val="center"/>
              <w:rPr>
                <w:rFonts w:eastAsia="仿宋"/>
                <w:kern w:val="2"/>
                <w:sz w:val="24"/>
                <w:szCs w:val="22"/>
              </w:rPr>
            </w:pPr>
          </w:p>
        </w:tc>
      </w:tr>
      <w:tr w:rsidR="004B0FC1">
        <w:trPr>
          <w:trHeight w:hRule="exact" w:val="544"/>
          <w:jc w:val="center"/>
        </w:trPr>
        <w:tc>
          <w:tcPr>
            <w:tcW w:w="866" w:type="dxa"/>
            <w:vAlign w:val="center"/>
          </w:tcPr>
          <w:p w:rsidR="004B0FC1" w:rsidRDefault="004B0FC1">
            <w:pPr>
              <w:jc w:val="center"/>
              <w:rPr>
                <w:rFonts w:eastAsia="仿宋"/>
                <w:kern w:val="2"/>
                <w:sz w:val="24"/>
                <w:szCs w:val="22"/>
              </w:rPr>
            </w:pPr>
          </w:p>
        </w:tc>
        <w:tc>
          <w:tcPr>
            <w:tcW w:w="4984" w:type="dxa"/>
            <w:vAlign w:val="center"/>
          </w:tcPr>
          <w:p w:rsidR="004B0FC1" w:rsidRDefault="00A976D9">
            <w:pPr>
              <w:jc w:val="center"/>
              <w:rPr>
                <w:rFonts w:eastAsia="仿宋"/>
                <w:kern w:val="2"/>
                <w:sz w:val="24"/>
                <w:szCs w:val="22"/>
              </w:rPr>
            </w:pPr>
            <w:r>
              <w:rPr>
                <w:rFonts w:eastAsia="仿宋" w:hint="eastAsia"/>
                <w:kern w:val="2"/>
                <w:sz w:val="24"/>
                <w:szCs w:val="22"/>
              </w:rPr>
              <w:t>合计</w:t>
            </w:r>
          </w:p>
        </w:tc>
        <w:tc>
          <w:tcPr>
            <w:tcW w:w="1131" w:type="dxa"/>
            <w:vAlign w:val="center"/>
          </w:tcPr>
          <w:p w:rsidR="004B0FC1" w:rsidRDefault="00A976D9">
            <w:pPr>
              <w:jc w:val="center"/>
              <w:rPr>
                <w:rFonts w:eastAsia="仿宋"/>
                <w:kern w:val="2"/>
                <w:sz w:val="24"/>
                <w:szCs w:val="22"/>
              </w:rPr>
            </w:pPr>
            <w:r>
              <w:rPr>
                <w:rFonts w:eastAsia="仿宋" w:hint="eastAsia"/>
                <w:kern w:val="2"/>
                <w:sz w:val="24"/>
                <w:szCs w:val="22"/>
              </w:rPr>
              <w:t>3</w:t>
            </w:r>
            <w:r>
              <w:rPr>
                <w:rFonts w:eastAsia="仿宋"/>
                <w:kern w:val="2"/>
                <w:sz w:val="24"/>
                <w:szCs w:val="22"/>
              </w:rPr>
              <w:t>.9</w:t>
            </w:r>
          </w:p>
        </w:tc>
        <w:tc>
          <w:tcPr>
            <w:tcW w:w="1095" w:type="dxa"/>
            <w:vAlign w:val="center"/>
          </w:tcPr>
          <w:p w:rsidR="004B0FC1" w:rsidRDefault="004B0FC1">
            <w:pPr>
              <w:jc w:val="center"/>
              <w:rPr>
                <w:rFonts w:eastAsia="仿宋"/>
                <w:kern w:val="2"/>
                <w:sz w:val="24"/>
                <w:szCs w:val="22"/>
              </w:rPr>
            </w:pPr>
          </w:p>
        </w:tc>
      </w:tr>
    </w:tbl>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资金到位。</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市级财政资金到位</w:t>
      </w:r>
      <w:r>
        <w:rPr>
          <w:rFonts w:ascii="Times New Roman" w:eastAsia="仿宋_GB2312" w:hAnsi="Times New Roman" w:cs="仿宋_GB2312" w:hint="eastAsia"/>
          <w:snapToGrid/>
          <w:sz w:val="32"/>
          <w:szCs w:val="32"/>
          <w:lang w:val="zh-CN" w:eastAsia="zh-CN"/>
        </w:rPr>
        <w:t>3.9</w:t>
      </w:r>
      <w:r>
        <w:rPr>
          <w:rFonts w:ascii="Times New Roman" w:eastAsia="仿宋_GB2312" w:hAnsi="Times New Roman" w:cs="仿宋_GB2312" w:hint="eastAsia"/>
          <w:snapToGrid/>
          <w:sz w:val="32"/>
          <w:szCs w:val="32"/>
          <w:lang w:val="zh-CN" w:eastAsia="zh-CN"/>
        </w:rPr>
        <w:t>万元。</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3.</w:t>
      </w:r>
      <w:r>
        <w:rPr>
          <w:rFonts w:ascii="Times New Roman" w:eastAsia="仿宋_GB2312" w:hAnsi="Times New Roman" w:cs="仿宋_GB2312" w:hint="eastAsia"/>
          <w:snapToGrid/>
          <w:sz w:val="32"/>
          <w:szCs w:val="32"/>
          <w:lang w:val="zh-CN" w:eastAsia="zh-CN"/>
        </w:rPr>
        <w:t>资金使用。</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年实际支付</w:t>
      </w:r>
      <w:r>
        <w:rPr>
          <w:rFonts w:ascii="Times New Roman" w:eastAsia="仿宋_GB2312" w:hAnsi="Times New Roman" w:cs="仿宋_GB2312" w:hint="eastAsia"/>
          <w:snapToGrid/>
          <w:sz w:val="32"/>
          <w:szCs w:val="32"/>
          <w:lang w:val="zh-CN" w:eastAsia="zh-CN"/>
        </w:rPr>
        <w:t>3.8871</w:t>
      </w:r>
      <w:r>
        <w:rPr>
          <w:rFonts w:ascii="Times New Roman" w:eastAsia="仿宋_GB2312" w:hAnsi="Times New Roman" w:cs="仿宋_GB2312" w:hint="eastAsia"/>
          <w:snapToGrid/>
          <w:sz w:val="32"/>
          <w:szCs w:val="32"/>
          <w:lang w:val="zh-CN" w:eastAsia="zh-CN"/>
        </w:rPr>
        <w:t>万元，剩余经费</w:t>
      </w:r>
      <w:r>
        <w:rPr>
          <w:rFonts w:ascii="Times New Roman" w:eastAsia="仿宋_GB2312" w:hAnsi="Times New Roman" w:cs="仿宋_GB2312" w:hint="eastAsia"/>
          <w:snapToGrid/>
          <w:sz w:val="32"/>
          <w:szCs w:val="32"/>
          <w:lang w:val="zh-CN" w:eastAsia="zh-CN"/>
        </w:rPr>
        <w:t>0.0129</w:t>
      </w:r>
      <w:r>
        <w:rPr>
          <w:rFonts w:ascii="Times New Roman" w:eastAsia="仿宋_GB2312" w:hAnsi="Times New Roman" w:cs="仿宋_GB2312" w:hint="eastAsia"/>
          <w:snapToGrid/>
          <w:sz w:val="32"/>
          <w:szCs w:val="32"/>
          <w:lang w:val="zh-CN" w:eastAsia="zh-CN"/>
        </w:rPr>
        <w:t>万元财政收回。</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（三）项目财务管理情况。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项目实施过程中，认真执行国家财经法律法规，建立健全《攀枝花市市场监督管理局机关财务管理制度》《攀枝花市市场监督管理局内控手册》《攀枝花市市场监督管理局政府采购内部控制制度》等财务管理制度，强化制度的执行力度。政府采购项目合法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w:t>
      </w:r>
    </w:p>
    <w:p w:rsidR="004B0FC1" w:rsidRDefault="00A976D9">
      <w:pPr>
        <w:widowControl w:val="0"/>
        <w:kinsoku/>
        <w:autoSpaceDE/>
        <w:autoSpaceDN/>
        <w:spacing w:line="600" w:lineRule="exact"/>
        <w:ind w:firstLine="720"/>
        <w:jc w:val="both"/>
        <w:textAlignment w:val="auto"/>
        <w:rPr>
          <w:rFonts w:ascii="Times New Roman" w:eastAsia="黑体" w:hAnsi="Times New Roman" w:cs="Times New Roman"/>
          <w:snapToGrid/>
          <w:kern w:val="2"/>
          <w:sz w:val="32"/>
          <w:szCs w:val="32"/>
          <w:lang w:val="zh-CN" w:eastAsia="zh-CN"/>
        </w:rPr>
      </w:pPr>
      <w:r>
        <w:rPr>
          <w:rFonts w:ascii="Times New Roman" w:eastAsia="黑体" w:hAnsi="Times New Roman" w:cs="Times New Roman" w:hint="eastAsia"/>
          <w:snapToGrid/>
          <w:kern w:val="2"/>
          <w:sz w:val="32"/>
          <w:szCs w:val="32"/>
          <w:lang w:val="zh-CN" w:eastAsia="zh-CN"/>
        </w:rPr>
        <w:t>三、项目实施及管理情况</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lastRenderedPageBreak/>
        <w:t>（一）项目组织架构及实施流程。</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项目由市市场监管</w:t>
      </w:r>
      <w:proofErr w:type="gramStart"/>
      <w:r>
        <w:rPr>
          <w:rFonts w:ascii="Times New Roman" w:eastAsia="仿宋_GB2312" w:hAnsi="Times New Roman" w:cs="仿宋_GB2312" w:hint="eastAsia"/>
          <w:snapToGrid/>
          <w:sz w:val="32"/>
          <w:szCs w:val="32"/>
          <w:lang w:val="zh-CN" w:eastAsia="zh-CN"/>
        </w:rPr>
        <w:t>局食品</w:t>
      </w:r>
      <w:proofErr w:type="gramEnd"/>
      <w:r>
        <w:rPr>
          <w:rFonts w:ascii="Times New Roman" w:eastAsia="仿宋_GB2312" w:hAnsi="Times New Roman" w:cs="仿宋_GB2312" w:hint="eastAsia"/>
          <w:snapToGrid/>
          <w:sz w:val="32"/>
          <w:szCs w:val="32"/>
          <w:lang w:val="zh-CN" w:eastAsia="zh-CN"/>
        </w:rPr>
        <w:t>协调科、信息中心统筹协调平台建设，县区配合接入平台，攀枝花市科技创新投资有限公司具体实施政务云租赁。</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（二）项目管理情况。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项目严格按照相关管理规定规范实施，建立健全组织管理、合同管理、资金管理及进度管控机制，明确职责分工，强化流程管控。在实施过程中，严格履行合同约定，按节点推进任务，规范资金使用与审批流程，加强质量监督与档案管理，确保项目依法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、有序开展，保障项目实施质量与效益。</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（三）项目监管情况。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根据设置的项目预算绩效目标，采取项目跟踪等方式，动态反映项目进度，适时采取相应措施警示督促纠偏纠错，促进预算绩效目标实现。对政府采购项目，机关纪委全程参与监督，保证项目采购合法合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w:t>
      </w:r>
    </w:p>
    <w:p w:rsidR="004B0FC1" w:rsidRDefault="00A976D9">
      <w:pPr>
        <w:widowControl w:val="0"/>
        <w:kinsoku/>
        <w:autoSpaceDE/>
        <w:autoSpaceDN/>
        <w:spacing w:line="600" w:lineRule="exact"/>
        <w:ind w:firstLine="720"/>
        <w:jc w:val="both"/>
        <w:textAlignment w:val="auto"/>
        <w:rPr>
          <w:rFonts w:ascii="Times New Roman" w:eastAsia="黑体" w:hAnsi="Times New Roman" w:cs="Times New Roman"/>
          <w:snapToGrid/>
          <w:kern w:val="2"/>
          <w:sz w:val="32"/>
          <w:szCs w:val="32"/>
          <w:lang w:val="zh-CN" w:eastAsia="zh-CN"/>
        </w:rPr>
      </w:pPr>
      <w:r>
        <w:rPr>
          <w:rFonts w:ascii="Times New Roman" w:eastAsia="黑体" w:hAnsi="Times New Roman" w:cs="Times New Roman"/>
          <w:snapToGrid/>
          <w:kern w:val="2"/>
          <w:sz w:val="32"/>
          <w:szCs w:val="32"/>
          <w:lang w:val="zh-CN" w:eastAsia="zh-CN"/>
        </w:rPr>
        <w:t>四、项目绩效情况</w:t>
      </w:r>
      <w:r>
        <w:rPr>
          <w:rFonts w:ascii="Times New Roman" w:eastAsia="黑体" w:hAnsi="Times New Roman" w:cs="Times New Roman"/>
          <w:snapToGrid/>
          <w:kern w:val="2"/>
          <w:sz w:val="32"/>
          <w:szCs w:val="32"/>
          <w:lang w:val="zh-CN" w:eastAsia="zh-CN"/>
        </w:rPr>
        <w:tab/>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（一）项目完成情况。</w:t>
      </w:r>
    </w:p>
    <w:tbl>
      <w:tblPr>
        <w:tblW w:w="0" w:type="auto"/>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4A0" w:firstRow="1" w:lastRow="0" w:firstColumn="1" w:lastColumn="0" w:noHBand="0" w:noVBand="1"/>
      </w:tblPr>
      <w:tblGrid>
        <w:gridCol w:w="1433"/>
        <w:gridCol w:w="3548"/>
        <w:gridCol w:w="3538"/>
      </w:tblGrid>
      <w:tr w:rsidR="004B0FC1">
        <w:trPr>
          <w:trHeight w:val="794"/>
          <w:jc w:val="center"/>
        </w:trPr>
        <w:tc>
          <w:tcPr>
            <w:tcW w:w="1433"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hint="eastAsia"/>
                <w:kern w:val="2"/>
                <w:sz w:val="24"/>
                <w:szCs w:val="22"/>
              </w:rPr>
              <w:t>验收</w:t>
            </w:r>
          </w:p>
          <w:p w:rsidR="004B0FC1" w:rsidRDefault="00A976D9">
            <w:pPr>
              <w:jc w:val="center"/>
              <w:rPr>
                <w:rFonts w:eastAsia="仿宋"/>
                <w:kern w:val="2"/>
                <w:sz w:val="24"/>
                <w:szCs w:val="22"/>
              </w:rPr>
            </w:pPr>
            <w:r>
              <w:rPr>
                <w:rFonts w:eastAsia="仿宋" w:hint="eastAsia"/>
                <w:kern w:val="2"/>
                <w:sz w:val="24"/>
                <w:szCs w:val="22"/>
              </w:rPr>
              <w:t>指标</w:t>
            </w:r>
          </w:p>
        </w:tc>
        <w:tc>
          <w:tcPr>
            <w:tcW w:w="3548" w:type="dxa"/>
            <w:tcBorders>
              <w:top w:val="single" w:sz="4" w:space="0" w:color="auto"/>
              <w:left w:val="nil"/>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hint="eastAsia"/>
                <w:kern w:val="2"/>
                <w:sz w:val="24"/>
                <w:szCs w:val="22"/>
              </w:rPr>
              <w:t>项目实施期内目标</w:t>
            </w:r>
          </w:p>
        </w:tc>
        <w:tc>
          <w:tcPr>
            <w:tcW w:w="3538" w:type="dxa"/>
            <w:tcBorders>
              <w:top w:val="single" w:sz="4" w:space="0" w:color="auto"/>
              <w:left w:val="nil"/>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hint="eastAsia"/>
                <w:kern w:val="2"/>
                <w:sz w:val="24"/>
                <w:szCs w:val="22"/>
              </w:rPr>
              <w:t>完成情况</w:t>
            </w:r>
          </w:p>
        </w:tc>
      </w:tr>
      <w:tr w:rsidR="004B0FC1">
        <w:trPr>
          <w:trHeight w:val="581"/>
          <w:jc w:val="center"/>
        </w:trPr>
        <w:tc>
          <w:tcPr>
            <w:tcW w:w="1433"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hint="eastAsia"/>
                <w:kern w:val="2"/>
                <w:sz w:val="24"/>
                <w:szCs w:val="22"/>
              </w:rPr>
              <w:t>数量指标</w:t>
            </w:r>
            <w:r>
              <w:rPr>
                <w:rFonts w:eastAsia="仿宋" w:hint="eastAsia"/>
                <w:kern w:val="2"/>
                <w:sz w:val="24"/>
                <w:szCs w:val="22"/>
              </w:rPr>
              <w:t xml:space="preserve"> </w:t>
            </w:r>
          </w:p>
        </w:tc>
        <w:tc>
          <w:tcPr>
            <w:tcW w:w="3548" w:type="dxa"/>
            <w:tcBorders>
              <w:top w:val="single" w:sz="4" w:space="0" w:color="auto"/>
              <w:left w:val="nil"/>
              <w:bottom w:val="single" w:sz="4" w:space="0" w:color="auto"/>
              <w:right w:val="single" w:sz="4" w:space="0" w:color="auto"/>
            </w:tcBorders>
            <w:vAlign w:val="center"/>
          </w:tcPr>
          <w:p w:rsidR="004B0FC1" w:rsidRDefault="00A976D9">
            <w:pPr>
              <w:jc w:val="center"/>
              <w:rPr>
                <w:rFonts w:eastAsia="仿宋"/>
                <w:kern w:val="2"/>
                <w:sz w:val="24"/>
                <w:szCs w:val="22"/>
                <w:lang w:eastAsia="zh-CN"/>
              </w:rPr>
            </w:pPr>
            <w:r>
              <w:rPr>
                <w:rFonts w:eastAsia="仿宋" w:hint="eastAsia"/>
                <w:kern w:val="2"/>
                <w:sz w:val="24"/>
                <w:szCs w:val="22"/>
                <w:lang w:eastAsia="zh-CN"/>
              </w:rPr>
              <w:t>2025</w:t>
            </w:r>
            <w:r>
              <w:rPr>
                <w:rFonts w:eastAsia="仿宋" w:hint="eastAsia"/>
                <w:kern w:val="2"/>
                <w:sz w:val="24"/>
                <w:szCs w:val="22"/>
                <w:lang w:eastAsia="zh-CN"/>
              </w:rPr>
              <w:t>年完成</w:t>
            </w:r>
            <w:r>
              <w:rPr>
                <w:rFonts w:eastAsia="仿宋" w:hint="eastAsia"/>
                <w:kern w:val="2"/>
                <w:sz w:val="24"/>
                <w:szCs w:val="22"/>
                <w:lang w:eastAsia="zh-CN"/>
              </w:rPr>
              <w:t>25%</w:t>
            </w:r>
            <w:r>
              <w:rPr>
                <w:rFonts w:eastAsia="仿宋" w:hint="eastAsia"/>
                <w:kern w:val="2"/>
                <w:sz w:val="24"/>
                <w:szCs w:val="22"/>
                <w:lang w:eastAsia="zh-CN"/>
              </w:rPr>
              <w:t>在产在经营获证食品生产经营主体互联网</w:t>
            </w:r>
            <w:r>
              <w:rPr>
                <w:rFonts w:eastAsia="仿宋" w:hint="eastAsia"/>
                <w:kern w:val="2"/>
                <w:sz w:val="24"/>
                <w:szCs w:val="22"/>
                <w:lang w:eastAsia="zh-CN"/>
              </w:rPr>
              <w:t>+AI</w:t>
            </w:r>
            <w:r>
              <w:rPr>
                <w:rFonts w:eastAsia="仿宋" w:hint="eastAsia"/>
                <w:kern w:val="2"/>
                <w:sz w:val="24"/>
                <w:szCs w:val="22"/>
                <w:lang w:eastAsia="zh-CN"/>
              </w:rPr>
              <w:t>监管——</w:t>
            </w:r>
            <w:r>
              <w:rPr>
                <w:rFonts w:eastAsia="仿宋" w:hint="eastAsia"/>
                <w:kern w:val="2"/>
                <w:sz w:val="24"/>
                <w:szCs w:val="22"/>
                <w:lang w:eastAsia="zh-CN"/>
              </w:rPr>
              <w:t>650</w:t>
            </w:r>
            <w:r>
              <w:rPr>
                <w:rFonts w:eastAsia="仿宋" w:hint="eastAsia"/>
                <w:kern w:val="2"/>
                <w:sz w:val="24"/>
                <w:szCs w:val="22"/>
                <w:lang w:eastAsia="zh-CN"/>
              </w:rPr>
              <w:t>户</w:t>
            </w:r>
          </w:p>
        </w:tc>
        <w:tc>
          <w:tcPr>
            <w:tcW w:w="3538" w:type="dxa"/>
            <w:tcBorders>
              <w:top w:val="single" w:sz="4" w:space="0" w:color="auto"/>
              <w:left w:val="nil"/>
              <w:bottom w:val="single" w:sz="4" w:space="0" w:color="auto"/>
              <w:right w:val="single" w:sz="4" w:space="0" w:color="auto"/>
            </w:tcBorders>
            <w:vAlign w:val="center"/>
          </w:tcPr>
          <w:p w:rsidR="004B0FC1" w:rsidRDefault="00A976D9">
            <w:pPr>
              <w:jc w:val="center"/>
              <w:rPr>
                <w:rFonts w:eastAsia="仿宋"/>
                <w:kern w:val="2"/>
                <w:sz w:val="24"/>
                <w:szCs w:val="22"/>
                <w:lang w:eastAsia="zh-CN"/>
              </w:rPr>
            </w:pPr>
            <w:r>
              <w:rPr>
                <w:rFonts w:eastAsia="仿宋" w:hint="eastAsia"/>
                <w:kern w:val="2"/>
                <w:sz w:val="24"/>
                <w:szCs w:val="22"/>
              </w:rPr>
              <w:t>已完成</w:t>
            </w:r>
            <w:r>
              <w:rPr>
                <w:rFonts w:eastAsia="仿宋" w:hint="eastAsia"/>
                <w:kern w:val="2"/>
                <w:sz w:val="24"/>
                <w:szCs w:val="22"/>
              </w:rPr>
              <w:t>1823</w:t>
            </w:r>
            <w:r>
              <w:rPr>
                <w:rFonts w:eastAsia="仿宋" w:hint="eastAsia"/>
                <w:kern w:val="2"/>
                <w:sz w:val="24"/>
                <w:szCs w:val="22"/>
              </w:rPr>
              <w:t>户</w:t>
            </w:r>
          </w:p>
        </w:tc>
      </w:tr>
      <w:tr w:rsidR="004B0FC1">
        <w:trPr>
          <w:trHeight w:val="581"/>
          <w:jc w:val="center"/>
        </w:trPr>
        <w:tc>
          <w:tcPr>
            <w:tcW w:w="1433"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hint="eastAsia"/>
                <w:kern w:val="2"/>
                <w:sz w:val="24"/>
                <w:szCs w:val="22"/>
              </w:rPr>
              <w:t>质量指标</w:t>
            </w:r>
            <w:r>
              <w:rPr>
                <w:rFonts w:eastAsia="仿宋" w:hint="eastAsia"/>
                <w:kern w:val="2"/>
                <w:sz w:val="24"/>
                <w:szCs w:val="22"/>
              </w:rPr>
              <w:t xml:space="preserve"> </w:t>
            </w:r>
          </w:p>
        </w:tc>
        <w:tc>
          <w:tcPr>
            <w:tcW w:w="3548" w:type="dxa"/>
            <w:tcBorders>
              <w:top w:val="single" w:sz="4" w:space="0" w:color="auto"/>
              <w:left w:val="nil"/>
              <w:bottom w:val="single" w:sz="4" w:space="0" w:color="auto"/>
              <w:right w:val="single" w:sz="4" w:space="0" w:color="auto"/>
            </w:tcBorders>
            <w:vAlign w:val="center"/>
          </w:tcPr>
          <w:p w:rsidR="004B0FC1" w:rsidRDefault="00A976D9">
            <w:pPr>
              <w:jc w:val="center"/>
              <w:rPr>
                <w:rFonts w:eastAsia="仿宋"/>
                <w:kern w:val="2"/>
                <w:sz w:val="24"/>
                <w:szCs w:val="22"/>
                <w:lang w:eastAsia="zh-CN"/>
              </w:rPr>
            </w:pPr>
            <w:r>
              <w:rPr>
                <w:rFonts w:eastAsia="仿宋" w:hint="eastAsia"/>
                <w:kern w:val="2"/>
                <w:sz w:val="24"/>
                <w:szCs w:val="22"/>
                <w:lang w:eastAsia="zh-CN"/>
              </w:rPr>
              <w:t>2025</w:t>
            </w:r>
            <w:r>
              <w:rPr>
                <w:rFonts w:eastAsia="仿宋" w:hint="eastAsia"/>
                <w:kern w:val="2"/>
                <w:sz w:val="24"/>
                <w:szCs w:val="22"/>
                <w:lang w:eastAsia="zh-CN"/>
              </w:rPr>
              <w:t>年完成</w:t>
            </w:r>
            <w:r>
              <w:rPr>
                <w:rFonts w:eastAsia="仿宋" w:hint="eastAsia"/>
                <w:kern w:val="2"/>
                <w:sz w:val="24"/>
                <w:szCs w:val="22"/>
                <w:lang w:eastAsia="zh-CN"/>
              </w:rPr>
              <w:t>25%</w:t>
            </w:r>
            <w:r>
              <w:rPr>
                <w:rFonts w:eastAsia="仿宋" w:hint="eastAsia"/>
                <w:kern w:val="2"/>
                <w:sz w:val="24"/>
                <w:szCs w:val="22"/>
                <w:lang w:eastAsia="zh-CN"/>
              </w:rPr>
              <w:t>在产在经营获证食品生产经营主体互联网</w:t>
            </w:r>
            <w:r>
              <w:rPr>
                <w:rFonts w:eastAsia="仿宋" w:hint="eastAsia"/>
                <w:kern w:val="2"/>
                <w:sz w:val="24"/>
                <w:szCs w:val="22"/>
                <w:lang w:eastAsia="zh-CN"/>
              </w:rPr>
              <w:t>+AI</w:t>
            </w:r>
            <w:r>
              <w:rPr>
                <w:rFonts w:eastAsia="仿宋" w:hint="eastAsia"/>
                <w:kern w:val="2"/>
                <w:sz w:val="24"/>
                <w:szCs w:val="22"/>
                <w:lang w:eastAsia="zh-CN"/>
              </w:rPr>
              <w:t>监管——大于等于</w:t>
            </w:r>
            <w:r>
              <w:rPr>
                <w:rFonts w:eastAsia="仿宋" w:hint="eastAsia"/>
                <w:kern w:val="2"/>
                <w:sz w:val="24"/>
                <w:szCs w:val="22"/>
                <w:lang w:eastAsia="zh-CN"/>
              </w:rPr>
              <w:t>25%</w:t>
            </w:r>
          </w:p>
        </w:tc>
        <w:tc>
          <w:tcPr>
            <w:tcW w:w="3538" w:type="dxa"/>
            <w:tcBorders>
              <w:top w:val="single" w:sz="4" w:space="0" w:color="auto"/>
              <w:left w:val="nil"/>
              <w:bottom w:val="single" w:sz="4" w:space="0" w:color="auto"/>
              <w:right w:val="single" w:sz="4" w:space="0" w:color="auto"/>
            </w:tcBorders>
            <w:vAlign w:val="center"/>
          </w:tcPr>
          <w:p w:rsidR="004B0FC1" w:rsidRDefault="00A976D9">
            <w:pPr>
              <w:jc w:val="center"/>
              <w:rPr>
                <w:rFonts w:eastAsia="仿宋"/>
                <w:kern w:val="2"/>
                <w:sz w:val="24"/>
                <w:szCs w:val="22"/>
                <w:lang w:eastAsia="zh-CN"/>
              </w:rPr>
            </w:pPr>
            <w:r>
              <w:rPr>
                <w:rFonts w:eastAsia="仿宋" w:hint="eastAsia"/>
                <w:kern w:val="2"/>
                <w:sz w:val="24"/>
                <w:szCs w:val="22"/>
                <w:lang w:eastAsia="zh-CN"/>
              </w:rPr>
              <w:t>已完成</w:t>
            </w:r>
            <w:r>
              <w:rPr>
                <w:rFonts w:eastAsia="仿宋" w:hint="eastAsia"/>
                <w:kern w:val="2"/>
                <w:sz w:val="24"/>
                <w:szCs w:val="22"/>
                <w:lang w:eastAsia="zh-CN"/>
              </w:rPr>
              <w:t>64%</w:t>
            </w:r>
            <w:r>
              <w:rPr>
                <w:rFonts w:eastAsia="仿宋" w:hint="eastAsia"/>
                <w:kern w:val="2"/>
                <w:sz w:val="24"/>
                <w:szCs w:val="22"/>
                <w:lang w:eastAsia="zh-CN"/>
              </w:rPr>
              <w:t>，超过</w:t>
            </w:r>
            <w:r>
              <w:rPr>
                <w:rFonts w:eastAsia="仿宋" w:hint="eastAsia"/>
                <w:kern w:val="2"/>
                <w:sz w:val="24"/>
                <w:szCs w:val="22"/>
                <w:lang w:eastAsia="zh-CN"/>
              </w:rPr>
              <w:t>25%</w:t>
            </w:r>
            <w:r>
              <w:rPr>
                <w:rFonts w:eastAsia="仿宋" w:hint="eastAsia"/>
                <w:kern w:val="2"/>
                <w:sz w:val="24"/>
                <w:szCs w:val="22"/>
                <w:lang w:eastAsia="zh-CN"/>
              </w:rPr>
              <w:t>目标任务</w:t>
            </w:r>
          </w:p>
        </w:tc>
      </w:tr>
      <w:tr w:rsidR="004B0FC1">
        <w:trPr>
          <w:trHeight w:val="1079"/>
          <w:jc w:val="center"/>
        </w:trPr>
        <w:tc>
          <w:tcPr>
            <w:tcW w:w="1433"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hint="eastAsia"/>
                <w:kern w:val="2"/>
                <w:sz w:val="24"/>
                <w:szCs w:val="22"/>
              </w:rPr>
              <w:lastRenderedPageBreak/>
              <w:t>质量指标</w:t>
            </w:r>
            <w:r>
              <w:rPr>
                <w:rFonts w:eastAsia="仿宋" w:hint="eastAsia"/>
                <w:kern w:val="2"/>
                <w:sz w:val="24"/>
                <w:szCs w:val="22"/>
              </w:rPr>
              <w:t xml:space="preserve"> </w:t>
            </w:r>
          </w:p>
        </w:tc>
        <w:tc>
          <w:tcPr>
            <w:tcW w:w="3548" w:type="dxa"/>
            <w:tcBorders>
              <w:top w:val="single" w:sz="4" w:space="0" w:color="auto"/>
              <w:left w:val="nil"/>
              <w:bottom w:val="single" w:sz="4" w:space="0" w:color="auto"/>
              <w:right w:val="single" w:sz="4" w:space="0" w:color="auto"/>
            </w:tcBorders>
            <w:vAlign w:val="center"/>
          </w:tcPr>
          <w:p w:rsidR="004B0FC1" w:rsidRDefault="00A976D9">
            <w:pPr>
              <w:jc w:val="center"/>
              <w:rPr>
                <w:rFonts w:eastAsia="仿宋"/>
                <w:kern w:val="2"/>
                <w:sz w:val="24"/>
                <w:szCs w:val="22"/>
                <w:lang w:eastAsia="zh-CN"/>
              </w:rPr>
            </w:pPr>
            <w:r>
              <w:rPr>
                <w:rFonts w:eastAsia="仿宋" w:hint="eastAsia"/>
                <w:kern w:val="2"/>
                <w:sz w:val="24"/>
                <w:szCs w:val="22"/>
                <w:lang w:eastAsia="zh-CN"/>
              </w:rPr>
              <w:t>政务</w:t>
            </w:r>
            <w:proofErr w:type="gramStart"/>
            <w:r>
              <w:rPr>
                <w:rFonts w:eastAsia="仿宋" w:hint="eastAsia"/>
                <w:kern w:val="2"/>
                <w:sz w:val="24"/>
                <w:szCs w:val="22"/>
                <w:lang w:eastAsia="zh-CN"/>
              </w:rPr>
              <w:t>云服务</w:t>
            </w:r>
            <w:proofErr w:type="gramEnd"/>
            <w:r>
              <w:rPr>
                <w:rFonts w:eastAsia="仿宋" w:hint="eastAsia"/>
                <w:kern w:val="2"/>
                <w:sz w:val="24"/>
                <w:szCs w:val="22"/>
                <w:lang w:eastAsia="zh-CN"/>
              </w:rPr>
              <w:t>可用性达市级平台部署标准，确保监管平台持续稳定运行</w:t>
            </w:r>
          </w:p>
        </w:tc>
        <w:tc>
          <w:tcPr>
            <w:tcW w:w="3538" w:type="dxa"/>
            <w:tcBorders>
              <w:top w:val="single" w:sz="4" w:space="0" w:color="auto"/>
              <w:left w:val="nil"/>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hint="eastAsia"/>
                <w:kern w:val="2"/>
                <w:sz w:val="24"/>
                <w:szCs w:val="22"/>
              </w:rPr>
              <w:t>已完成，达到</w:t>
            </w:r>
          </w:p>
        </w:tc>
      </w:tr>
      <w:tr w:rsidR="004B0FC1">
        <w:trPr>
          <w:trHeight w:val="1364"/>
          <w:jc w:val="center"/>
        </w:trPr>
        <w:tc>
          <w:tcPr>
            <w:tcW w:w="1433" w:type="dxa"/>
            <w:tcBorders>
              <w:top w:val="single" w:sz="4" w:space="0" w:color="auto"/>
              <w:left w:val="single" w:sz="4" w:space="0" w:color="auto"/>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hint="eastAsia"/>
                <w:kern w:val="2"/>
                <w:sz w:val="24"/>
                <w:szCs w:val="22"/>
              </w:rPr>
              <w:t>成本指标</w:t>
            </w:r>
            <w:r>
              <w:rPr>
                <w:rFonts w:eastAsia="仿宋" w:hint="eastAsia"/>
                <w:kern w:val="2"/>
                <w:sz w:val="24"/>
                <w:szCs w:val="22"/>
              </w:rPr>
              <w:t xml:space="preserve"> </w:t>
            </w:r>
          </w:p>
        </w:tc>
        <w:tc>
          <w:tcPr>
            <w:tcW w:w="3548" w:type="dxa"/>
            <w:tcBorders>
              <w:top w:val="single" w:sz="4" w:space="0" w:color="auto"/>
              <w:left w:val="nil"/>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hint="eastAsia"/>
                <w:kern w:val="2"/>
                <w:sz w:val="24"/>
                <w:szCs w:val="22"/>
              </w:rPr>
              <w:t>3.9</w:t>
            </w:r>
            <w:r>
              <w:rPr>
                <w:rFonts w:eastAsia="仿宋" w:hint="eastAsia"/>
                <w:kern w:val="2"/>
                <w:sz w:val="24"/>
                <w:szCs w:val="22"/>
              </w:rPr>
              <w:t>万元</w:t>
            </w:r>
          </w:p>
        </w:tc>
        <w:tc>
          <w:tcPr>
            <w:tcW w:w="3538" w:type="dxa"/>
            <w:tcBorders>
              <w:top w:val="single" w:sz="4" w:space="0" w:color="auto"/>
              <w:left w:val="nil"/>
              <w:bottom w:val="single" w:sz="4" w:space="0" w:color="auto"/>
              <w:right w:val="single" w:sz="4" w:space="0" w:color="auto"/>
            </w:tcBorders>
            <w:vAlign w:val="center"/>
          </w:tcPr>
          <w:p w:rsidR="004B0FC1" w:rsidRDefault="00A976D9">
            <w:pPr>
              <w:jc w:val="center"/>
              <w:rPr>
                <w:rFonts w:eastAsia="仿宋"/>
                <w:kern w:val="2"/>
                <w:sz w:val="24"/>
                <w:szCs w:val="22"/>
              </w:rPr>
            </w:pPr>
            <w:r>
              <w:rPr>
                <w:rFonts w:eastAsia="仿宋" w:hint="eastAsia"/>
                <w:kern w:val="2"/>
                <w:sz w:val="24"/>
                <w:szCs w:val="22"/>
              </w:rPr>
              <w:t>3.8871</w:t>
            </w:r>
            <w:r>
              <w:rPr>
                <w:rFonts w:eastAsia="仿宋" w:hint="eastAsia"/>
                <w:kern w:val="2"/>
                <w:sz w:val="24"/>
                <w:szCs w:val="22"/>
              </w:rPr>
              <w:t>万元</w:t>
            </w:r>
          </w:p>
        </w:tc>
      </w:tr>
    </w:tbl>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（二）项目效益情况。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社会效益：推进食品生产经营者“互联网</w:t>
      </w:r>
      <w:r>
        <w:rPr>
          <w:rFonts w:ascii="Times New Roman" w:eastAsia="仿宋_GB2312" w:hAnsi="Times New Roman" w:cs="仿宋_GB2312" w:hint="eastAsia"/>
          <w:snapToGrid/>
          <w:sz w:val="32"/>
          <w:szCs w:val="32"/>
          <w:lang w:val="zh-CN" w:eastAsia="zh-CN"/>
        </w:rPr>
        <w:t>+AI</w:t>
      </w:r>
      <w:r>
        <w:rPr>
          <w:rFonts w:ascii="Times New Roman" w:eastAsia="仿宋_GB2312" w:hAnsi="Times New Roman" w:cs="仿宋_GB2312" w:hint="eastAsia"/>
          <w:snapToGrid/>
          <w:sz w:val="32"/>
          <w:szCs w:val="32"/>
          <w:lang w:val="zh-CN" w:eastAsia="zh-CN"/>
        </w:rPr>
        <w:t>监管”工作，进一步深化可视化非现场监管，强化智慧赋能，提升监管效能。项目目前还在前期阶段，未开展监管使用。</w:t>
      </w:r>
    </w:p>
    <w:p w:rsidR="004B0FC1" w:rsidRDefault="00A976D9">
      <w:pPr>
        <w:widowControl w:val="0"/>
        <w:kinsoku/>
        <w:autoSpaceDE/>
        <w:autoSpaceDN/>
        <w:spacing w:line="600" w:lineRule="exact"/>
        <w:ind w:firstLine="720"/>
        <w:jc w:val="both"/>
        <w:textAlignment w:val="auto"/>
        <w:rPr>
          <w:rFonts w:ascii="Times New Roman" w:eastAsia="黑体" w:hAnsi="Times New Roman" w:cs="Times New Roman"/>
          <w:snapToGrid/>
          <w:kern w:val="2"/>
          <w:sz w:val="32"/>
          <w:szCs w:val="32"/>
          <w:lang w:val="zh-CN" w:eastAsia="zh-CN"/>
        </w:rPr>
      </w:pPr>
      <w:r>
        <w:rPr>
          <w:rFonts w:ascii="Times New Roman" w:eastAsia="黑体" w:hAnsi="Times New Roman" w:cs="Times New Roman"/>
          <w:snapToGrid/>
          <w:kern w:val="2"/>
          <w:sz w:val="32"/>
          <w:szCs w:val="32"/>
          <w:lang w:val="zh-CN" w:eastAsia="zh-CN"/>
        </w:rPr>
        <w:t>五、评价结论及建议</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（一）评价结论。</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市市场监管局统筹全市提前</w:t>
      </w:r>
      <w:r>
        <w:rPr>
          <w:rFonts w:ascii="Times New Roman" w:eastAsia="仿宋_GB2312" w:hAnsi="Times New Roman" w:cs="仿宋_GB2312" w:hint="eastAsia"/>
          <w:snapToGrid/>
          <w:sz w:val="32"/>
          <w:szCs w:val="32"/>
          <w:lang w:val="zh-CN" w:eastAsia="zh-CN"/>
        </w:rPr>
        <w:t>8</w:t>
      </w:r>
      <w:r>
        <w:rPr>
          <w:rFonts w:ascii="Times New Roman" w:eastAsia="仿宋_GB2312" w:hAnsi="Times New Roman" w:cs="仿宋_GB2312" w:hint="eastAsia"/>
          <w:snapToGrid/>
          <w:sz w:val="32"/>
          <w:szCs w:val="32"/>
          <w:lang w:val="zh-CN" w:eastAsia="zh-CN"/>
        </w:rPr>
        <w:t>天建成市级监管平台；对</w:t>
      </w:r>
      <w:r>
        <w:rPr>
          <w:rFonts w:ascii="Times New Roman" w:eastAsia="仿宋_GB2312" w:hAnsi="Times New Roman" w:cs="仿宋_GB2312" w:hint="eastAsia"/>
          <w:snapToGrid/>
          <w:sz w:val="32"/>
          <w:szCs w:val="32"/>
          <w:lang w:val="zh-CN" w:eastAsia="zh-CN"/>
        </w:rPr>
        <w:t>4130</w:t>
      </w:r>
      <w:r>
        <w:rPr>
          <w:rFonts w:ascii="Times New Roman" w:eastAsia="仿宋_GB2312" w:hAnsi="Times New Roman" w:cs="仿宋_GB2312" w:hint="eastAsia"/>
          <w:snapToGrid/>
          <w:sz w:val="32"/>
          <w:szCs w:val="32"/>
          <w:lang w:val="zh-CN" w:eastAsia="zh-CN"/>
        </w:rPr>
        <w:t>家食品生产经营主体完成摸底甄别，在前期上报</w:t>
      </w:r>
      <w:r>
        <w:rPr>
          <w:rFonts w:ascii="Times New Roman" w:eastAsia="仿宋_GB2312" w:hAnsi="Times New Roman" w:cs="仿宋_GB2312" w:hint="eastAsia"/>
          <w:snapToGrid/>
          <w:sz w:val="32"/>
          <w:szCs w:val="32"/>
          <w:lang w:val="zh-CN" w:eastAsia="zh-CN"/>
        </w:rPr>
        <w:t>2662</w:t>
      </w:r>
      <w:r>
        <w:rPr>
          <w:rFonts w:ascii="Times New Roman" w:eastAsia="仿宋_GB2312" w:hAnsi="Times New Roman" w:cs="仿宋_GB2312" w:hint="eastAsia"/>
          <w:snapToGrid/>
          <w:sz w:val="32"/>
          <w:szCs w:val="32"/>
          <w:lang w:val="zh-CN" w:eastAsia="zh-CN"/>
        </w:rPr>
        <w:t>家获证主体数基础上，核增至</w:t>
      </w:r>
      <w:r>
        <w:rPr>
          <w:rFonts w:ascii="Times New Roman" w:eastAsia="仿宋_GB2312" w:hAnsi="Times New Roman" w:cs="仿宋_GB2312" w:hint="eastAsia"/>
          <w:snapToGrid/>
          <w:sz w:val="32"/>
          <w:szCs w:val="32"/>
          <w:lang w:val="zh-CN" w:eastAsia="zh-CN"/>
        </w:rPr>
        <w:t>2831</w:t>
      </w:r>
      <w:r>
        <w:rPr>
          <w:rFonts w:ascii="Times New Roman" w:eastAsia="仿宋_GB2312" w:hAnsi="Times New Roman" w:cs="仿宋_GB2312" w:hint="eastAsia"/>
          <w:snapToGrid/>
          <w:sz w:val="32"/>
          <w:szCs w:val="32"/>
          <w:lang w:val="zh-CN" w:eastAsia="zh-CN"/>
        </w:rPr>
        <w:t>家，上报比达</w:t>
      </w:r>
      <w:r>
        <w:rPr>
          <w:rFonts w:ascii="Times New Roman" w:eastAsia="仿宋_GB2312" w:hAnsi="Times New Roman" w:cs="仿宋_GB2312" w:hint="eastAsia"/>
          <w:snapToGrid/>
          <w:sz w:val="32"/>
          <w:szCs w:val="32"/>
          <w:lang w:val="zh-CN" w:eastAsia="zh-CN"/>
        </w:rPr>
        <w:t>79.2%</w:t>
      </w:r>
      <w:r>
        <w:rPr>
          <w:rFonts w:ascii="Times New Roman" w:eastAsia="仿宋_GB2312" w:hAnsi="Times New Roman" w:cs="仿宋_GB2312" w:hint="eastAsia"/>
          <w:snapToGrid/>
          <w:sz w:val="32"/>
          <w:szCs w:val="32"/>
          <w:lang w:val="zh-CN" w:eastAsia="zh-CN"/>
        </w:rPr>
        <w:t>，居全省第一；提前</w:t>
      </w:r>
      <w:r>
        <w:rPr>
          <w:rFonts w:ascii="Times New Roman" w:eastAsia="仿宋_GB2312" w:hAnsi="Times New Roman" w:cs="仿宋_GB2312" w:hint="eastAsia"/>
          <w:snapToGrid/>
          <w:sz w:val="32"/>
          <w:szCs w:val="32"/>
          <w:lang w:val="zh-CN" w:eastAsia="zh-CN"/>
        </w:rPr>
        <w:t>11</w:t>
      </w:r>
      <w:r>
        <w:rPr>
          <w:rFonts w:ascii="Times New Roman" w:eastAsia="仿宋_GB2312" w:hAnsi="Times New Roman" w:cs="仿宋_GB2312" w:hint="eastAsia"/>
          <w:snapToGrid/>
          <w:sz w:val="32"/>
          <w:szCs w:val="32"/>
          <w:lang w:val="zh-CN" w:eastAsia="zh-CN"/>
        </w:rPr>
        <w:t>天完成省级下达的</w:t>
      </w:r>
      <w:r>
        <w:rPr>
          <w:rFonts w:ascii="Times New Roman" w:eastAsia="仿宋_GB2312" w:hAnsi="Times New Roman" w:cs="仿宋_GB2312" w:hint="eastAsia"/>
          <w:snapToGrid/>
          <w:sz w:val="32"/>
          <w:szCs w:val="32"/>
          <w:lang w:val="zh-CN" w:eastAsia="zh-CN"/>
        </w:rPr>
        <w:t>40%</w:t>
      </w:r>
      <w:r>
        <w:rPr>
          <w:rFonts w:ascii="Times New Roman" w:eastAsia="仿宋_GB2312" w:hAnsi="Times New Roman" w:cs="仿宋_GB2312" w:hint="eastAsia"/>
          <w:snapToGrid/>
          <w:sz w:val="32"/>
          <w:szCs w:val="32"/>
          <w:lang w:val="zh-CN" w:eastAsia="zh-CN"/>
        </w:rPr>
        <w:t>主体接入阶段目标。截至</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w:t>
      </w:r>
      <w:r>
        <w:rPr>
          <w:rFonts w:ascii="Times New Roman" w:eastAsia="仿宋_GB2312" w:hAnsi="Times New Roman" w:cs="仿宋_GB2312" w:hint="eastAsia"/>
          <w:snapToGrid/>
          <w:sz w:val="32"/>
          <w:szCs w:val="32"/>
          <w:lang w:val="zh-CN" w:eastAsia="zh-CN"/>
        </w:rPr>
        <w:t>12</w:t>
      </w:r>
      <w:r>
        <w:rPr>
          <w:rFonts w:ascii="Times New Roman" w:eastAsia="仿宋_GB2312" w:hAnsi="Times New Roman" w:cs="仿宋_GB2312" w:hint="eastAsia"/>
          <w:snapToGrid/>
          <w:sz w:val="32"/>
          <w:szCs w:val="32"/>
          <w:lang w:val="zh-CN" w:eastAsia="zh-CN"/>
        </w:rPr>
        <w:t>月</w:t>
      </w:r>
      <w:r>
        <w:rPr>
          <w:rFonts w:ascii="Times New Roman" w:eastAsia="仿宋_GB2312" w:hAnsi="Times New Roman" w:cs="仿宋_GB2312" w:hint="eastAsia"/>
          <w:snapToGrid/>
          <w:sz w:val="32"/>
          <w:szCs w:val="32"/>
          <w:lang w:val="zh-CN" w:eastAsia="zh-CN"/>
        </w:rPr>
        <w:t>31</w:t>
      </w:r>
      <w:r>
        <w:rPr>
          <w:rFonts w:ascii="Times New Roman" w:eastAsia="仿宋_GB2312" w:hAnsi="Times New Roman" w:cs="仿宋_GB2312" w:hint="eastAsia"/>
          <w:snapToGrid/>
          <w:sz w:val="32"/>
          <w:szCs w:val="32"/>
          <w:lang w:val="zh-CN" w:eastAsia="zh-CN"/>
        </w:rPr>
        <w:t>日，已成功向国家及省级监管平台推送主体</w:t>
      </w:r>
      <w:r>
        <w:rPr>
          <w:rFonts w:ascii="Times New Roman" w:eastAsia="仿宋_GB2312" w:hAnsi="Times New Roman" w:cs="仿宋_GB2312" w:hint="eastAsia"/>
          <w:snapToGrid/>
          <w:sz w:val="32"/>
          <w:szCs w:val="32"/>
          <w:lang w:val="zh-CN" w:eastAsia="zh-CN"/>
        </w:rPr>
        <w:t>1823</w:t>
      </w:r>
      <w:r>
        <w:rPr>
          <w:rFonts w:ascii="Times New Roman" w:eastAsia="仿宋_GB2312" w:hAnsi="Times New Roman" w:cs="仿宋_GB2312" w:hint="eastAsia"/>
          <w:snapToGrid/>
          <w:sz w:val="32"/>
          <w:szCs w:val="32"/>
          <w:lang w:val="zh-CN" w:eastAsia="zh-CN"/>
        </w:rPr>
        <w:t>家，完成率达</w:t>
      </w:r>
      <w:r>
        <w:rPr>
          <w:rFonts w:ascii="Times New Roman" w:eastAsia="仿宋_GB2312" w:hAnsi="Times New Roman" w:cs="仿宋_GB2312" w:hint="eastAsia"/>
          <w:snapToGrid/>
          <w:sz w:val="32"/>
          <w:szCs w:val="32"/>
          <w:lang w:val="zh-CN" w:eastAsia="zh-CN"/>
        </w:rPr>
        <w:t>64.5%</w:t>
      </w:r>
      <w:r>
        <w:rPr>
          <w:rFonts w:ascii="Times New Roman" w:eastAsia="仿宋_GB2312" w:hAnsi="Times New Roman" w:cs="仿宋_GB2312" w:hint="eastAsia"/>
          <w:snapToGrid/>
          <w:sz w:val="32"/>
          <w:szCs w:val="32"/>
          <w:lang w:val="zh-CN" w:eastAsia="zh-CN"/>
        </w:rPr>
        <w:t>，其中学校、养老机构、医疗机构、党政机关食堂等重点单位覆盖率率先达到</w:t>
      </w:r>
      <w:r>
        <w:rPr>
          <w:rFonts w:ascii="Times New Roman" w:eastAsia="仿宋_GB2312" w:hAnsi="Times New Roman" w:cs="仿宋_GB2312" w:hint="eastAsia"/>
          <w:snapToGrid/>
          <w:sz w:val="32"/>
          <w:szCs w:val="32"/>
          <w:lang w:val="zh-CN" w:eastAsia="zh-CN"/>
        </w:rPr>
        <w:t>100%</w:t>
      </w:r>
      <w:r>
        <w:rPr>
          <w:rFonts w:ascii="Times New Roman" w:eastAsia="仿宋_GB2312" w:hAnsi="Times New Roman" w:cs="仿宋_GB2312" w:hint="eastAsia"/>
          <w:snapToGrid/>
          <w:sz w:val="32"/>
          <w:szCs w:val="32"/>
          <w:lang w:val="zh-CN" w:eastAsia="zh-CN"/>
        </w:rPr>
        <w:t>，智慧监管根基得到全面夯实，为提升全域食品安全治理能力现代化水平奠定了坚实基础。</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经综合评定，项目整体实施目标明确、管理规范、推进有序、保障到位，较好完成了既定产出任务与绩效目标，资金使</w:t>
      </w:r>
      <w:r>
        <w:rPr>
          <w:rFonts w:ascii="Times New Roman" w:eastAsia="仿宋_GB2312" w:hAnsi="Times New Roman" w:cs="仿宋_GB2312" w:hint="eastAsia"/>
          <w:snapToGrid/>
          <w:sz w:val="32"/>
          <w:szCs w:val="32"/>
          <w:lang w:val="zh-CN" w:eastAsia="zh-CN"/>
        </w:rPr>
        <w:lastRenderedPageBreak/>
        <w:t>用合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高效，社会效益与可持续效益初步显现，基本达到专项设立预期成效，综合评价结果为“优”。</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（二）存在的问题。</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无。</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（三）相关建议。</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sectPr w:rsidR="004B0FC1">
          <w:pgSz w:w="11906" w:h="16838"/>
          <w:pgMar w:top="2098" w:right="1474" w:bottom="1984" w:left="1587" w:header="907" w:footer="1644" w:gutter="0"/>
          <w:cols w:space="0"/>
          <w:docGrid w:type="linesAndChars" w:linePitch="579" w:charSpace="-842"/>
        </w:sectPr>
      </w:pPr>
      <w:r>
        <w:rPr>
          <w:rFonts w:ascii="Times New Roman" w:eastAsia="仿宋_GB2312" w:hAnsi="Times New Roman" w:cs="仿宋_GB2312" w:hint="eastAsia"/>
          <w:snapToGrid/>
          <w:sz w:val="32"/>
          <w:szCs w:val="32"/>
          <w:lang w:val="zh-CN" w:eastAsia="zh-CN"/>
        </w:rPr>
        <w:t>无</w:t>
      </w:r>
    </w:p>
    <w:p w:rsidR="004B0FC1" w:rsidRDefault="00A976D9">
      <w:pPr>
        <w:pStyle w:val="a5"/>
        <w:spacing w:before="93"/>
        <w:rPr>
          <w:rFonts w:ascii="Times New Roman" w:eastAsia="黑体" w:cs="黑体"/>
          <w:sz w:val="32"/>
          <w:szCs w:val="32"/>
          <w:shd w:val="clear" w:color="auto" w:fill="FFFFFF"/>
          <w:lang w:eastAsia="zh-CN"/>
        </w:rPr>
      </w:pPr>
      <w:r>
        <w:rPr>
          <w:rFonts w:ascii="Times New Roman" w:eastAsia="黑体" w:cs="黑体" w:hint="eastAsia"/>
          <w:sz w:val="32"/>
          <w:szCs w:val="32"/>
          <w:shd w:val="clear" w:color="auto" w:fill="FFFFFF"/>
          <w:lang w:val="zh-CN" w:eastAsia="zh-CN"/>
        </w:rPr>
        <w:lastRenderedPageBreak/>
        <w:t>附件</w:t>
      </w:r>
      <w:r>
        <w:rPr>
          <w:rFonts w:ascii="Times New Roman" w:eastAsia="黑体" w:cs="黑体" w:hint="eastAsia"/>
          <w:sz w:val="32"/>
          <w:szCs w:val="32"/>
          <w:shd w:val="clear" w:color="auto" w:fill="FFFFFF"/>
          <w:lang w:eastAsia="zh-CN"/>
        </w:rPr>
        <w:t>2-6</w:t>
      </w:r>
    </w:p>
    <w:p w:rsidR="004B0FC1" w:rsidRDefault="004B0FC1">
      <w:pPr>
        <w:pStyle w:val="a5"/>
        <w:spacing w:before="93"/>
        <w:rPr>
          <w:rFonts w:ascii="Times New Roman" w:eastAsia="黑体" w:cs="黑体"/>
          <w:sz w:val="32"/>
          <w:szCs w:val="32"/>
          <w:shd w:val="clear" w:color="auto" w:fill="FFFFFF"/>
          <w:lang w:eastAsia="zh-CN"/>
        </w:rPr>
      </w:pPr>
    </w:p>
    <w:p w:rsidR="004B0FC1" w:rsidRDefault="00A976D9">
      <w:pPr>
        <w:pStyle w:val="ab"/>
        <w:spacing w:line="600" w:lineRule="exact"/>
        <w:ind w:firstLine="883"/>
        <w:jc w:val="center"/>
        <w:rPr>
          <w:rFonts w:ascii="Times New Roman" w:eastAsia="方正小标宋简体" w:hAnsi="Times New Roman" w:cs="Times New Roman"/>
          <w:snapToGrid/>
          <w:kern w:val="2"/>
          <w:sz w:val="40"/>
          <w:szCs w:val="40"/>
        </w:rPr>
      </w:pPr>
      <w:r>
        <w:rPr>
          <w:rFonts w:ascii="Times New Roman" w:eastAsia="方正小标宋简体" w:hAnsi="Times New Roman" w:cs="Times New Roman" w:hint="eastAsia"/>
          <w:snapToGrid/>
          <w:kern w:val="2"/>
          <w:sz w:val="40"/>
          <w:szCs w:val="40"/>
        </w:rPr>
        <w:t>攀枝花市市场监督管理局</w:t>
      </w:r>
    </w:p>
    <w:p w:rsidR="004B0FC1" w:rsidRDefault="00A976D9">
      <w:pPr>
        <w:pStyle w:val="ab"/>
        <w:spacing w:line="600" w:lineRule="exact"/>
        <w:ind w:firstLine="883"/>
        <w:jc w:val="center"/>
        <w:rPr>
          <w:rFonts w:ascii="Times New Roman" w:eastAsia="方正小标宋简体" w:hAnsi="Times New Roman" w:cs="Times New Roman"/>
          <w:snapToGrid/>
          <w:kern w:val="2"/>
          <w:sz w:val="40"/>
          <w:szCs w:val="40"/>
        </w:rPr>
      </w:pPr>
      <w:r>
        <w:rPr>
          <w:rFonts w:ascii="Times New Roman" w:eastAsia="方正小标宋简体" w:hAnsi="Times New Roman" w:cs="Times New Roman" w:hint="eastAsia"/>
          <w:snapToGrid/>
          <w:kern w:val="2"/>
          <w:sz w:val="40"/>
          <w:szCs w:val="40"/>
          <w:lang w:val="en-US"/>
        </w:rPr>
        <w:t>2025</w:t>
      </w:r>
      <w:r>
        <w:rPr>
          <w:rFonts w:ascii="Times New Roman" w:eastAsia="方正小标宋简体" w:hAnsi="Times New Roman" w:cs="Times New Roman" w:hint="eastAsia"/>
          <w:snapToGrid/>
          <w:kern w:val="2"/>
          <w:sz w:val="40"/>
          <w:szCs w:val="40"/>
          <w:lang w:val="en-US"/>
        </w:rPr>
        <w:t>年</w:t>
      </w:r>
      <w:r>
        <w:rPr>
          <w:rFonts w:ascii="Times New Roman" w:eastAsia="方正小标宋简体" w:hAnsi="Times New Roman" w:cs="Times New Roman" w:hint="eastAsia"/>
          <w:snapToGrid/>
          <w:kern w:val="2"/>
          <w:sz w:val="40"/>
          <w:szCs w:val="40"/>
        </w:rPr>
        <w:t>市级市场监管</w:t>
      </w:r>
      <w:r>
        <w:rPr>
          <w:rFonts w:ascii="Times New Roman" w:eastAsia="方正小标宋简体" w:hAnsi="Times New Roman" w:cs="Times New Roman"/>
          <w:snapToGrid/>
          <w:kern w:val="2"/>
          <w:sz w:val="40"/>
          <w:szCs w:val="40"/>
        </w:rPr>
        <w:t>专项预算项目支出</w:t>
      </w:r>
    </w:p>
    <w:p w:rsidR="004B0FC1" w:rsidRDefault="00A976D9">
      <w:pPr>
        <w:pStyle w:val="ab"/>
        <w:spacing w:line="600" w:lineRule="exact"/>
        <w:ind w:firstLine="883"/>
        <w:jc w:val="center"/>
        <w:rPr>
          <w:rFonts w:ascii="Times New Roman" w:eastAsia="方正小标宋简体" w:hAnsi="Times New Roman" w:cs="Times New Roman"/>
          <w:snapToGrid/>
          <w:kern w:val="2"/>
          <w:sz w:val="40"/>
          <w:szCs w:val="40"/>
        </w:rPr>
      </w:pPr>
      <w:r>
        <w:rPr>
          <w:rFonts w:ascii="Times New Roman" w:eastAsia="方正小标宋简体" w:hAnsi="Times New Roman" w:cs="Times New Roman"/>
          <w:snapToGrid/>
          <w:kern w:val="2"/>
          <w:sz w:val="40"/>
          <w:szCs w:val="40"/>
        </w:rPr>
        <w:t>绩效自评报告</w:t>
      </w:r>
    </w:p>
    <w:p w:rsidR="004B0FC1" w:rsidRDefault="004B0FC1">
      <w:pPr>
        <w:pStyle w:val="a5"/>
        <w:spacing w:before="93"/>
        <w:rPr>
          <w:rFonts w:ascii="Times New Roman" w:eastAsia="方正小标宋简体" w:hAnsi="Times New Roman" w:cs="Times New Roman"/>
          <w:snapToGrid/>
          <w:kern w:val="2"/>
          <w:sz w:val="40"/>
          <w:szCs w:val="40"/>
          <w:lang w:eastAsia="zh-CN"/>
        </w:rPr>
      </w:pPr>
    </w:p>
    <w:p w:rsidR="004B0FC1" w:rsidRDefault="00A976D9">
      <w:pPr>
        <w:widowControl w:val="0"/>
        <w:kinsoku/>
        <w:autoSpaceDE/>
        <w:autoSpaceDN/>
        <w:adjustRightInd/>
        <w:snapToGrid/>
        <w:spacing w:line="578" w:lineRule="exact"/>
        <w:ind w:firstLine="640"/>
        <w:jc w:val="both"/>
        <w:textAlignment w:val="auto"/>
        <w:rPr>
          <w:rFonts w:ascii="黑体" w:eastAsia="黑体" w:hAnsi="黑体" w:cs="黑体"/>
          <w:snapToGrid/>
          <w:sz w:val="32"/>
          <w:szCs w:val="32"/>
          <w:lang w:val="zh-CN" w:eastAsia="zh-CN"/>
        </w:rPr>
      </w:pPr>
      <w:r>
        <w:rPr>
          <w:rFonts w:ascii="黑体" w:eastAsia="黑体" w:hAnsi="黑体" w:cs="黑体" w:hint="eastAsia"/>
          <w:snapToGrid/>
          <w:sz w:val="32"/>
          <w:szCs w:val="32"/>
          <w:lang w:eastAsia="zh-CN"/>
        </w:rPr>
        <w:t>一、</w:t>
      </w:r>
      <w:r>
        <w:rPr>
          <w:rFonts w:ascii="黑体" w:eastAsia="黑体" w:hAnsi="黑体" w:cs="黑体" w:hint="eastAsia"/>
          <w:snapToGrid/>
          <w:sz w:val="32"/>
          <w:szCs w:val="32"/>
          <w:lang w:val="zh-CN" w:eastAsia="zh-CN"/>
        </w:rPr>
        <w:t>项目概况</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（一）项目基本情况。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负责全市从生产到流通到消费的全过程市场综合监督管理，着力为经济发展营造良好的市场环境。具体承担市场主体统一登记注册、市场秩序监督管理，负责宏观质量管理、产品质量安全监督管理，负责食品、药品、化妆品、医疗器械、特种设备安全监管，统一管理全市知识产权、计量、标准化、认证认可及检验检测等工作。</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为切实履行产品质量、食品药品安全监督管理法定职责，规范开展监督抽查与抽样检验工作，保障人民群众生命财产安全，本项目严格依据国家法律法规、部门规章及地方工作规范组织立项与资金申报。</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一是依据《中华人民共和国产品质量法》《中华人民共和国消费者权益保护法》《产品质量监督抽查管理暂行办法》《四川省产品质量监督抽查工作指南》等规定，依法开展产品质量监督抽查相关工作。二是依据《中华人民共和国食品安全</w:t>
      </w:r>
      <w:r>
        <w:rPr>
          <w:rFonts w:ascii="Times New Roman" w:eastAsia="仿宋_GB2312" w:hAnsi="Times New Roman" w:cs="仿宋_GB2312" w:hint="eastAsia"/>
          <w:snapToGrid/>
          <w:sz w:val="32"/>
          <w:szCs w:val="32"/>
          <w:lang w:val="zh-CN" w:eastAsia="zh-CN"/>
        </w:rPr>
        <w:lastRenderedPageBreak/>
        <w:t>法》相关规定，履行食品抽样检验法定职能。三是依据《中华人民共和国药品管理法》《药品质量抽查检验管理办法》（</w:t>
      </w:r>
      <w:proofErr w:type="gramStart"/>
      <w:r>
        <w:rPr>
          <w:rFonts w:ascii="Times New Roman" w:eastAsia="仿宋_GB2312" w:hAnsi="Times New Roman" w:cs="仿宋_GB2312" w:hint="eastAsia"/>
          <w:snapToGrid/>
          <w:sz w:val="32"/>
          <w:szCs w:val="32"/>
          <w:lang w:val="zh-CN" w:eastAsia="zh-CN"/>
        </w:rPr>
        <w:t>国药监药管</w:t>
      </w:r>
      <w:proofErr w:type="gramEnd"/>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2019</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34</w:t>
      </w:r>
      <w:r>
        <w:rPr>
          <w:rFonts w:ascii="Times New Roman" w:eastAsia="仿宋_GB2312" w:hAnsi="Times New Roman" w:cs="仿宋_GB2312" w:hint="eastAsia"/>
          <w:snapToGrid/>
          <w:sz w:val="32"/>
          <w:szCs w:val="32"/>
          <w:lang w:val="zh-CN" w:eastAsia="zh-CN"/>
        </w:rPr>
        <w:t>号）规定，组织实施区域内市级药品监督抽检、评价抽检工作任务。</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3.</w:t>
      </w:r>
      <w:r>
        <w:rPr>
          <w:rFonts w:ascii="Times New Roman" w:eastAsia="仿宋_GB2312" w:hAnsi="Times New Roman" w:cs="仿宋_GB2312" w:hint="eastAsia"/>
          <w:snapToGrid/>
          <w:sz w:val="32"/>
          <w:szCs w:val="32"/>
          <w:lang w:val="zh-CN" w:eastAsia="zh-CN"/>
        </w:rPr>
        <w:t>攀枝花市市场监管局严格按照相关资金管理规定，明确资金使用、核算、监管及绩效等全流程要求，资金主要支持市级产品质量、食品、药品监督抽检等法定监管项目，支持对象为承担抽检任务的相关单位，支持范围包括样品购置、检验检测、抽样及结果公示等相关必要支出，采取财政预算安排、专款专用、国库集中支付的方式予以保障。</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4.</w:t>
      </w:r>
      <w:r>
        <w:rPr>
          <w:rFonts w:ascii="Times New Roman" w:eastAsia="仿宋_GB2312" w:hAnsi="Times New Roman" w:cs="仿宋_GB2312" w:hint="eastAsia"/>
          <w:snapToGrid/>
          <w:sz w:val="32"/>
          <w:szCs w:val="32"/>
          <w:lang w:val="zh-CN" w:eastAsia="zh-CN"/>
        </w:rPr>
        <w:t>资金分配坚持依法合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统筹兼顾、突出重点、绩效导向、公开透明原则，主要结合年度监管重点、风险监测结果、辖区市场主体数量、抽检任务量、往年工作完成情况及财政预算规模等因素统筹测算，确保资金向高风险领域、重点品种和关键监管环节倾斜，保障监督抽检任务高效落地。</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（二）项目绩效目标。</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完成攀枝花市市场监管局</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年工业产品质量市级监督抽查任务，完成药品评价、监督抽查检验任务，完成市级食品抽检任务。</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计划完成市级工业产品抽检共计</w:t>
      </w:r>
      <w:r>
        <w:rPr>
          <w:rFonts w:ascii="Times New Roman" w:eastAsia="仿宋_GB2312" w:hAnsi="Times New Roman" w:cs="仿宋_GB2312" w:hint="eastAsia"/>
          <w:snapToGrid/>
          <w:sz w:val="32"/>
          <w:szCs w:val="32"/>
          <w:lang w:val="zh-CN" w:eastAsia="zh-CN"/>
        </w:rPr>
        <w:t>120</w:t>
      </w:r>
      <w:r>
        <w:rPr>
          <w:rFonts w:ascii="Times New Roman" w:eastAsia="仿宋_GB2312" w:hAnsi="Times New Roman" w:cs="仿宋_GB2312" w:hint="eastAsia"/>
          <w:snapToGrid/>
          <w:sz w:val="32"/>
          <w:szCs w:val="32"/>
          <w:lang w:val="zh-CN" w:eastAsia="zh-CN"/>
        </w:rPr>
        <w:t>批次，完成市级药品评价、监督抽查检验</w:t>
      </w:r>
      <w:r>
        <w:rPr>
          <w:rFonts w:ascii="Times New Roman" w:eastAsia="仿宋_GB2312" w:hAnsi="Times New Roman" w:cs="仿宋_GB2312" w:hint="eastAsia"/>
          <w:snapToGrid/>
          <w:sz w:val="32"/>
          <w:szCs w:val="32"/>
          <w:lang w:val="zh-CN" w:eastAsia="zh-CN"/>
        </w:rPr>
        <w:t>40</w:t>
      </w:r>
      <w:r>
        <w:rPr>
          <w:rFonts w:ascii="Times New Roman" w:eastAsia="仿宋_GB2312" w:hAnsi="Times New Roman" w:cs="仿宋_GB2312" w:hint="eastAsia"/>
          <w:snapToGrid/>
          <w:sz w:val="32"/>
          <w:szCs w:val="32"/>
          <w:lang w:val="zh-CN" w:eastAsia="zh-CN"/>
        </w:rPr>
        <w:t>批次，完成市级食品抽检任务</w:t>
      </w:r>
      <w:r>
        <w:rPr>
          <w:rFonts w:ascii="Times New Roman" w:eastAsia="仿宋_GB2312" w:hAnsi="Times New Roman" w:cs="仿宋_GB2312" w:hint="eastAsia"/>
          <w:snapToGrid/>
          <w:sz w:val="32"/>
          <w:szCs w:val="32"/>
          <w:lang w:val="zh-CN" w:eastAsia="zh-CN"/>
        </w:rPr>
        <w:t>330</w:t>
      </w:r>
      <w:r>
        <w:rPr>
          <w:rFonts w:ascii="Times New Roman" w:eastAsia="仿宋_GB2312" w:hAnsi="Times New Roman" w:cs="仿宋_GB2312" w:hint="eastAsia"/>
          <w:snapToGrid/>
          <w:sz w:val="32"/>
          <w:szCs w:val="32"/>
          <w:lang w:val="zh-CN" w:eastAsia="zh-CN"/>
        </w:rPr>
        <w:t>批次。</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lastRenderedPageBreak/>
        <w:t>3.</w:t>
      </w:r>
      <w:r>
        <w:rPr>
          <w:rFonts w:ascii="Times New Roman" w:eastAsia="仿宋_GB2312" w:hAnsi="Times New Roman" w:cs="仿宋_GB2312" w:hint="eastAsia"/>
          <w:snapToGrid/>
          <w:sz w:val="32"/>
          <w:szCs w:val="32"/>
          <w:lang w:val="zh-CN" w:eastAsia="zh-CN"/>
        </w:rPr>
        <w:t>经评价，项目申报内容与本单位依法承担的产品质量、食品、药品监督抽检法定职责高度契合，申报内容与年度监管工作实际、任务安排真实一致、相符匹配；申报的绩效目标紧扣监管需求和财政支出要求，目标设定科学合理、量化清晰、重点突出，与资金规模、人员保障、实施条件相匹配，具备较强的可行性和可实现性。</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（三）项目自评步骤及方法。</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本次绩效自评严格按照财政部门绩效评价工作要求，坚持客观真实、规范统一、数据支撑、注重实效原则，通过成立自评小组、梳理资料、数据核实、指标评分、综合</w:t>
      </w:r>
      <w:proofErr w:type="gramStart"/>
      <w:r>
        <w:rPr>
          <w:rFonts w:ascii="Times New Roman" w:eastAsia="仿宋_GB2312" w:hAnsi="Times New Roman" w:cs="仿宋_GB2312" w:hint="eastAsia"/>
          <w:snapToGrid/>
          <w:sz w:val="32"/>
          <w:szCs w:val="32"/>
          <w:lang w:val="zh-CN" w:eastAsia="zh-CN"/>
        </w:rPr>
        <w:t>研</w:t>
      </w:r>
      <w:proofErr w:type="gramEnd"/>
      <w:r>
        <w:rPr>
          <w:rFonts w:ascii="Times New Roman" w:eastAsia="仿宋_GB2312" w:hAnsi="Times New Roman" w:cs="仿宋_GB2312" w:hint="eastAsia"/>
          <w:snapToGrid/>
          <w:sz w:val="32"/>
          <w:szCs w:val="32"/>
          <w:lang w:val="zh-CN" w:eastAsia="zh-CN"/>
        </w:rPr>
        <w:t>判、形成报告六个步骤组织实施。自评主要采取资料核查、现场核对、数据比对、台账审查、绩效指标量化评分等方法，对项目立项依据、资金使用、任务完成、实施效益等进行全面核查与综合评价，确保自评结果真实、准确、完整。</w:t>
      </w:r>
    </w:p>
    <w:p w:rsidR="004B0FC1" w:rsidRDefault="00A976D9">
      <w:pPr>
        <w:widowControl w:val="0"/>
        <w:kinsoku/>
        <w:autoSpaceDE/>
        <w:autoSpaceDN/>
        <w:adjustRightInd/>
        <w:snapToGrid/>
        <w:spacing w:line="578" w:lineRule="exact"/>
        <w:ind w:firstLine="640"/>
        <w:jc w:val="both"/>
        <w:textAlignment w:val="auto"/>
        <w:rPr>
          <w:rFonts w:ascii="黑体" w:eastAsia="黑体" w:hAnsi="黑体" w:cs="黑体"/>
          <w:snapToGrid/>
          <w:sz w:val="32"/>
          <w:szCs w:val="32"/>
          <w:lang w:eastAsia="zh-CN"/>
        </w:rPr>
      </w:pPr>
      <w:r>
        <w:rPr>
          <w:rFonts w:ascii="黑体" w:eastAsia="黑体" w:hAnsi="黑体" w:cs="黑体" w:hint="eastAsia"/>
          <w:snapToGrid/>
          <w:sz w:val="32"/>
          <w:szCs w:val="32"/>
          <w:lang w:eastAsia="zh-CN"/>
        </w:rPr>
        <w:t>二、项目资金申报及使用情况</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（一）项目资金申报及批复情况。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市级财政</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年年初预算下达资金</w:t>
      </w:r>
      <w:r>
        <w:rPr>
          <w:rFonts w:ascii="Times New Roman" w:eastAsia="仿宋_GB2312" w:hAnsi="Times New Roman" w:cs="仿宋_GB2312" w:hint="eastAsia"/>
          <w:snapToGrid/>
          <w:sz w:val="32"/>
          <w:szCs w:val="32"/>
          <w:lang w:val="zh-CN" w:eastAsia="zh-CN"/>
        </w:rPr>
        <w:t>50</w:t>
      </w:r>
      <w:r>
        <w:rPr>
          <w:rFonts w:ascii="Times New Roman" w:eastAsia="仿宋_GB2312" w:hAnsi="Times New Roman" w:cs="仿宋_GB2312" w:hint="eastAsia"/>
          <w:snapToGrid/>
          <w:sz w:val="32"/>
          <w:szCs w:val="32"/>
          <w:lang w:val="zh-CN" w:eastAsia="zh-CN"/>
        </w:rPr>
        <w:t>万元。</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（二）资金计划、到位及使用情况。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资金计划。项目预算资金</w:t>
      </w:r>
      <w:r>
        <w:rPr>
          <w:rFonts w:ascii="Times New Roman" w:eastAsia="仿宋_GB2312" w:hAnsi="Times New Roman" w:cs="仿宋_GB2312" w:hint="eastAsia"/>
          <w:snapToGrid/>
          <w:sz w:val="32"/>
          <w:szCs w:val="32"/>
          <w:lang w:val="zh-CN" w:eastAsia="zh-CN"/>
        </w:rPr>
        <w:t>50</w:t>
      </w:r>
      <w:r>
        <w:rPr>
          <w:rFonts w:ascii="Times New Roman" w:eastAsia="仿宋_GB2312" w:hAnsi="Times New Roman" w:cs="仿宋_GB2312" w:hint="eastAsia"/>
          <w:snapToGrid/>
          <w:sz w:val="32"/>
          <w:szCs w:val="32"/>
          <w:lang w:val="zh-CN" w:eastAsia="zh-CN"/>
        </w:rPr>
        <w:t>万元。主要用于市场监管日常监管工作及市级工业产品、药品，食品抽检任务。</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资金到位。到位资金</w:t>
      </w:r>
      <w:r>
        <w:rPr>
          <w:rFonts w:ascii="Times New Roman" w:eastAsia="仿宋_GB2312" w:hAnsi="Times New Roman" w:cs="仿宋_GB2312" w:hint="eastAsia"/>
          <w:snapToGrid/>
          <w:sz w:val="32"/>
          <w:szCs w:val="32"/>
          <w:lang w:val="zh-CN" w:eastAsia="zh-CN"/>
        </w:rPr>
        <w:t>50</w:t>
      </w:r>
      <w:r>
        <w:rPr>
          <w:rFonts w:ascii="Times New Roman" w:eastAsia="仿宋_GB2312" w:hAnsi="Times New Roman" w:cs="仿宋_GB2312" w:hint="eastAsia"/>
          <w:snapToGrid/>
          <w:sz w:val="32"/>
          <w:szCs w:val="32"/>
          <w:lang w:val="zh-CN" w:eastAsia="zh-CN"/>
        </w:rPr>
        <w:t>万元。</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3.</w:t>
      </w:r>
      <w:r>
        <w:rPr>
          <w:rFonts w:ascii="Times New Roman" w:eastAsia="仿宋_GB2312" w:hAnsi="Times New Roman" w:cs="仿宋_GB2312" w:hint="eastAsia"/>
          <w:snapToGrid/>
          <w:sz w:val="32"/>
          <w:szCs w:val="32"/>
          <w:lang w:val="zh-CN" w:eastAsia="zh-CN"/>
        </w:rPr>
        <w:t>资金使用。本年度实际使用</w:t>
      </w:r>
      <w:r>
        <w:rPr>
          <w:rFonts w:ascii="Times New Roman" w:eastAsia="仿宋_GB2312" w:hAnsi="Times New Roman" w:cs="仿宋_GB2312" w:hint="eastAsia"/>
          <w:snapToGrid/>
          <w:sz w:val="32"/>
          <w:szCs w:val="32"/>
          <w:lang w:val="zh-CN" w:eastAsia="zh-CN"/>
        </w:rPr>
        <w:t>47.16</w:t>
      </w:r>
      <w:r>
        <w:rPr>
          <w:rFonts w:ascii="Times New Roman" w:eastAsia="仿宋_GB2312" w:hAnsi="Times New Roman" w:cs="仿宋_GB2312" w:hint="eastAsia"/>
          <w:snapToGrid/>
          <w:sz w:val="32"/>
          <w:szCs w:val="32"/>
          <w:lang w:val="zh-CN" w:eastAsia="zh-CN"/>
        </w:rPr>
        <w:t>万元，执行率</w:t>
      </w:r>
      <w:r>
        <w:rPr>
          <w:rFonts w:ascii="Times New Roman" w:eastAsia="仿宋_GB2312" w:hAnsi="Times New Roman" w:cs="仿宋_GB2312" w:hint="eastAsia"/>
          <w:snapToGrid/>
          <w:sz w:val="32"/>
          <w:szCs w:val="32"/>
          <w:lang w:val="zh-CN" w:eastAsia="zh-CN"/>
        </w:rPr>
        <w:t>94.3%</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lastRenderedPageBreak/>
        <w:t>剩余资金财政已收回。</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（三）项目财务管理情况。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项目实施过程中，认真执行国家财经法律法规，建立健全《攀枝花市市场监督管理局机关财务管理制度》《攀枝花市市场监督管理局内控手册》《攀枝花市市场监督管理局政府采购内部控制制度》等财务管理制度，强化制度的执行力度。加强会计核算，专款专用。按项目名称、资金性质等相关信息进行专款专账核算，完整反映资金来源渠道、支出方向，账务处理及时，会计核算规范。政府采购项目合法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w:t>
      </w:r>
    </w:p>
    <w:p w:rsidR="004B0FC1" w:rsidRDefault="00A976D9">
      <w:pPr>
        <w:widowControl w:val="0"/>
        <w:kinsoku/>
        <w:autoSpaceDE/>
        <w:autoSpaceDN/>
        <w:adjustRightInd/>
        <w:snapToGrid/>
        <w:spacing w:line="578" w:lineRule="exact"/>
        <w:ind w:firstLine="640"/>
        <w:jc w:val="both"/>
        <w:textAlignment w:val="auto"/>
        <w:rPr>
          <w:rFonts w:ascii="黑体" w:eastAsia="黑体" w:hAnsi="黑体" w:cs="黑体"/>
          <w:snapToGrid/>
          <w:sz w:val="32"/>
          <w:szCs w:val="32"/>
          <w:lang w:eastAsia="zh-CN"/>
        </w:rPr>
      </w:pPr>
      <w:r>
        <w:rPr>
          <w:rFonts w:ascii="黑体" w:eastAsia="黑体" w:hAnsi="黑体" w:cs="黑体" w:hint="eastAsia"/>
          <w:snapToGrid/>
          <w:sz w:val="32"/>
          <w:szCs w:val="32"/>
          <w:lang w:eastAsia="zh-CN"/>
        </w:rPr>
        <w:t>三、项目实施及管理情况</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（一）项目组织架构及实施流程。</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成立由分管领导牵头、业务科室负责、财务科室协同配合的专项工作小组，具体负责专项项目的分解、绩效目标制定、资金分配、项目实施和跟踪督导，确保专项项目有领导分管，有责任科室承办，有牵头单位督促检查。</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项目分管领导全权负责项目审批、执行，指导项目按实施方案有序完成。项目执行单位拟订项目计划，负责项目具体实施、资金支付等，确保项目内容符合工作实际、项目资金最大限度发挥作用。项目资金管理科室审核项目资金使用合法、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性，确保资金专款专用，负责项目绩效评价。实施流程上，严格执行年度计划制定、任务下达、抽样送检、检验检测、结果审核、信息公示、档案归集闭环管理，各环节责任到人、程</w:t>
      </w:r>
      <w:r>
        <w:rPr>
          <w:rFonts w:ascii="Times New Roman" w:eastAsia="仿宋_GB2312" w:hAnsi="Times New Roman" w:cs="仿宋_GB2312" w:hint="eastAsia"/>
          <w:snapToGrid/>
          <w:sz w:val="32"/>
          <w:szCs w:val="32"/>
          <w:lang w:val="zh-CN" w:eastAsia="zh-CN"/>
        </w:rPr>
        <w:lastRenderedPageBreak/>
        <w:t>序合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、记录完整，保障项目规范有序推进。</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（二）项目管理情况。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严格遵守国家相关法律法规及项目管理制度，结合项目特点规范开展各项工作，在招投标、政府采购、项目公示等关键环节均按规定执行，程序合法、流程规范、公开透明，项目管理总体有序、合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有效。</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（三）项目监管情况。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根据设置的项目预算绩效目标，采取项目跟踪等方式，动态反映项目进度，适时采取相应措施警示督促纠偏纠错，促进预算绩效目标实现。对政府采购项目，机关纪委全程参与监督，保证项目采购合法合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w:t>
      </w:r>
    </w:p>
    <w:p w:rsidR="004B0FC1" w:rsidRDefault="00A976D9">
      <w:pPr>
        <w:widowControl w:val="0"/>
        <w:kinsoku/>
        <w:autoSpaceDE/>
        <w:autoSpaceDN/>
        <w:adjustRightInd/>
        <w:snapToGrid/>
        <w:spacing w:line="578" w:lineRule="exact"/>
        <w:ind w:firstLine="640"/>
        <w:jc w:val="both"/>
        <w:textAlignment w:val="auto"/>
        <w:rPr>
          <w:rFonts w:ascii="黑体" w:eastAsia="黑体" w:hAnsi="黑体" w:cs="黑体"/>
          <w:snapToGrid/>
          <w:sz w:val="32"/>
          <w:szCs w:val="32"/>
          <w:lang w:val="zh-CN" w:eastAsia="zh-CN"/>
        </w:rPr>
      </w:pPr>
      <w:r>
        <w:rPr>
          <w:rFonts w:ascii="黑体" w:eastAsia="黑体" w:hAnsi="黑体" w:cs="黑体" w:hint="eastAsia"/>
          <w:snapToGrid/>
          <w:sz w:val="32"/>
          <w:szCs w:val="32"/>
          <w:lang w:eastAsia="zh-CN"/>
        </w:rPr>
        <w:t>四、项目绩效情况</w:t>
      </w:r>
      <w:r>
        <w:rPr>
          <w:rFonts w:ascii="黑体" w:eastAsia="黑体" w:hAnsi="黑体" w:cs="黑体" w:hint="eastAsia"/>
          <w:snapToGrid/>
          <w:sz w:val="32"/>
          <w:szCs w:val="32"/>
          <w:lang w:val="zh-CN" w:eastAsia="zh-CN"/>
        </w:rPr>
        <w:tab/>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（一）项目完成情况。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完成市级工业产品抽检共计</w:t>
      </w:r>
      <w:r>
        <w:rPr>
          <w:rFonts w:ascii="Times New Roman" w:eastAsia="仿宋_GB2312" w:hAnsi="Times New Roman" w:cs="仿宋_GB2312" w:hint="eastAsia"/>
          <w:snapToGrid/>
          <w:sz w:val="32"/>
          <w:szCs w:val="32"/>
          <w:lang w:val="zh-CN" w:eastAsia="zh-CN"/>
        </w:rPr>
        <w:t>120</w:t>
      </w:r>
      <w:r>
        <w:rPr>
          <w:rFonts w:ascii="Times New Roman" w:eastAsia="仿宋_GB2312" w:hAnsi="Times New Roman" w:cs="仿宋_GB2312" w:hint="eastAsia"/>
          <w:snapToGrid/>
          <w:sz w:val="32"/>
          <w:szCs w:val="32"/>
          <w:lang w:val="zh-CN" w:eastAsia="zh-CN"/>
        </w:rPr>
        <w:t>批次，完成市级药品评价、监督抽查检验</w:t>
      </w:r>
      <w:r>
        <w:rPr>
          <w:rFonts w:ascii="Times New Roman" w:eastAsia="仿宋_GB2312" w:hAnsi="Times New Roman" w:cs="仿宋_GB2312" w:hint="eastAsia"/>
          <w:snapToGrid/>
          <w:sz w:val="32"/>
          <w:szCs w:val="32"/>
          <w:lang w:val="zh-CN" w:eastAsia="zh-CN"/>
        </w:rPr>
        <w:t>40</w:t>
      </w:r>
      <w:r>
        <w:rPr>
          <w:rFonts w:ascii="Times New Roman" w:eastAsia="仿宋_GB2312" w:hAnsi="Times New Roman" w:cs="仿宋_GB2312" w:hint="eastAsia"/>
          <w:snapToGrid/>
          <w:sz w:val="32"/>
          <w:szCs w:val="32"/>
          <w:lang w:val="zh-CN" w:eastAsia="zh-CN"/>
        </w:rPr>
        <w:t>批次，实际完成市级食品抽检任务</w:t>
      </w:r>
      <w:r>
        <w:rPr>
          <w:rFonts w:ascii="Times New Roman" w:eastAsia="仿宋_GB2312" w:hAnsi="Times New Roman" w:cs="仿宋_GB2312" w:hint="eastAsia"/>
          <w:snapToGrid/>
          <w:sz w:val="32"/>
          <w:szCs w:val="32"/>
          <w:lang w:val="zh-CN" w:eastAsia="zh-CN"/>
        </w:rPr>
        <w:t>436</w:t>
      </w:r>
      <w:r>
        <w:rPr>
          <w:rFonts w:ascii="Times New Roman" w:eastAsia="仿宋_GB2312" w:hAnsi="Times New Roman" w:cs="仿宋_GB2312" w:hint="eastAsia"/>
          <w:snapToGrid/>
          <w:sz w:val="32"/>
          <w:szCs w:val="32"/>
          <w:lang w:val="zh-CN" w:eastAsia="zh-CN"/>
        </w:rPr>
        <w:t>批次。不合格报告处置率</w:t>
      </w:r>
      <w:r>
        <w:rPr>
          <w:rFonts w:ascii="Times New Roman" w:eastAsia="仿宋_GB2312" w:hAnsi="Times New Roman" w:cs="仿宋_GB2312" w:hint="eastAsia"/>
          <w:snapToGrid/>
          <w:sz w:val="32"/>
          <w:szCs w:val="32"/>
          <w:lang w:val="zh-CN" w:eastAsia="zh-CN"/>
        </w:rPr>
        <w:t>100%</w:t>
      </w:r>
      <w:r>
        <w:rPr>
          <w:rFonts w:ascii="Times New Roman" w:eastAsia="仿宋_GB2312" w:hAnsi="Times New Roman" w:cs="仿宋_GB2312" w:hint="eastAsia"/>
          <w:snapToGrid/>
          <w:sz w:val="32"/>
          <w:szCs w:val="32"/>
          <w:lang w:val="zh-CN" w:eastAsia="zh-CN"/>
        </w:rPr>
        <w:t>，年度报告书差错率≤</w:t>
      </w: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，随机抽查</w:t>
      </w: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留样复检报告书差错率≤</w:t>
      </w: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，食品抽检应公布信息公布率</w:t>
      </w:r>
      <w:r>
        <w:rPr>
          <w:rFonts w:ascii="Times New Roman" w:eastAsia="仿宋_GB2312" w:hAnsi="Times New Roman" w:cs="仿宋_GB2312" w:hint="eastAsia"/>
          <w:snapToGrid/>
          <w:sz w:val="32"/>
          <w:szCs w:val="32"/>
          <w:lang w:val="zh-CN" w:eastAsia="zh-CN"/>
        </w:rPr>
        <w:t>100%</w:t>
      </w:r>
      <w:r>
        <w:rPr>
          <w:rFonts w:ascii="Times New Roman" w:eastAsia="仿宋_GB2312" w:hAnsi="Times New Roman" w:cs="仿宋_GB2312" w:hint="eastAsia"/>
          <w:snapToGrid/>
          <w:sz w:val="32"/>
          <w:szCs w:val="32"/>
          <w:lang w:val="zh-CN" w:eastAsia="zh-CN"/>
        </w:rPr>
        <w:t>。</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（二）项目效益情况。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发生重大及以上食品药品产商品安全事故数</w:t>
      </w:r>
      <w:r>
        <w:rPr>
          <w:rFonts w:ascii="Times New Roman" w:eastAsia="仿宋_GB2312" w:hAnsi="Times New Roman" w:cs="仿宋_GB2312" w:hint="eastAsia"/>
          <w:snapToGrid/>
          <w:sz w:val="32"/>
          <w:szCs w:val="32"/>
          <w:lang w:val="zh-CN" w:eastAsia="zh-CN"/>
        </w:rPr>
        <w:t>0</w:t>
      </w:r>
      <w:r>
        <w:rPr>
          <w:rFonts w:ascii="Times New Roman" w:eastAsia="仿宋_GB2312" w:hAnsi="Times New Roman" w:cs="仿宋_GB2312" w:hint="eastAsia"/>
          <w:snapToGrid/>
          <w:sz w:val="32"/>
          <w:szCs w:val="32"/>
          <w:lang w:val="zh-CN" w:eastAsia="zh-CN"/>
        </w:rPr>
        <w:t>次，通过监督抽查、风险监测、证后监管等保障人民生命财产健康安全，严守食品安全、工业产品安全、特种设备安全底线，公平竞争</w:t>
      </w:r>
      <w:r>
        <w:rPr>
          <w:rFonts w:ascii="Times New Roman" w:eastAsia="仿宋_GB2312" w:hAnsi="Times New Roman" w:cs="仿宋_GB2312" w:hint="eastAsia"/>
          <w:snapToGrid/>
          <w:sz w:val="32"/>
          <w:szCs w:val="32"/>
          <w:lang w:val="zh-CN" w:eastAsia="zh-CN"/>
        </w:rPr>
        <w:lastRenderedPageBreak/>
        <w:t>的市场秩序稳中向好。</w:t>
      </w:r>
    </w:p>
    <w:p w:rsidR="004B0FC1" w:rsidRDefault="00A976D9">
      <w:pPr>
        <w:widowControl w:val="0"/>
        <w:kinsoku/>
        <w:autoSpaceDE/>
        <w:autoSpaceDN/>
        <w:adjustRightInd/>
        <w:snapToGrid/>
        <w:spacing w:line="578" w:lineRule="exact"/>
        <w:ind w:firstLine="640"/>
        <w:jc w:val="both"/>
        <w:textAlignment w:val="auto"/>
        <w:rPr>
          <w:rFonts w:ascii="黑体" w:eastAsia="黑体" w:hAnsi="黑体" w:cs="黑体"/>
          <w:snapToGrid/>
          <w:sz w:val="32"/>
          <w:szCs w:val="32"/>
          <w:lang w:eastAsia="zh-CN"/>
        </w:rPr>
      </w:pPr>
      <w:r>
        <w:rPr>
          <w:rFonts w:ascii="黑体" w:eastAsia="黑体" w:hAnsi="黑体" w:cs="黑体" w:hint="eastAsia"/>
          <w:snapToGrid/>
          <w:sz w:val="32"/>
          <w:szCs w:val="32"/>
          <w:lang w:eastAsia="zh-CN"/>
        </w:rPr>
        <w:t>五、评价结论及建议</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（一）评价结论。</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项目总体自评得分</w:t>
      </w:r>
      <w:r>
        <w:rPr>
          <w:rFonts w:ascii="Times New Roman" w:eastAsia="仿宋_GB2312" w:hAnsi="Times New Roman" w:cs="仿宋_GB2312" w:hint="eastAsia"/>
          <w:snapToGrid/>
          <w:sz w:val="32"/>
          <w:szCs w:val="32"/>
          <w:lang w:val="zh-CN" w:eastAsia="zh-CN"/>
        </w:rPr>
        <w:t>99.4</w:t>
      </w:r>
      <w:r>
        <w:rPr>
          <w:rFonts w:ascii="Times New Roman" w:eastAsia="仿宋_GB2312" w:hAnsi="Times New Roman" w:cs="仿宋_GB2312" w:hint="eastAsia"/>
          <w:snapToGrid/>
          <w:sz w:val="32"/>
          <w:szCs w:val="32"/>
          <w:lang w:val="zh-CN" w:eastAsia="zh-CN"/>
        </w:rPr>
        <w:t>分。</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（二）存在的问题。</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无。</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（三）相关建议。</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sectPr w:rsidR="004B0FC1">
          <w:pgSz w:w="11906" w:h="16838"/>
          <w:pgMar w:top="2098" w:right="1474" w:bottom="1984" w:left="1587" w:header="907" w:footer="1644" w:gutter="0"/>
          <w:cols w:space="0"/>
          <w:docGrid w:type="linesAndChars" w:linePitch="579" w:charSpace="-842"/>
        </w:sectPr>
      </w:pPr>
      <w:r>
        <w:rPr>
          <w:rFonts w:ascii="Times New Roman" w:eastAsia="仿宋_GB2312" w:hAnsi="Times New Roman" w:cs="仿宋_GB2312" w:hint="eastAsia"/>
          <w:snapToGrid/>
          <w:sz w:val="32"/>
          <w:szCs w:val="32"/>
          <w:lang w:val="zh-CN" w:eastAsia="zh-CN"/>
        </w:rPr>
        <w:t>建议增加</w:t>
      </w:r>
      <w:r>
        <w:rPr>
          <w:rFonts w:ascii="Times New Roman" w:eastAsia="仿宋_GB2312" w:hAnsi="Times New Roman" w:cs="仿宋_GB2312" w:hint="eastAsia"/>
          <w:snapToGrid/>
          <w:sz w:val="32"/>
          <w:szCs w:val="32"/>
          <w:lang w:val="zh-CN" w:eastAsia="zh-CN"/>
        </w:rPr>
        <w:t>2026</w:t>
      </w:r>
      <w:r>
        <w:rPr>
          <w:rFonts w:ascii="Times New Roman" w:eastAsia="仿宋_GB2312" w:hAnsi="Times New Roman" w:cs="仿宋_GB2312" w:hint="eastAsia"/>
          <w:snapToGrid/>
          <w:sz w:val="32"/>
          <w:szCs w:val="32"/>
          <w:lang w:val="zh-CN" w:eastAsia="zh-CN"/>
        </w:rPr>
        <w:t>年市级产品质量监督抽查经费，拓宽抽查产品品种范围，增加抽查产品数量，以达到省局产品质量监督抽查工作要求（各市州抽查数量达到每万人</w:t>
      </w: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批次）。</w:t>
      </w:r>
    </w:p>
    <w:p w:rsidR="004B0FC1" w:rsidRDefault="00A976D9">
      <w:pPr>
        <w:pStyle w:val="a5"/>
        <w:spacing w:before="93"/>
        <w:rPr>
          <w:rFonts w:ascii="Times New Roman" w:eastAsia="黑体" w:cs="黑体"/>
          <w:sz w:val="32"/>
          <w:szCs w:val="32"/>
          <w:shd w:val="clear" w:color="auto" w:fill="FFFFFF"/>
          <w:lang w:eastAsia="zh-CN"/>
        </w:rPr>
      </w:pPr>
      <w:r>
        <w:rPr>
          <w:rFonts w:ascii="Times New Roman" w:eastAsia="黑体" w:cs="黑体" w:hint="eastAsia"/>
          <w:sz w:val="32"/>
          <w:szCs w:val="32"/>
          <w:shd w:val="clear" w:color="auto" w:fill="FFFFFF"/>
          <w:lang w:val="zh-CN" w:eastAsia="zh-CN"/>
        </w:rPr>
        <w:lastRenderedPageBreak/>
        <w:t>附件</w:t>
      </w:r>
      <w:r>
        <w:rPr>
          <w:rFonts w:ascii="Times New Roman" w:eastAsia="黑体" w:cs="黑体" w:hint="eastAsia"/>
          <w:sz w:val="32"/>
          <w:szCs w:val="32"/>
          <w:shd w:val="clear" w:color="auto" w:fill="FFFFFF"/>
          <w:lang w:eastAsia="zh-CN"/>
        </w:rPr>
        <w:t>2-7</w:t>
      </w:r>
    </w:p>
    <w:p w:rsidR="004B0FC1" w:rsidRDefault="004B0FC1">
      <w:pPr>
        <w:pStyle w:val="a5"/>
        <w:spacing w:before="93"/>
        <w:rPr>
          <w:rFonts w:ascii="Times New Roman" w:eastAsia="黑体" w:cs="黑体"/>
          <w:sz w:val="32"/>
          <w:szCs w:val="32"/>
          <w:shd w:val="clear" w:color="auto" w:fill="FFFFFF"/>
          <w:lang w:eastAsia="zh-CN"/>
        </w:rPr>
      </w:pPr>
    </w:p>
    <w:p w:rsidR="004B0FC1" w:rsidRDefault="004B0FC1">
      <w:pPr>
        <w:pStyle w:val="a5"/>
        <w:spacing w:before="93"/>
        <w:rPr>
          <w:rFonts w:ascii="Times New Roman" w:eastAsia="黑体" w:cs="黑体"/>
          <w:sz w:val="32"/>
          <w:szCs w:val="32"/>
          <w:shd w:val="clear" w:color="auto" w:fill="FFFFFF"/>
          <w:lang w:eastAsia="zh-CN"/>
        </w:rPr>
      </w:pPr>
    </w:p>
    <w:p w:rsidR="004B0FC1" w:rsidRDefault="00A976D9">
      <w:pPr>
        <w:pStyle w:val="ab"/>
        <w:spacing w:line="600" w:lineRule="exact"/>
        <w:jc w:val="center"/>
        <w:rPr>
          <w:rFonts w:ascii="Times New Roman" w:eastAsia="方正小标宋简体" w:hAnsi="Times New Roman" w:cs="Times New Roman"/>
          <w:snapToGrid/>
          <w:kern w:val="2"/>
          <w:sz w:val="40"/>
          <w:szCs w:val="40"/>
        </w:rPr>
      </w:pPr>
      <w:r>
        <w:rPr>
          <w:rFonts w:ascii="Times New Roman" w:eastAsia="方正小标宋简体" w:hAnsi="Times New Roman" w:cs="Times New Roman"/>
          <w:snapToGrid/>
          <w:kern w:val="2"/>
          <w:sz w:val="40"/>
          <w:szCs w:val="40"/>
        </w:rPr>
        <w:t>攀枝花市市场监督管理</w:t>
      </w:r>
    </w:p>
    <w:p w:rsidR="004B0FC1" w:rsidRDefault="00A976D9">
      <w:pPr>
        <w:pStyle w:val="ab"/>
        <w:spacing w:line="600" w:lineRule="exact"/>
        <w:jc w:val="center"/>
        <w:rPr>
          <w:rFonts w:ascii="Times New Roman" w:eastAsia="方正小标宋简体" w:hAnsi="Times New Roman" w:cs="Times New Roman"/>
          <w:snapToGrid/>
          <w:kern w:val="2"/>
          <w:sz w:val="40"/>
          <w:szCs w:val="40"/>
        </w:rPr>
      </w:pPr>
      <w:r>
        <w:rPr>
          <w:rFonts w:ascii="Times New Roman" w:eastAsia="方正小标宋简体" w:hAnsi="Times New Roman" w:cs="Times New Roman"/>
          <w:snapToGrid/>
          <w:kern w:val="2"/>
          <w:sz w:val="40"/>
          <w:szCs w:val="40"/>
          <w:lang w:val="en-US"/>
        </w:rPr>
        <w:t>2025</w:t>
      </w:r>
      <w:r>
        <w:rPr>
          <w:rFonts w:ascii="Times New Roman" w:eastAsia="方正小标宋简体" w:hAnsi="Times New Roman" w:cs="Times New Roman"/>
          <w:snapToGrid/>
          <w:kern w:val="2"/>
          <w:sz w:val="40"/>
          <w:szCs w:val="40"/>
          <w:lang w:val="en-US"/>
        </w:rPr>
        <w:t>年</w:t>
      </w:r>
      <w:r>
        <w:rPr>
          <w:rFonts w:ascii="Times New Roman" w:eastAsia="方正小标宋简体" w:hAnsi="Times New Roman" w:cs="Times New Roman"/>
          <w:snapToGrid/>
          <w:kern w:val="2"/>
          <w:sz w:val="40"/>
          <w:szCs w:val="40"/>
        </w:rPr>
        <w:t>市场监管综合业务专项预算项目支出</w:t>
      </w:r>
    </w:p>
    <w:p w:rsidR="004B0FC1" w:rsidRDefault="00A976D9">
      <w:pPr>
        <w:pStyle w:val="ab"/>
        <w:spacing w:line="600" w:lineRule="exact"/>
        <w:jc w:val="center"/>
        <w:rPr>
          <w:rFonts w:ascii="Times New Roman" w:eastAsia="方正小标宋简体" w:hAnsi="Times New Roman" w:cs="Times New Roman"/>
          <w:snapToGrid/>
          <w:kern w:val="2"/>
          <w:sz w:val="40"/>
          <w:szCs w:val="40"/>
        </w:rPr>
      </w:pPr>
      <w:r>
        <w:rPr>
          <w:rFonts w:ascii="Times New Roman" w:eastAsia="方正小标宋简体" w:hAnsi="Times New Roman" w:cs="Times New Roman"/>
          <w:snapToGrid/>
          <w:kern w:val="2"/>
          <w:sz w:val="40"/>
          <w:szCs w:val="40"/>
        </w:rPr>
        <w:t>绩效自评报告</w:t>
      </w:r>
    </w:p>
    <w:p w:rsidR="004B0FC1" w:rsidRDefault="004B0FC1">
      <w:pPr>
        <w:pStyle w:val="ab"/>
        <w:spacing w:line="600" w:lineRule="exact"/>
        <w:jc w:val="center"/>
        <w:rPr>
          <w:rFonts w:ascii="Times New Roman" w:eastAsia="方正小标宋简体" w:hAnsi="Times New Roman" w:cs="Times New Roman"/>
          <w:snapToGrid/>
          <w:kern w:val="2"/>
          <w:sz w:val="40"/>
          <w:szCs w:val="40"/>
        </w:rPr>
      </w:pPr>
    </w:p>
    <w:p w:rsidR="004B0FC1" w:rsidRDefault="00A976D9">
      <w:pPr>
        <w:widowControl w:val="0"/>
        <w:kinsoku/>
        <w:autoSpaceDE/>
        <w:autoSpaceDN/>
        <w:adjustRightInd/>
        <w:snapToGrid/>
        <w:spacing w:line="578" w:lineRule="exact"/>
        <w:ind w:firstLine="640"/>
        <w:jc w:val="both"/>
        <w:textAlignment w:val="auto"/>
        <w:rPr>
          <w:rFonts w:ascii="黑体" w:eastAsia="黑体" w:hAnsi="黑体" w:cs="黑体"/>
          <w:snapToGrid/>
          <w:sz w:val="32"/>
          <w:szCs w:val="32"/>
          <w:lang w:val="zh-CN" w:eastAsia="zh-CN"/>
        </w:rPr>
      </w:pPr>
      <w:r>
        <w:rPr>
          <w:rFonts w:ascii="黑体" w:eastAsia="黑体" w:hAnsi="黑体" w:cs="黑体" w:hint="eastAsia"/>
          <w:snapToGrid/>
          <w:sz w:val="32"/>
          <w:szCs w:val="32"/>
          <w:lang w:eastAsia="zh-CN"/>
        </w:rPr>
        <w:t>一、</w:t>
      </w:r>
      <w:r>
        <w:rPr>
          <w:rFonts w:ascii="黑体" w:eastAsia="黑体" w:hAnsi="黑体" w:cs="黑体" w:hint="eastAsia"/>
          <w:snapToGrid/>
          <w:sz w:val="32"/>
          <w:szCs w:val="32"/>
          <w:lang w:val="zh-CN" w:eastAsia="zh-CN"/>
        </w:rPr>
        <w:t>项目概况</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（一）项目基本情况。</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1.</w:t>
      </w:r>
      <w:r>
        <w:rPr>
          <w:rFonts w:ascii="Times New Roman" w:eastAsia="仿宋_GB2312" w:hAnsi="Times New Roman" w:cs="Times New Roman"/>
          <w:snapToGrid/>
          <w:kern w:val="2"/>
          <w:sz w:val="32"/>
          <w:szCs w:val="32"/>
          <w:lang w:val="zh-CN" w:eastAsia="zh-CN"/>
        </w:rPr>
        <w:t>依据《中华人民共和国食品安全法》第八十七条</w:t>
      </w:r>
      <w:r>
        <w:rPr>
          <w:rFonts w:ascii="Times New Roman" w:eastAsia="仿宋_GB2312" w:hAnsi="Times New Roman" w:cs="Times New Roman"/>
          <w:snapToGrid/>
          <w:kern w:val="2"/>
          <w:sz w:val="32"/>
          <w:szCs w:val="32"/>
          <w:lang w:val="zh-CN" w:eastAsia="zh-CN"/>
        </w:rPr>
        <w:t>“</w:t>
      </w:r>
      <w:r>
        <w:rPr>
          <w:rFonts w:ascii="Times New Roman" w:eastAsia="仿宋_GB2312" w:hAnsi="Times New Roman" w:cs="Times New Roman"/>
          <w:snapToGrid/>
          <w:kern w:val="2"/>
          <w:sz w:val="32"/>
          <w:szCs w:val="32"/>
          <w:lang w:val="zh-CN" w:eastAsia="zh-CN"/>
        </w:rPr>
        <w:t>县级以上人民政府食品安全监督管理部门应当对食品进行定期或者不定期的抽样检验，并依据有关规定公布检验结果，不得免检。</w:t>
      </w:r>
      <w:r>
        <w:rPr>
          <w:rFonts w:ascii="Times New Roman" w:eastAsia="仿宋_GB2312" w:hAnsi="Times New Roman" w:cs="Times New Roman"/>
          <w:snapToGrid/>
          <w:kern w:val="2"/>
          <w:sz w:val="32"/>
          <w:szCs w:val="32"/>
          <w:lang w:val="zh-CN" w:eastAsia="zh-CN"/>
        </w:rPr>
        <w:t>”</w:t>
      </w:r>
      <w:r>
        <w:rPr>
          <w:rFonts w:ascii="Times New Roman" w:eastAsia="仿宋_GB2312" w:hAnsi="Times New Roman" w:cs="Times New Roman"/>
          <w:snapToGrid/>
          <w:kern w:val="2"/>
          <w:sz w:val="32"/>
          <w:szCs w:val="32"/>
          <w:lang w:val="zh-CN" w:eastAsia="zh-CN"/>
        </w:rPr>
        <w:t>规定，市市场监管局作为食品安全监督管理部门，应按照《中华人民共和国食品安全法》和《攀枝花市市场监督管理局职能配置、内设机构和人员编制规定》（攀委办〔</w:t>
      </w:r>
      <w:r>
        <w:rPr>
          <w:rFonts w:ascii="Times New Roman" w:eastAsia="仿宋_GB2312" w:hAnsi="Times New Roman" w:cs="Times New Roman"/>
          <w:snapToGrid/>
          <w:kern w:val="2"/>
          <w:sz w:val="32"/>
          <w:szCs w:val="32"/>
          <w:lang w:val="zh-CN" w:eastAsia="zh-CN"/>
        </w:rPr>
        <w:t>2019</w:t>
      </w:r>
      <w:r>
        <w:rPr>
          <w:rFonts w:ascii="Times New Roman" w:eastAsia="仿宋_GB2312" w:hAnsi="Times New Roman" w:cs="Times New Roman"/>
          <w:snapToGrid/>
          <w:kern w:val="2"/>
          <w:sz w:val="32"/>
          <w:szCs w:val="32"/>
          <w:lang w:val="zh-CN" w:eastAsia="zh-CN"/>
        </w:rPr>
        <w:t>〕</w:t>
      </w:r>
      <w:r>
        <w:rPr>
          <w:rFonts w:ascii="Times New Roman" w:eastAsia="仿宋_GB2312" w:hAnsi="Times New Roman" w:cs="Times New Roman"/>
          <w:snapToGrid/>
          <w:kern w:val="2"/>
          <w:sz w:val="32"/>
          <w:szCs w:val="32"/>
          <w:lang w:val="zh-CN" w:eastAsia="zh-CN"/>
        </w:rPr>
        <w:t>39</w:t>
      </w:r>
      <w:r>
        <w:rPr>
          <w:rFonts w:ascii="Times New Roman" w:eastAsia="仿宋_GB2312" w:hAnsi="Times New Roman" w:cs="Times New Roman"/>
          <w:snapToGrid/>
          <w:kern w:val="2"/>
          <w:sz w:val="32"/>
          <w:szCs w:val="32"/>
          <w:lang w:val="zh-CN" w:eastAsia="zh-CN"/>
        </w:rPr>
        <w:t>号）规定履行食品抽样检验职能。</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2.</w:t>
      </w:r>
      <w:r>
        <w:rPr>
          <w:rFonts w:ascii="Times New Roman" w:eastAsia="仿宋_GB2312" w:hAnsi="Times New Roman" w:cs="Times New Roman"/>
          <w:snapToGrid/>
          <w:kern w:val="2"/>
          <w:sz w:val="32"/>
          <w:szCs w:val="32"/>
          <w:lang w:val="zh-CN" w:eastAsia="zh-CN"/>
        </w:rPr>
        <w:t>依据《四川省市场监督管理局办公室关于印发</w:t>
      </w:r>
      <w:r>
        <w:rPr>
          <w:rFonts w:ascii="Times New Roman" w:eastAsia="仿宋_GB2312" w:hAnsi="Times New Roman" w:cs="Times New Roman"/>
          <w:snapToGrid/>
          <w:kern w:val="2"/>
          <w:sz w:val="32"/>
          <w:szCs w:val="32"/>
          <w:lang w:val="zh-CN" w:eastAsia="zh-CN"/>
        </w:rPr>
        <w:t>2025</w:t>
      </w:r>
      <w:r>
        <w:rPr>
          <w:rFonts w:ascii="Times New Roman" w:eastAsia="仿宋_GB2312" w:hAnsi="Times New Roman" w:cs="Times New Roman"/>
          <w:snapToGrid/>
          <w:kern w:val="2"/>
          <w:sz w:val="32"/>
          <w:szCs w:val="32"/>
          <w:lang w:val="zh-CN" w:eastAsia="zh-CN"/>
        </w:rPr>
        <w:t>年全省市场监管系统食品安全抽检监测计划的通知》（川市监管办函〔</w:t>
      </w:r>
      <w:r>
        <w:rPr>
          <w:rFonts w:ascii="Times New Roman" w:eastAsia="仿宋_GB2312" w:hAnsi="Times New Roman" w:cs="Times New Roman"/>
          <w:snapToGrid/>
          <w:kern w:val="2"/>
          <w:sz w:val="32"/>
          <w:szCs w:val="32"/>
          <w:lang w:val="zh-CN" w:eastAsia="zh-CN"/>
        </w:rPr>
        <w:t>2025</w:t>
      </w:r>
      <w:r>
        <w:rPr>
          <w:rFonts w:ascii="Times New Roman" w:eastAsia="仿宋_GB2312" w:hAnsi="Times New Roman" w:cs="Times New Roman"/>
          <w:snapToGrid/>
          <w:kern w:val="2"/>
          <w:sz w:val="32"/>
          <w:szCs w:val="32"/>
          <w:lang w:val="zh-CN" w:eastAsia="zh-CN"/>
        </w:rPr>
        <w:t>〕</w:t>
      </w:r>
      <w:r>
        <w:rPr>
          <w:rFonts w:ascii="Times New Roman" w:eastAsia="仿宋_GB2312" w:hAnsi="Times New Roman" w:cs="Times New Roman"/>
          <w:snapToGrid/>
          <w:kern w:val="2"/>
          <w:sz w:val="32"/>
          <w:szCs w:val="32"/>
          <w:lang w:val="zh-CN" w:eastAsia="zh-CN"/>
        </w:rPr>
        <w:t>5</w:t>
      </w:r>
      <w:r>
        <w:rPr>
          <w:rFonts w:ascii="Times New Roman" w:eastAsia="仿宋_GB2312" w:hAnsi="Times New Roman" w:cs="Times New Roman"/>
          <w:snapToGrid/>
          <w:kern w:val="2"/>
          <w:sz w:val="32"/>
          <w:szCs w:val="32"/>
          <w:lang w:val="zh-CN" w:eastAsia="zh-CN"/>
        </w:rPr>
        <w:t>号），下达攀枝花市</w:t>
      </w:r>
      <w:r>
        <w:rPr>
          <w:rFonts w:ascii="Times New Roman" w:eastAsia="仿宋_GB2312" w:hAnsi="Times New Roman" w:cs="Times New Roman"/>
          <w:snapToGrid/>
          <w:kern w:val="2"/>
          <w:sz w:val="32"/>
          <w:szCs w:val="32"/>
          <w:lang w:val="zh-CN" w:eastAsia="zh-CN"/>
        </w:rPr>
        <w:t>2025</w:t>
      </w:r>
      <w:r>
        <w:rPr>
          <w:rFonts w:ascii="Times New Roman" w:eastAsia="仿宋_GB2312" w:hAnsi="Times New Roman" w:cs="Times New Roman"/>
          <w:snapToGrid/>
          <w:kern w:val="2"/>
          <w:sz w:val="32"/>
          <w:szCs w:val="32"/>
          <w:lang w:val="zh-CN" w:eastAsia="zh-CN"/>
        </w:rPr>
        <w:t>年食品抽检任务</w:t>
      </w:r>
      <w:r>
        <w:rPr>
          <w:rFonts w:ascii="Times New Roman" w:eastAsia="仿宋_GB2312" w:hAnsi="Times New Roman" w:cs="Times New Roman"/>
          <w:snapToGrid/>
          <w:kern w:val="2"/>
          <w:sz w:val="32"/>
          <w:szCs w:val="32"/>
          <w:lang w:val="zh-CN" w:eastAsia="zh-CN"/>
        </w:rPr>
        <w:t>3150</w:t>
      </w:r>
      <w:r>
        <w:rPr>
          <w:rFonts w:ascii="Times New Roman" w:eastAsia="仿宋_GB2312" w:hAnsi="Times New Roman" w:cs="Times New Roman"/>
          <w:snapToGrid/>
          <w:kern w:val="2"/>
          <w:sz w:val="32"/>
          <w:szCs w:val="32"/>
          <w:lang w:val="zh-CN" w:eastAsia="zh-CN"/>
        </w:rPr>
        <w:t>批次。</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w:t>
      </w:r>
      <w:r>
        <w:rPr>
          <w:rFonts w:ascii="Times New Roman" w:eastAsia="仿宋_GB2312" w:hAnsi="Times New Roman" w:cs="Times New Roman"/>
          <w:snapToGrid/>
          <w:kern w:val="2"/>
          <w:sz w:val="32"/>
          <w:szCs w:val="32"/>
          <w:lang w:val="zh-CN" w:eastAsia="zh-CN"/>
        </w:rPr>
        <w:t>1</w:t>
      </w:r>
      <w:r>
        <w:rPr>
          <w:rFonts w:ascii="Times New Roman" w:eastAsia="仿宋_GB2312" w:hAnsi="Times New Roman" w:cs="Times New Roman"/>
          <w:snapToGrid/>
          <w:kern w:val="2"/>
          <w:sz w:val="32"/>
          <w:szCs w:val="32"/>
          <w:lang w:val="zh-CN" w:eastAsia="zh-CN"/>
        </w:rPr>
        <w:t>）市市场监管局制定《</w:t>
      </w:r>
      <w:r>
        <w:rPr>
          <w:rFonts w:ascii="Times New Roman" w:eastAsia="仿宋_GB2312" w:hAnsi="Times New Roman" w:cs="Times New Roman"/>
          <w:snapToGrid/>
          <w:kern w:val="2"/>
          <w:sz w:val="32"/>
          <w:szCs w:val="32"/>
          <w:lang w:val="zh-CN" w:eastAsia="zh-CN"/>
        </w:rPr>
        <w:t>2025</w:t>
      </w:r>
      <w:r>
        <w:rPr>
          <w:rFonts w:ascii="Times New Roman" w:eastAsia="仿宋_GB2312" w:hAnsi="Times New Roman" w:cs="Times New Roman"/>
          <w:snapToGrid/>
          <w:kern w:val="2"/>
          <w:sz w:val="32"/>
          <w:szCs w:val="32"/>
          <w:lang w:val="zh-CN" w:eastAsia="zh-CN"/>
        </w:rPr>
        <w:t>年攀枝花市市场监管系统食品安全抽检监测计划》（攀市监发〔</w:t>
      </w:r>
      <w:r>
        <w:rPr>
          <w:rFonts w:ascii="Times New Roman" w:eastAsia="仿宋_GB2312" w:hAnsi="Times New Roman" w:cs="Times New Roman"/>
          <w:snapToGrid/>
          <w:kern w:val="2"/>
          <w:sz w:val="32"/>
          <w:szCs w:val="32"/>
          <w:lang w:val="zh-CN" w:eastAsia="zh-CN"/>
        </w:rPr>
        <w:t>2025</w:t>
      </w:r>
      <w:r>
        <w:rPr>
          <w:rFonts w:ascii="Times New Roman" w:eastAsia="仿宋_GB2312" w:hAnsi="Times New Roman" w:cs="Times New Roman"/>
          <w:snapToGrid/>
          <w:kern w:val="2"/>
          <w:sz w:val="32"/>
          <w:szCs w:val="32"/>
          <w:lang w:val="zh-CN" w:eastAsia="zh-CN"/>
        </w:rPr>
        <w:t>〕</w:t>
      </w:r>
      <w:r>
        <w:rPr>
          <w:rFonts w:ascii="Times New Roman" w:eastAsia="仿宋_GB2312" w:hAnsi="Times New Roman" w:cs="Times New Roman"/>
          <w:snapToGrid/>
          <w:kern w:val="2"/>
          <w:sz w:val="32"/>
          <w:szCs w:val="32"/>
          <w:lang w:val="zh-CN" w:eastAsia="zh-CN"/>
        </w:rPr>
        <w:t>10</w:t>
      </w:r>
      <w:r>
        <w:rPr>
          <w:rFonts w:ascii="Times New Roman" w:eastAsia="仿宋_GB2312" w:hAnsi="Times New Roman" w:cs="Times New Roman"/>
          <w:snapToGrid/>
          <w:kern w:val="2"/>
          <w:sz w:val="32"/>
          <w:szCs w:val="32"/>
          <w:lang w:val="zh-CN" w:eastAsia="zh-CN"/>
        </w:rPr>
        <w:t>号），市级承担</w:t>
      </w:r>
      <w:r>
        <w:rPr>
          <w:rFonts w:ascii="Times New Roman" w:eastAsia="仿宋_GB2312" w:hAnsi="Times New Roman" w:cs="Times New Roman"/>
          <w:snapToGrid/>
          <w:kern w:val="2"/>
          <w:sz w:val="32"/>
          <w:szCs w:val="32"/>
          <w:lang w:val="zh-CN" w:eastAsia="zh-CN"/>
        </w:rPr>
        <w:lastRenderedPageBreak/>
        <w:t>1450</w:t>
      </w:r>
      <w:r>
        <w:rPr>
          <w:rFonts w:ascii="Times New Roman" w:eastAsia="仿宋_GB2312" w:hAnsi="Times New Roman" w:cs="Times New Roman"/>
          <w:snapToGrid/>
          <w:kern w:val="2"/>
          <w:sz w:val="32"/>
          <w:szCs w:val="32"/>
          <w:lang w:val="zh-CN" w:eastAsia="zh-CN"/>
        </w:rPr>
        <w:t>批次食品抽检任务，县（区）承担</w:t>
      </w:r>
      <w:r>
        <w:rPr>
          <w:rFonts w:ascii="Times New Roman" w:eastAsia="仿宋_GB2312" w:hAnsi="Times New Roman" w:cs="Times New Roman"/>
          <w:snapToGrid/>
          <w:kern w:val="2"/>
          <w:sz w:val="32"/>
          <w:szCs w:val="32"/>
          <w:lang w:val="zh-CN" w:eastAsia="zh-CN"/>
        </w:rPr>
        <w:t>1700</w:t>
      </w:r>
      <w:r>
        <w:rPr>
          <w:rFonts w:ascii="Times New Roman" w:eastAsia="仿宋_GB2312" w:hAnsi="Times New Roman" w:cs="Times New Roman"/>
          <w:snapToGrid/>
          <w:kern w:val="2"/>
          <w:sz w:val="32"/>
          <w:szCs w:val="32"/>
          <w:lang w:val="zh-CN" w:eastAsia="zh-CN"/>
        </w:rPr>
        <w:t>批次食品抽检任务。</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w:t>
      </w:r>
      <w:r>
        <w:rPr>
          <w:rFonts w:ascii="Times New Roman" w:eastAsia="仿宋_GB2312" w:hAnsi="Times New Roman" w:cs="Times New Roman"/>
          <w:snapToGrid/>
          <w:kern w:val="2"/>
          <w:sz w:val="32"/>
          <w:szCs w:val="32"/>
          <w:lang w:val="zh-CN" w:eastAsia="zh-CN"/>
        </w:rPr>
        <w:t>2</w:t>
      </w:r>
      <w:r>
        <w:rPr>
          <w:rFonts w:ascii="Times New Roman" w:eastAsia="仿宋_GB2312" w:hAnsi="Times New Roman" w:cs="Times New Roman"/>
          <w:snapToGrid/>
          <w:kern w:val="2"/>
          <w:sz w:val="32"/>
          <w:szCs w:val="32"/>
          <w:lang w:val="zh-CN" w:eastAsia="zh-CN"/>
        </w:rPr>
        <w:t>）通过政府采购和自行采购委托具备资质的食品检验机构承担</w:t>
      </w:r>
      <w:r>
        <w:rPr>
          <w:rFonts w:ascii="Times New Roman" w:eastAsia="仿宋_GB2312" w:hAnsi="Times New Roman" w:cs="Times New Roman"/>
          <w:snapToGrid/>
          <w:kern w:val="2"/>
          <w:sz w:val="32"/>
          <w:szCs w:val="32"/>
          <w:lang w:val="zh-CN" w:eastAsia="zh-CN"/>
        </w:rPr>
        <w:t>760</w:t>
      </w:r>
      <w:r>
        <w:rPr>
          <w:rFonts w:ascii="Times New Roman" w:eastAsia="仿宋_GB2312" w:hAnsi="Times New Roman" w:cs="Times New Roman"/>
          <w:snapToGrid/>
          <w:kern w:val="2"/>
          <w:sz w:val="32"/>
          <w:szCs w:val="32"/>
          <w:lang w:val="zh-CN" w:eastAsia="zh-CN"/>
        </w:rPr>
        <w:t>批次任务抽样检验。</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3.</w:t>
      </w:r>
      <w:r>
        <w:rPr>
          <w:rFonts w:ascii="Times New Roman" w:eastAsia="仿宋_GB2312" w:hAnsi="Times New Roman" w:cs="Times New Roman"/>
          <w:snapToGrid/>
          <w:kern w:val="2"/>
          <w:sz w:val="32"/>
          <w:szCs w:val="32"/>
          <w:lang w:val="zh-CN" w:eastAsia="zh-CN"/>
        </w:rPr>
        <w:t>攀枝花市市场监管局严格按照相关资金管理规定和绩效目标要求，规范管理和使用专项资金。资金投入有效保障了全市食品安全监管工作的顺利开展，各项核心监管任务基本完成，区域食品安全形势总体稳定向好。资金使用效益总体良好，基本达到了预期绩效目标。</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4.</w:t>
      </w:r>
      <w:r>
        <w:rPr>
          <w:rFonts w:ascii="Times New Roman" w:eastAsia="仿宋_GB2312" w:hAnsi="Times New Roman" w:cs="Times New Roman"/>
          <w:snapToGrid/>
          <w:kern w:val="2"/>
          <w:sz w:val="32"/>
          <w:szCs w:val="32"/>
          <w:lang w:val="zh-CN" w:eastAsia="zh-CN"/>
        </w:rPr>
        <w:t>经费分配坚持公平公正、突出重点、绩效导向、专款专用的原则，综合考虑抽检任务批次、食品风险等级、检验成本等因素，科学合理分配资金，切实保障抽检工作全覆盖、高效率、高质量开展。</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（二）项目绩效目标。</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1.</w:t>
      </w:r>
      <w:r>
        <w:rPr>
          <w:rFonts w:ascii="Times New Roman" w:eastAsia="仿宋_GB2312" w:hAnsi="Times New Roman" w:cs="Times New Roman"/>
          <w:snapToGrid/>
          <w:kern w:val="2"/>
          <w:sz w:val="32"/>
          <w:szCs w:val="32"/>
          <w:lang w:val="zh-CN" w:eastAsia="zh-CN"/>
        </w:rPr>
        <w:t>项目主要内容。</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紧紧围绕人民群众关心关切，聚焦重点品种、重点领域、重点时段和重点业态，对在产食品生产企业全覆盖抽检，常态</w:t>
      </w:r>
      <w:proofErr w:type="gramStart"/>
      <w:r>
        <w:rPr>
          <w:rFonts w:ascii="Times New Roman" w:eastAsia="仿宋_GB2312" w:hAnsi="Times New Roman" w:cs="Times New Roman"/>
          <w:snapToGrid/>
          <w:kern w:val="2"/>
          <w:sz w:val="32"/>
          <w:szCs w:val="32"/>
          <w:lang w:val="zh-CN" w:eastAsia="zh-CN"/>
        </w:rPr>
        <w:t>化开展</w:t>
      </w:r>
      <w:proofErr w:type="gramEnd"/>
      <w:r>
        <w:rPr>
          <w:rFonts w:ascii="Times New Roman" w:eastAsia="仿宋_GB2312" w:hAnsi="Times New Roman" w:cs="Times New Roman"/>
          <w:snapToGrid/>
          <w:kern w:val="2"/>
          <w:sz w:val="32"/>
          <w:szCs w:val="32"/>
          <w:lang w:val="zh-CN" w:eastAsia="zh-CN"/>
        </w:rPr>
        <w:t>食品安全</w:t>
      </w:r>
      <w:r>
        <w:rPr>
          <w:rFonts w:ascii="Times New Roman" w:eastAsia="仿宋_GB2312" w:hAnsi="Times New Roman" w:cs="Times New Roman"/>
          <w:snapToGrid/>
          <w:kern w:val="2"/>
          <w:sz w:val="32"/>
          <w:szCs w:val="32"/>
          <w:lang w:val="zh-CN" w:eastAsia="zh-CN"/>
        </w:rPr>
        <w:t>“</w:t>
      </w:r>
      <w:r>
        <w:rPr>
          <w:rFonts w:ascii="Times New Roman" w:eastAsia="仿宋_GB2312" w:hAnsi="Times New Roman" w:cs="Times New Roman"/>
          <w:snapToGrid/>
          <w:kern w:val="2"/>
          <w:sz w:val="32"/>
          <w:szCs w:val="32"/>
          <w:lang w:val="zh-CN" w:eastAsia="zh-CN"/>
        </w:rPr>
        <w:t>你点我检</w:t>
      </w:r>
      <w:r>
        <w:rPr>
          <w:rFonts w:ascii="Times New Roman" w:eastAsia="仿宋_GB2312" w:hAnsi="Times New Roman" w:cs="Times New Roman"/>
          <w:snapToGrid/>
          <w:kern w:val="2"/>
          <w:sz w:val="32"/>
          <w:szCs w:val="32"/>
          <w:lang w:val="zh-CN" w:eastAsia="zh-CN"/>
        </w:rPr>
        <w:t>”</w:t>
      </w:r>
      <w:r>
        <w:rPr>
          <w:rFonts w:ascii="Times New Roman" w:eastAsia="仿宋_GB2312" w:hAnsi="Times New Roman" w:cs="Times New Roman"/>
          <w:snapToGrid/>
          <w:kern w:val="2"/>
          <w:sz w:val="32"/>
          <w:szCs w:val="32"/>
          <w:lang w:val="zh-CN" w:eastAsia="zh-CN"/>
        </w:rPr>
        <w:t>活动。深入排查食品安全风险隐患，不断提高食品安全风险防控能力。</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2.</w:t>
      </w:r>
      <w:r>
        <w:rPr>
          <w:rFonts w:ascii="Times New Roman" w:eastAsia="仿宋_GB2312" w:hAnsi="Times New Roman" w:cs="Times New Roman"/>
          <w:snapToGrid/>
          <w:kern w:val="2"/>
          <w:sz w:val="32"/>
          <w:szCs w:val="32"/>
          <w:lang w:val="zh-CN" w:eastAsia="zh-CN"/>
        </w:rPr>
        <w:t>通过政府采购和自行采购委托具备资质的食品检验机构承担</w:t>
      </w:r>
      <w:r>
        <w:rPr>
          <w:rFonts w:ascii="Times New Roman" w:eastAsia="仿宋_GB2312" w:hAnsi="Times New Roman" w:cs="Times New Roman"/>
          <w:snapToGrid/>
          <w:kern w:val="2"/>
          <w:sz w:val="32"/>
          <w:szCs w:val="32"/>
          <w:lang w:val="zh-CN" w:eastAsia="zh-CN"/>
        </w:rPr>
        <w:t>760</w:t>
      </w:r>
      <w:r>
        <w:rPr>
          <w:rFonts w:ascii="Times New Roman" w:eastAsia="仿宋_GB2312" w:hAnsi="Times New Roman" w:cs="Times New Roman"/>
          <w:snapToGrid/>
          <w:kern w:val="2"/>
          <w:sz w:val="32"/>
          <w:szCs w:val="32"/>
          <w:lang w:val="zh-CN" w:eastAsia="zh-CN"/>
        </w:rPr>
        <w:t>批次任务抽样检验。</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完成目标：完成食品监督抽检</w:t>
      </w:r>
      <w:r>
        <w:rPr>
          <w:rFonts w:ascii="Times New Roman" w:eastAsia="仿宋_GB2312" w:hAnsi="Times New Roman" w:cs="Times New Roman"/>
          <w:snapToGrid/>
          <w:kern w:val="2"/>
          <w:sz w:val="32"/>
          <w:szCs w:val="32"/>
          <w:lang w:val="zh-CN" w:eastAsia="zh-CN"/>
        </w:rPr>
        <w:t>430</w:t>
      </w:r>
      <w:r>
        <w:rPr>
          <w:rFonts w:ascii="Times New Roman" w:eastAsia="仿宋_GB2312" w:hAnsi="Times New Roman" w:cs="Times New Roman"/>
          <w:snapToGrid/>
          <w:kern w:val="2"/>
          <w:sz w:val="32"/>
          <w:szCs w:val="32"/>
          <w:lang w:val="zh-CN" w:eastAsia="zh-CN"/>
        </w:rPr>
        <w:t>批次；抽检不合格食品</w:t>
      </w:r>
      <w:r>
        <w:rPr>
          <w:rFonts w:ascii="Times New Roman" w:eastAsia="仿宋_GB2312" w:hAnsi="Times New Roman" w:cs="Times New Roman"/>
          <w:snapToGrid/>
          <w:kern w:val="2"/>
          <w:sz w:val="32"/>
          <w:szCs w:val="32"/>
          <w:lang w:val="zh-CN" w:eastAsia="zh-CN"/>
        </w:rPr>
        <w:lastRenderedPageBreak/>
        <w:t>核查处置率</w:t>
      </w:r>
      <w:r>
        <w:rPr>
          <w:rFonts w:ascii="Times New Roman" w:eastAsia="仿宋_GB2312" w:hAnsi="Times New Roman" w:cs="Times New Roman"/>
          <w:snapToGrid/>
          <w:kern w:val="2"/>
          <w:sz w:val="32"/>
          <w:szCs w:val="32"/>
          <w:lang w:val="zh-CN" w:eastAsia="zh-CN"/>
        </w:rPr>
        <w:t>100%</w:t>
      </w:r>
      <w:r>
        <w:rPr>
          <w:rFonts w:ascii="Times New Roman" w:eastAsia="仿宋_GB2312" w:hAnsi="Times New Roman" w:cs="Times New Roman"/>
          <w:snapToGrid/>
          <w:kern w:val="2"/>
          <w:sz w:val="32"/>
          <w:szCs w:val="32"/>
          <w:lang w:val="zh-CN" w:eastAsia="zh-CN"/>
        </w:rPr>
        <w:t>；食品抽检应公布信息公布率</w:t>
      </w:r>
      <w:r>
        <w:rPr>
          <w:rFonts w:ascii="Times New Roman" w:eastAsia="仿宋_GB2312" w:hAnsi="Times New Roman" w:cs="Times New Roman"/>
          <w:snapToGrid/>
          <w:kern w:val="2"/>
          <w:sz w:val="32"/>
          <w:szCs w:val="32"/>
          <w:lang w:val="zh-CN" w:eastAsia="zh-CN"/>
        </w:rPr>
        <w:t>100%</w:t>
      </w:r>
      <w:r>
        <w:rPr>
          <w:rFonts w:ascii="Times New Roman" w:eastAsia="仿宋_GB2312" w:hAnsi="Times New Roman" w:cs="Times New Roman"/>
          <w:snapToGrid/>
          <w:kern w:val="2"/>
          <w:sz w:val="32"/>
          <w:szCs w:val="32"/>
          <w:lang w:val="zh-CN" w:eastAsia="zh-CN"/>
        </w:rPr>
        <w:t>。</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3.</w:t>
      </w:r>
      <w:r>
        <w:rPr>
          <w:rFonts w:ascii="Times New Roman" w:eastAsia="仿宋_GB2312" w:hAnsi="Times New Roman" w:cs="Times New Roman"/>
          <w:snapToGrid/>
          <w:kern w:val="2"/>
          <w:sz w:val="32"/>
          <w:szCs w:val="32"/>
          <w:lang w:val="zh-CN" w:eastAsia="zh-CN"/>
        </w:rPr>
        <w:t>项目申报内容与实际情况基本相符，申报依据充分、基础数据真实可靠；项目申报目标设定科学合理，与年度重点任务及绩效要求相匹配，目标明确、量化可行，具备相应的资金支撑，整体可操作性强，能够按计划组织实施并如期实现。</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（三）项目自评步骤及方法。</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1.</w:t>
      </w:r>
      <w:r>
        <w:rPr>
          <w:rFonts w:ascii="Times New Roman" w:eastAsia="仿宋_GB2312" w:hAnsi="Times New Roman" w:cs="Times New Roman"/>
          <w:snapToGrid/>
          <w:kern w:val="2"/>
          <w:sz w:val="32"/>
          <w:szCs w:val="32"/>
          <w:lang w:val="zh-CN" w:eastAsia="zh-CN"/>
        </w:rPr>
        <w:t>前期准备工作。以分管绩效评价的领导为组长，财务部门和相关业务部门等有关人员组成评价小组，制定评价实施方案。</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2.</w:t>
      </w:r>
      <w:r>
        <w:rPr>
          <w:rFonts w:ascii="Times New Roman" w:eastAsia="仿宋_GB2312" w:hAnsi="Times New Roman" w:cs="Times New Roman"/>
          <w:snapToGrid/>
          <w:kern w:val="2"/>
          <w:sz w:val="32"/>
          <w:szCs w:val="32"/>
          <w:lang w:val="zh-CN" w:eastAsia="zh-CN"/>
        </w:rPr>
        <w:t>资料收集与审核。根据评价工作要求，到项目现场采取勘查、问询、复核抽查等多种方式收集基础资料，包括项目实施基本情况、财政资金使用情况、项目相关业务数据、项目运行状况。</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3.</w:t>
      </w:r>
      <w:r>
        <w:rPr>
          <w:rFonts w:ascii="Times New Roman" w:eastAsia="仿宋_GB2312" w:hAnsi="Times New Roman" w:cs="Times New Roman"/>
          <w:snapToGrid/>
          <w:kern w:val="2"/>
          <w:sz w:val="32"/>
          <w:szCs w:val="32"/>
          <w:lang w:val="zh-CN" w:eastAsia="zh-CN"/>
        </w:rPr>
        <w:t>开展评价。评价人员到项目现场采取听取汇报、查看账册、收集资料、现场勘察、座谈、询查、复核、抽查、测试、回访等方式，对有关情况进行核实，对所掌握的有关资料进行分类、整理和分析，提出评价意见。</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4.</w:t>
      </w:r>
      <w:r>
        <w:rPr>
          <w:rFonts w:ascii="Times New Roman" w:eastAsia="仿宋_GB2312" w:hAnsi="Times New Roman" w:cs="Times New Roman"/>
          <w:snapToGrid/>
          <w:kern w:val="2"/>
          <w:sz w:val="32"/>
          <w:szCs w:val="32"/>
          <w:lang w:val="zh-CN" w:eastAsia="zh-CN"/>
        </w:rPr>
        <w:t>评价结论。根据评价资料，形成评价结论，撰写评价报告。</w:t>
      </w:r>
    </w:p>
    <w:p w:rsidR="004B0FC1" w:rsidRDefault="00A976D9">
      <w:pPr>
        <w:widowControl w:val="0"/>
        <w:kinsoku/>
        <w:autoSpaceDE/>
        <w:autoSpaceDN/>
        <w:adjustRightInd/>
        <w:snapToGrid/>
        <w:spacing w:line="578" w:lineRule="exact"/>
        <w:ind w:firstLine="640"/>
        <w:jc w:val="both"/>
        <w:textAlignment w:val="auto"/>
        <w:rPr>
          <w:rFonts w:ascii="黑体" w:eastAsia="黑体" w:hAnsi="黑体" w:cs="黑体"/>
          <w:snapToGrid/>
          <w:sz w:val="32"/>
          <w:szCs w:val="32"/>
          <w:lang w:eastAsia="zh-CN"/>
        </w:rPr>
      </w:pPr>
      <w:r>
        <w:rPr>
          <w:rFonts w:ascii="黑体" w:eastAsia="黑体" w:hAnsi="黑体" w:cs="黑体" w:hint="eastAsia"/>
          <w:snapToGrid/>
          <w:sz w:val="32"/>
          <w:szCs w:val="32"/>
          <w:lang w:eastAsia="zh-CN"/>
        </w:rPr>
        <w:t>二、项目资金申报及使用情况</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（一）项目资金申报及批复情况。</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攀枝花市财政局通过（攀财资行〔</w:t>
      </w:r>
      <w:r>
        <w:rPr>
          <w:rFonts w:ascii="Times New Roman" w:eastAsia="仿宋_GB2312" w:hAnsi="Times New Roman" w:cs="Times New Roman"/>
          <w:snapToGrid/>
          <w:kern w:val="2"/>
          <w:sz w:val="32"/>
          <w:szCs w:val="32"/>
          <w:lang w:val="zh-CN" w:eastAsia="zh-CN"/>
        </w:rPr>
        <w:t>2025</w:t>
      </w:r>
      <w:r>
        <w:rPr>
          <w:rFonts w:ascii="Times New Roman" w:eastAsia="仿宋_GB2312" w:hAnsi="Times New Roman" w:cs="Times New Roman"/>
          <w:snapToGrid/>
          <w:kern w:val="2"/>
          <w:sz w:val="32"/>
          <w:szCs w:val="32"/>
          <w:lang w:val="zh-CN" w:eastAsia="zh-CN"/>
        </w:rPr>
        <w:t>〕</w:t>
      </w:r>
      <w:r>
        <w:rPr>
          <w:rFonts w:ascii="Times New Roman" w:eastAsia="仿宋_GB2312" w:hAnsi="Times New Roman" w:cs="Times New Roman"/>
          <w:snapToGrid/>
          <w:kern w:val="2"/>
          <w:sz w:val="32"/>
          <w:szCs w:val="32"/>
          <w:lang w:val="zh-CN" w:eastAsia="zh-CN"/>
        </w:rPr>
        <w:t>40</w:t>
      </w:r>
      <w:r>
        <w:rPr>
          <w:rFonts w:ascii="Times New Roman" w:eastAsia="仿宋_GB2312" w:hAnsi="Times New Roman" w:cs="Times New Roman"/>
          <w:snapToGrid/>
          <w:kern w:val="2"/>
          <w:sz w:val="32"/>
          <w:szCs w:val="32"/>
          <w:lang w:val="zh-CN" w:eastAsia="zh-CN"/>
        </w:rPr>
        <w:t>号）、攀财资行</w:t>
      </w:r>
      <w:r>
        <w:rPr>
          <w:rFonts w:ascii="Times New Roman" w:eastAsia="仿宋_GB2312" w:hAnsi="Times New Roman" w:cs="Times New Roman"/>
          <w:snapToGrid/>
          <w:kern w:val="2"/>
          <w:sz w:val="32"/>
          <w:szCs w:val="32"/>
          <w:lang w:val="zh-CN" w:eastAsia="zh-CN"/>
        </w:rPr>
        <w:lastRenderedPageBreak/>
        <w:t>〔</w:t>
      </w:r>
      <w:r>
        <w:rPr>
          <w:rFonts w:ascii="Times New Roman" w:eastAsia="仿宋_GB2312" w:hAnsi="Times New Roman" w:cs="Times New Roman"/>
          <w:snapToGrid/>
          <w:kern w:val="2"/>
          <w:sz w:val="32"/>
          <w:szCs w:val="32"/>
          <w:lang w:val="zh-CN" w:eastAsia="zh-CN"/>
        </w:rPr>
        <w:t>2025</w:t>
      </w:r>
      <w:r>
        <w:rPr>
          <w:rFonts w:ascii="Times New Roman" w:eastAsia="仿宋_GB2312" w:hAnsi="Times New Roman" w:cs="Times New Roman"/>
          <w:snapToGrid/>
          <w:kern w:val="2"/>
          <w:sz w:val="32"/>
          <w:szCs w:val="32"/>
          <w:lang w:val="zh-CN" w:eastAsia="zh-CN"/>
        </w:rPr>
        <w:t>〕</w:t>
      </w:r>
      <w:r>
        <w:rPr>
          <w:rFonts w:ascii="Times New Roman" w:eastAsia="仿宋_GB2312" w:hAnsi="Times New Roman" w:cs="Times New Roman"/>
          <w:snapToGrid/>
          <w:kern w:val="2"/>
          <w:sz w:val="32"/>
          <w:szCs w:val="32"/>
          <w:lang w:val="zh-CN" w:eastAsia="zh-CN"/>
        </w:rPr>
        <w:t>81</w:t>
      </w:r>
      <w:r>
        <w:rPr>
          <w:rFonts w:ascii="Times New Roman" w:eastAsia="仿宋_GB2312" w:hAnsi="Times New Roman" w:cs="Times New Roman"/>
          <w:snapToGrid/>
          <w:kern w:val="2"/>
          <w:sz w:val="32"/>
          <w:szCs w:val="32"/>
          <w:lang w:val="zh-CN" w:eastAsia="zh-CN"/>
        </w:rPr>
        <w:t>号</w:t>
      </w:r>
      <w:proofErr w:type="gramStart"/>
      <w:r>
        <w:rPr>
          <w:rFonts w:ascii="Times New Roman" w:eastAsia="仿宋_GB2312" w:hAnsi="Times New Roman" w:cs="Times New Roman"/>
          <w:snapToGrid/>
          <w:kern w:val="2"/>
          <w:sz w:val="32"/>
          <w:szCs w:val="32"/>
          <w:lang w:val="zh-CN" w:eastAsia="zh-CN"/>
        </w:rPr>
        <w:t>下达市</w:t>
      </w:r>
      <w:proofErr w:type="gramEnd"/>
      <w:r>
        <w:rPr>
          <w:rFonts w:ascii="Times New Roman" w:eastAsia="仿宋_GB2312" w:hAnsi="Times New Roman" w:cs="Times New Roman"/>
          <w:snapToGrid/>
          <w:kern w:val="2"/>
          <w:sz w:val="32"/>
          <w:szCs w:val="32"/>
          <w:lang w:val="zh-CN" w:eastAsia="zh-CN"/>
        </w:rPr>
        <w:t>市场监管局专项资金</w:t>
      </w:r>
      <w:r>
        <w:rPr>
          <w:rFonts w:ascii="Times New Roman" w:eastAsia="仿宋_GB2312" w:hAnsi="Times New Roman" w:cs="Times New Roman"/>
          <w:snapToGrid/>
          <w:kern w:val="2"/>
          <w:sz w:val="32"/>
          <w:szCs w:val="32"/>
          <w:lang w:val="zh-CN" w:eastAsia="zh-CN"/>
        </w:rPr>
        <w:t>38.87</w:t>
      </w:r>
      <w:r>
        <w:rPr>
          <w:rFonts w:ascii="Times New Roman" w:eastAsia="仿宋_GB2312" w:hAnsi="Times New Roman" w:cs="Times New Roman"/>
          <w:snapToGrid/>
          <w:kern w:val="2"/>
          <w:sz w:val="32"/>
          <w:szCs w:val="32"/>
          <w:lang w:val="zh-CN" w:eastAsia="zh-CN"/>
        </w:rPr>
        <w:t>万元。</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（二）资金计划、到位及使用情况。</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1</w:t>
      </w:r>
      <w:r>
        <w:rPr>
          <w:rFonts w:ascii="Times New Roman" w:eastAsia="仿宋_GB2312" w:hAnsi="Times New Roman" w:cs="Times New Roman" w:hint="eastAsia"/>
          <w:snapToGrid/>
          <w:kern w:val="2"/>
          <w:sz w:val="32"/>
          <w:szCs w:val="32"/>
          <w:lang w:eastAsia="zh-CN"/>
        </w:rPr>
        <w:t>.</w:t>
      </w:r>
      <w:r>
        <w:rPr>
          <w:rFonts w:ascii="Times New Roman" w:eastAsia="仿宋_GB2312" w:hAnsi="Times New Roman" w:cs="Times New Roman"/>
          <w:snapToGrid/>
          <w:kern w:val="2"/>
          <w:sz w:val="32"/>
          <w:szCs w:val="32"/>
          <w:lang w:val="zh-CN" w:eastAsia="zh-CN"/>
        </w:rPr>
        <w:t>资金计划。</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该项目预算财政资金</w:t>
      </w:r>
      <w:r>
        <w:rPr>
          <w:rFonts w:ascii="Times New Roman" w:eastAsia="仿宋_GB2312" w:hAnsi="Times New Roman" w:cs="Times New Roman"/>
          <w:snapToGrid/>
          <w:kern w:val="2"/>
          <w:sz w:val="32"/>
          <w:szCs w:val="32"/>
          <w:lang w:val="zh-CN" w:eastAsia="zh-CN"/>
        </w:rPr>
        <w:t>38.87</w:t>
      </w:r>
      <w:r>
        <w:rPr>
          <w:rFonts w:ascii="Times New Roman" w:eastAsia="仿宋_GB2312" w:hAnsi="Times New Roman" w:cs="Times New Roman"/>
          <w:snapToGrid/>
          <w:kern w:val="2"/>
          <w:sz w:val="32"/>
          <w:szCs w:val="32"/>
          <w:lang w:val="zh-CN" w:eastAsia="zh-CN"/>
        </w:rPr>
        <w:t>万元。</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eastAsia="zh-CN"/>
        </w:rPr>
        <w:t>2.</w:t>
      </w:r>
      <w:r>
        <w:rPr>
          <w:rFonts w:ascii="Times New Roman" w:eastAsia="仿宋_GB2312" w:hAnsi="Times New Roman" w:cs="Times New Roman"/>
          <w:snapToGrid/>
          <w:kern w:val="2"/>
          <w:sz w:val="32"/>
          <w:szCs w:val="32"/>
          <w:lang w:val="zh-CN" w:eastAsia="zh-CN"/>
        </w:rPr>
        <w:t>资金到位。</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市级财政到位资金</w:t>
      </w:r>
      <w:r>
        <w:rPr>
          <w:rFonts w:ascii="Times New Roman" w:eastAsia="仿宋_GB2312" w:hAnsi="Times New Roman" w:cs="Times New Roman"/>
          <w:snapToGrid/>
          <w:kern w:val="2"/>
          <w:sz w:val="32"/>
          <w:szCs w:val="32"/>
          <w:lang w:val="zh-CN" w:eastAsia="zh-CN"/>
        </w:rPr>
        <w:t>38.87</w:t>
      </w:r>
      <w:r>
        <w:rPr>
          <w:rFonts w:ascii="Times New Roman" w:eastAsia="仿宋_GB2312" w:hAnsi="Times New Roman" w:cs="Times New Roman"/>
          <w:snapToGrid/>
          <w:kern w:val="2"/>
          <w:sz w:val="32"/>
          <w:szCs w:val="32"/>
          <w:lang w:val="zh-CN" w:eastAsia="zh-CN"/>
        </w:rPr>
        <w:t>万元，到位资金比率</w:t>
      </w:r>
      <w:r>
        <w:rPr>
          <w:rFonts w:ascii="Times New Roman" w:eastAsia="仿宋_GB2312" w:hAnsi="Times New Roman" w:cs="Times New Roman"/>
          <w:snapToGrid/>
          <w:kern w:val="2"/>
          <w:sz w:val="32"/>
          <w:szCs w:val="32"/>
          <w:lang w:val="zh-CN" w:eastAsia="zh-CN"/>
        </w:rPr>
        <w:t>100%</w:t>
      </w:r>
      <w:r>
        <w:rPr>
          <w:rFonts w:ascii="Times New Roman" w:eastAsia="仿宋_GB2312" w:hAnsi="Times New Roman" w:cs="Times New Roman"/>
          <w:snapToGrid/>
          <w:kern w:val="2"/>
          <w:sz w:val="32"/>
          <w:szCs w:val="32"/>
          <w:lang w:val="zh-CN" w:eastAsia="zh-CN"/>
        </w:rPr>
        <w:t>。</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eastAsia="zh-CN"/>
        </w:rPr>
        <w:t>3.</w:t>
      </w:r>
      <w:r>
        <w:rPr>
          <w:rFonts w:ascii="Times New Roman" w:eastAsia="仿宋_GB2312" w:hAnsi="Times New Roman" w:cs="Times New Roman"/>
          <w:snapToGrid/>
          <w:kern w:val="2"/>
          <w:sz w:val="32"/>
          <w:szCs w:val="32"/>
          <w:lang w:val="zh-CN" w:eastAsia="zh-CN"/>
        </w:rPr>
        <w:t>资金使用。</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本年度资金使用</w:t>
      </w:r>
      <w:r>
        <w:rPr>
          <w:rFonts w:ascii="Times New Roman" w:eastAsia="仿宋_GB2312" w:hAnsi="Times New Roman" w:cs="Times New Roman"/>
          <w:snapToGrid/>
          <w:kern w:val="2"/>
          <w:sz w:val="32"/>
          <w:szCs w:val="32"/>
          <w:lang w:val="zh-CN" w:eastAsia="zh-CN"/>
        </w:rPr>
        <w:t>29.09</w:t>
      </w:r>
      <w:r>
        <w:rPr>
          <w:rFonts w:ascii="Times New Roman" w:eastAsia="仿宋_GB2312" w:hAnsi="Times New Roman" w:cs="Times New Roman"/>
          <w:snapToGrid/>
          <w:kern w:val="2"/>
          <w:sz w:val="32"/>
          <w:szCs w:val="32"/>
          <w:lang w:val="zh-CN" w:eastAsia="zh-CN"/>
        </w:rPr>
        <w:t>万元，执行率</w:t>
      </w:r>
      <w:r>
        <w:rPr>
          <w:rFonts w:ascii="Times New Roman" w:eastAsia="仿宋_GB2312" w:hAnsi="Times New Roman" w:cs="Times New Roman"/>
          <w:snapToGrid/>
          <w:kern w:val="2"/>
          <w:sz w:val="32"/>
          <w:szCs w:val="32"/>
          <w:lang w:val="zh-CN" w:eastAsia="zh-CN"/>
        </w:rPr>
        <w:t>74.8%</w:t>
      </w:r>
      <w:r>
        <w:rPr>
          <w:rFonts w:ascii="Times New Roman" w:eastAsia="仿宋_GB2312" w:hAnsi="Times New Roman" w:cs="Times New Roman"/>
          <w:snapToGrid/>
          <w:kern w:val="2"/>
          <w:sz w:val="32"/>
          <w:szCs w:val="32"/>
          <w:lang w:val="zh-CN" w:eastAsia="zh-CN"/>
        </w:rPr>
        <w:t>，剩余指标财政收回。</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（三）项目财务管理情况。</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项目实施过程中，认真执行国家财经法律法规，建立健全《攀枝花市市场监督管理局机关财务管理制度》《攀枝花市市场监督管理局内控手册》《攀枝花市市场监督管理局政府采购内部控制制度》等财务管理制度，强化制度的执行力度。加强会计核算，专款专用。按项目名称、资金性质等相关信息进行专款专账核算，完整反映资金来源渠道、支出方向，账务处理及时，会计核算规范。政府采购项目合法合</w:t>
      </w:r>
      <w:proofErr w:type="gramStart"/>
      <w:r>
        <w:rPr>
          <w:rFonts w:ascii="Times New Roman" w:eastAsia="仿宋_GB2312" w:hAnsi="Times New Roman" w:cs="Times New Roman"/>
          <w:snapToGrid/>
          <w:kern w:val="2"/>
          <w:sz w:val="32"/>
          <w:szCs w:val="32"/>
          <w:lang w:val="zh-CN" w:eastAsia="zh-CN"/>
        </w:rPr>
        <w:t>规</w:t>
      </w:r>
      <w:proofErr w:type="gramEnd"/>
      <w:r>
        <w:rPr>
          <w:rFonts w:ascii="Times New Roman" w:eastAsia="仿宋_GB2312" w:hAnsi="Times New Roman" w:cs="Times New Roman"/>
          <w:snapToGrid/>
          <w:kern w:val="2"/>
          <w:sz w:val="32"/>
          <w:szCs w:val="32"/>
          <w:lang w:val="zh-CN" w:eastAsia="zh-CN"/>
        </w:rPr>
        <w:t>。</w:t>
      </w:r>
    </w:p>
    <w:p w:rsidR="004B0FC1" w:rsidRDefault="00A976D9">
      <w:pPr>
        <w:widowControl w:val="0"/>
        <w:kinsoku/>
        <w:autoSpaceDE/>
        <w:autoSpaceDN/>
        <w:adjustRightInd/>
        <w:snapToGrid/>
        <w:spacing w:line="578" w:lineRule="exact"/>
        <w:ind w:firstLine="640"/>
        <w:jc w:val="both"/>
        <w:textAlignment w:val="auto"/>
        <w:rPr>
          <w:rFonts w:ascii="黑体" w:eastAsia="黑体" w:hAnsi="黑体" w:cs="黑体"/>
          <w:snapToGrid/>
          <w:sz w:val="32"/>
          <w:szCs w:val="32"/>
          <w:lang w:eastAsia="zh-CN"/>
        </w:rPr>
      </w:pPr>
      <w:r>
        <w:rPr>
          <w:rFonts w:ascii="黑体" w:eastAsia="黑体" w:hAnsi="黑体" w:cs="黑体" w:hint="eastAsia"/>
          <w:snapToGrid/>
          <w:sz w:val="32"/>
          <w:szCs w:val="32"/>
          <w:lang w:eastAsia="zh-CN"/>
        </w:rPr>
        <w:t>三、项目实施及管理情况</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hint="eastAsia"/>
          <w:b/>
          <w:snapToGrid/>
          <w:kern w:val="2"/>
          <w:sz w:val="32"/>
          <w:szCs w:val="32"/>
          <w:lang w:val="zh-CN" w:eastAsia="zh-CN"/>
        </w:rPr>
        <w:t>（一）</w:t>
      </w:r>
      <w:r>
        <w:rPr>
          <w:rFonts w:ascii="Times New Roman" w:eastAsia="楷体_GB2312" w:hAnsi="Times New Roman" w:cs="Times New Roman"/>
          <w:b/>
          <w:snapToGrid/>
          <w:kern w:val="2"/>
          <w:sz w:val="32"/>
          <w:szCs w:val="32"/>
          <w:lang w:val="zh-CN" w:eastAsia="zh-CN"/>
        </w:rPr>
        <w:t>项目组织架构及实施流程。</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项目成立了由分管负责人牵头、相关科室分工负责的组织管理机构，明确职责分工、协同机制和责任主体，确保统筹有力、</w:t>
      </w:r>
      <w:r>
        <w:rPr>
          <w:rFonts w:ascii="Times New Roman" w:eastAsia="仿宋_GB2312" w:hAnsi="Times New Roman" w:cs="Times New Roman"/>
          <w:snapToGrid/>
          <w:kern w:val="2"/>
          <w:sz w:val="32"/>
          <w:szCs w:val="32"/>
          <w:lang w:val="zh-CN" w:eastAsia="zh-CN"/>
        </w:rPr>
        <w:lastRenderedPageBreak/>
        <w:t>运转高效。实施流程规范清晰，严格按照申报审批、方案制定、任务下达、组织实施、过程管控、质量控制、资料归档、总结验收等环节有序推进，全过程管理规范、衔接顺畅、保障到位。</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（二）项目管理情况。</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项目严格执行国家法律法规及各项管理制度，建立健全项目管理机制，在招投标、政府采购、资金使用、项目公示等方面均按规定规范执行，做到程序合法、流程透明、资料完备、管控到位，确保项目实施规范有序、安全高效。</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（三）项目监管情况。</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项目主管部门通过日常监督、专项检查、现场核查、资料审核及绩效跟踪等方式强化全过程监管，严格落实监管程序与工作要求，及时发现并督促整改存在问题，有效保障项目规范实施、资金安全使用，监管工作落实到位、成效明显。</w:t>
      </w:r>
    </w:p>
    <w:p w:rsidR="004B0FC1" w:rsidRDefault="00A976D9">
      <w:pPr>
        <w:widowControl w:val="0"/>
        <w:kinsoku/>
        <w:autoSpaceDE/>
        <w:autoSpaceDN/>
        <w:adjustRightInd/>
        <w:snapToGrid/>
        <w:spacing w:line="578" w:lineRule="exact"/>
        <w:ind w:firstLine="640"/>
        <w:jc w:val="both"/>
        <w:textAlignment w:val="auto"/>
        <w:rPr>
          <w:rFonts w:ascii="黑体" w:eastAsia="黑体" w:hAnsi="黑体" w:cs="黑体"/>
          <w:snapToGrid/>
          <w:sz w:val="32"/>
          <w:szCs w:val="32"/>
          <w:lang w:val="zh-CN" w:eastAsia="zh-CN"/>
        </w:rPr>
      </w:pPr>
      <w:r>
        <w:rPr>
          <w:rFonts w:ascii="黑体" w:eastAsia="黑体" w:hAnsi="黑体" w:cs="黑体" w:hint="eastAsia"/>
          <w:snapToGrid/>
          <w:sz w:val="32"/>
          <w:szCs w:val="32"/>
          <w:lang w:eastAsia="zh-CN"/>
        </w:rPr>
        <w:t>四、项目绩效情况</w:t>
      </w:r>
      <w:r>
        <w:rPr>
          <w:rFonts w:ascii="黑体" w:eastAsia="黑体" w:hAnsi="黑体" w:cs="黑体" w:hint="eastAsia"/>
          <w:snapToGrid/>
          <w:sz w:val="32"/>
          <w:szCs w:val="32"/>
          <w:lang w:val="zh-CN" w:eastAsia="zh-CN"/>
        </w:rPr>
        <w:tab/>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（一）项目完成情况。</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通过政府采购和自行采购委托具备资质的</w:t>
      </w:r>
      <w:r>
        <w:rPr>
          <w:rFonts w:ascii="Times New Roman" w:eastAsia="仿宋_GB2312" w:hAnsi="Times New Roman" w:cs="Times New Roman"/>
          <w:snapToGrid/>
          <w:kern w:val="2"/>
          <w:sz w:val="32"/>
          <w:szCs w:val="32"/>
          <w:lang w:val="zh-CN" w:eastAsia="zh-CN"/>
        </w:rPr>
        <w:t>2</w:t>
      </w:r>
      <w:r>
        <w:rPr>
          <w:rFonts w:ascii="Times New Roman" w:eastAsia="仿宋_GB2312" w:hAnsi="Times New Roman" w:cs="Times New Roman"/>
          <w:snapToGrid/>
          <w:kern w:val="2"/>
          <w:sz w:val="32"/>
          <w:szCs w:val="32"/>
          <w:lang w:val="zh-CN" w:eastAsia="zh-CN"/>
        </w:rPr>
        <w:t>家食品检验机构完成食品抽检</w:t>
      </w:r>
      <w:r>
        <w:rPr>
          <w:rFonts w:ascii="Times New Roman" w:eastAsia="仿宋_GB2312" w:hAnsi="Times New Roman" w:cs="Times New Roman"/>
          <w:snapToGrid/>
          <w:kern w:val="2"/>
          <w:sz w:val="32"/>
          <w:szCs w:val="32"/>
          <w:lang w:val="zh-CN" w:eastAsia="zh-CN"/>
        </w:rPr>
        <w:t>430</w:t>
      </w:r>
      <w:r>
        <w:rPr>
          <w:rFonts w:ascii="Times New Roman" w:eastAsia="仿宋_GB2312" w:hAnsi="Times New Roman" w:cs="Times New Roman"/>
          <w:snapToGrid/>
          <w:kern w:val="2"/>
          <w:sz w:val="32"/>
          <w:szCs w:val="32"/>
          <w:lang w:val="zh-CN" w:eastAsia="zh-CN"/>
        </w:rPr>
        <w:t>批次，因检测机构尚未出具全部检测报告，尾</w:t>
      </w:r>
      <w:proofErr w:type="gramStart"/>
      <w:r>
        <w:rPr>
          <w:rFonts w:ascii="Times New Roman" w:eastAsia="仿宋_GB2312" w:hAnsi="Times New Roman" w:cs="Times New Roman"/>
          <w:snapToGrid/>
          <w:kern w:val="2"/>
          <w:sz w:val="32"/>
          <w:szCs w:val="32"/>
          <w:lang w:val="zh-CN" w:eastAsia="zh-CN"/>
        </w:rPr>
        <w:t>款尚未</w:t>
      </w:r>
      <w:proofErr w:type="gramEnd"/>
      <w:r>
        <w:rPr>
          <w:rFonts w:ascii="Times New Roman" w:eastAsia="仿宋_GB2312" w:hAnsi="Times New Roman" w:cs="Times New Roman"/>
          <w:snapToGrid/>
          <w:kern w:val="2"/>
          <w:sz w:val="32"/>
          <w:szCs w:val="32"/>
          <w:lang w:val="zh-CN" w:eastAsia="zh-CN"/>
        </w:rPr>
        <w:t>支付。</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（二）项目效益情况。</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辖区内公众食品安全科普知识素养逐步提高，辖区内重大食品安全监管责任事故发生数</w:t>
      </w:r>
      <w:r>
        <w:rPr>
          <w:rFonts w:ascii="Times New Roman" w:eastAsia="仿宋_GB2312" w:hAnsi="Times New Roman" w:cs="Times New Roman"/>
          <w:snapToGrid/>
          <w:kern w:val="2"/>
          <w:sz w:val="32"/>
          <w:szCs w:val="32"/>
          <w:lang w:val="zh-CN" w:eastAsia="zh-CN"/>
        </w:rPr>
        <w:t>0</w:t>
      </w:r>
      <w:r>
        <w:rPr>
          <w:rFonts w:ascii="Times New Roman" w:eastAsia="仿宋_GB2312" w:hAnsi="Times New Roman" w:cs="Times New Roman"/>
          <w:snapToGrid/>
          <w:kern w:val="2"/>
          <w:sz w:val="32"/>
          <w:szCs w:val="32"/>
          <w:lang w:val="zh-CN" w:eastAsia="zh-CN"/>
        </w:rPr>
        <w:t>次，严守市场监管安全底线，深</w:t>
      </w:r>
      <w:r>
        <w:rPr>
          <w:rFonts w:ascii="Times New Roman" w:eastAsia="仿宋_GB2312" w:hAnsi="Times New Roman" w:cs="Times New Roman"/>
          <w:snapToGrid/>
          <w:kern w:val="2"/>
          <w:sz w:val="32"/>
          <w:szCs w:val="32"/>
          <w:lang w:val="zh-CN" w:eastAsia="zh-CN"/>
        </w:rPr>
        <w:lastRenderedPageBreak/>
        <w:t>入排查食品安全风险隐患，不断提高食品安全风险防控能力。</w:t>
      </w:r>
    </w:p>
    <w:p w:rsidR="004B0FC1" w:rsidRDefault="00A976D9">
      <w:pPr>
        <w:widowControl w:val="0"/>
        <w:kinsoku/>
        <w:autoSpaceDE/>
        <w:autoSpaceDN/>
        <w:adjustRightInd/>
        <w:snapToGrid/>
        <w:spacing w:line="578" w:lineRule="exact"/>
        <w:ind w:firstLine="640"/>
        <w:jc w:val="both"/>
        <w:textAlignment w:val="auto"/>
        <w:rPr>
          <w:rFonts w:ascii="黑体" w:eastAsia="黑体" w:hAnsi="黑体" w:cs="黑体"/>
          <w:snapToGrid/>
          <w:sz w:val="32"/>
          <w:szCs w:val="32"/>
          <w:lang w:eastAsia="zh-CN"/>
        </w:rPr>
      </w:pPr>
      <w:r>
        <w:rPr>
          <w:rFonts w:ascii="黑体" w:eastAsia="黑体" w:hAnsi="黑体" w:cs="黑体" w:hint="eastAsia"/>
          <w:snapToGrid/>
          <w:sz w:val="32"/>
          <w:szCs w:val="32"/>
          <w:lang w:eastAsia="zh-CN"/>
        </w:rPr>
        <w:t>五、评价结论及建议</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（一）评价结论。</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项目总体自评得分</w:t>
      </w:r>
      <w:r>
        <w:rPr>
          <w:rFonts w:ascii="Times New Roman" w:eastAsia="仿宋_GB2312" w:hAnsi="Times New Roman" w:cs="Times New Roman"/>
          <w:snapToGrid/>
          <w:kern w:val="2"/>
          <w:sz w:val="32"/>
          <w:szCs w:val="32"/>
          <w:lang w:val="zh-CN" w:eastAsia="zh-CN"/>
        </w:rPr>
        <w:t>97.5</w:t>
      </w:r>
      <w:r>
        <w:rPr>
          <w:rFonts w:ascii="Times New Roman" w:eastAsia="仿宋_GB2312" w:hAnsi="Times New Roman" w:cs="Times New Roman"/>
          <w:snapToGrid/>
          <w:kern w:val="2"/>
          <w:sz w:val="32"/>
          <w:szCs w:val="32"/>
          <w:lang w:val="zh-CN" w:eastAsia="zh-CN"/>
        </w:rPr>
        <w:t>分。</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楷体_GB2312" w:hAnsi="Times New Roman" w:cs="Times New Roman"/>
          <w:b/>
          <w:snapToGrid/>
          <w:kern w:val="2"/>
          <w:sz w:val="32"/>
          <w:szCs w:val="32"/>
          <w:lang w:val="zh-CN" w:eastAsia="zh-CN"/>
        </w:rPr>
        <w:t>（二）存在的问题。</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无。</w:t>
      </w:r>
      <w:r>
        <w:rPr>
          <w:rFonts w:ascii="Times New Roman" w:eastAsia="仿宋_GB2312" w:hAnsi="Times New Roman" w:cs="Times New Roman"/>
          <w:snapToGrid/>
          <w:kern w:val="2"/>
          <w:sz w:val="32"/>
          <w:szCs w:val="32"/>
          <w:lang w:val="zh-CN" w:eastAsia="zh-CN"/>
        </w:rPr>
        <w:tab/>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（三）相关建议。</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snapToGrid/>
          <w:kern w:val="2"/>
          <w:sz w:val="32"/>
          <w:szCs w:val="32"/>
          <w:lang w:val="zh-CN" w:eastAsia="zh-CN"/>
        </w:rPr>
        <w:t>无</w:t>
      </w:r>
      <w:r>
        <w:rPr>
          <w:rFonts w:ascii="Times New Roman" w:eastAsia="仿宋_GB2312" w:hAnsi="Times New Roman" w:cs="Times New Roman" w:hint="eastAsia"/>
          <w:snapToGrid/>
          <w:kern w:val="2"/>
          <w:sz w:val="32"/>
          <w:szCs w:val="32"/>
          <w:lang w:val="zh-CN" w:eastAsia="zh-CN"/>
        </w:rPr>
        <w:t>。</w:t>
      </w:r>
    </w:p>
    <w:p w:rsidR="004B0FC1" w:rsidRDefault="004B0FC1">
      <w:pPr>
        <w:rPr>
          <w:lang w:eastAsia="zh-CN"/>
        </w:rPr>
        <w:sectPr w:rsidR="004B0FC1">
          <w:pgSz w:w="11906" w:h="16838"/>
          <w:pgMar w:top="2098" w:right="1474" w:bottom="1984" w:left="1587" w:header="907" w:footer="1644" w:gutter="0"/>
          <w:cols w:space="0"/>
          <w:docGrid w:type="linesAndChars" w:linePitch="579" w:charSpace="-842"/>
        </w:sectPr>
      </w:pPr>
    </w:p>
    <w:p w:rsidR="004B0FC1" w:rsidRDefault="00A976D9">
      <w:pPr>
        <w:pStyle w:val="a5"/>
        <w:spacing w:before="93"/>
        <w:rPr>
          <w:rFonts w:ascii="Times New Roman" w:eastAsia="黑体" w:cs="黑体"/>
          <w:sz w:val="32"/>
          <w:szCs w:val="32"/>
          <w:shd w:val="clear" w:color="auto" w:fill="FFFFFF"/>
          <w:lang w:eastAsia="zh-CN"/>
        </w:rPr>
      </w:pPr>
      <w:r>
        <w:rPr>
          <w:rFonts w:ascii="Times New Roman" w:eastAsia="黑体" w:cs="黑体" w:hint="eastAsia"/>
          <w:sz w:val="32"/>
          <w:szCs w:val="32"/>
          <w:shd w:val="clear" w:color="auto" w:fill="FFFFFF"/>
          <w:lang w:val="zh-CN" w:eastAsia="zh-CN"/>
        </w:rPr>
        <w:lastRenderedPageBreak/>
        <w:t>附件</w:t>
      </w:r>
      <w:r>
        <w:rPr>
          <w:rFonts w:ascii="Times New Roman" w:eastAsia="黑体" w:cs="黑体" w:hint="eastAsia"/>
          <w:sz w:val="32"/>
          <w:szCs w:val="32"/>
          <w:shd w:val="clear" w:color="auto" w:fill="FFFFFF"/>
          <w:lang w:eastAsia="zh-CN"/>
        </w:rPr>
        <w:t>2-8</w:t>
      </w:r>
    </w:p>
    <w:p w:rsidR="004B0FC1" w:rsidRDefault="004B0FC1">
      <w:pPr>
        <w:pStyle w:val="a5"/>
        <w:spacing w:before="93"/>
        <w:rPr>
          <w:rFonts w:ascii="Times New Roman" w:eastAsia="黑体" w:cs="黑体"/>
          <w:sz w:val="32"/>
          <w:szCs w:val="32"/>
          <w:shd w:val="clear" w:color="auto" w:fill="FFFFFF"/>
          <w:lang w:eastAsia="zh-CN"/>
        </w:rPr>
      </w:pPr>
    </w:p>
    <w:p w:rsidR="004B0FC1" w:rsidRDefault="00A976D9">
      <w:pPr>
        <w:pStyle w:val="ab"/>
        <w:spacing w:line="600" w:lineRule="exact"/>
        <w:jc w:val="center"/>
        <w:rPr>
          <w:rFonts w:ascii="Times New Roman" w:eastAsia="方正小标宋简体" w:hAnsi="Times New Roman" w:cs="Times New Roman"/>
          <w:snapToGrid/>
          <w:kern w:val="2"/>
          <w:sz w:val="40"/>
          <w:szCs w:val="40"/>
        </w:rPr>
      </w:pPr>
      <w:r>
        <w:rPr>
          <w:rFonts w:ascii="Times New Roman" w:eastAsia="方正小标宋简体" w:hAnsi="Times New Roman" w:cs="Times New Roman"/>
          <w:snapToGrid/>
          <w:kern w:val="2"/>
          <w:sz w:val="40"/>
          <w:szCs w:val="40"/>
        </w:rPr>
        <w:t>攀枝花市市场监督管理</w:t>
      </w:r>
    </w:p>
    <w:p w:rsidR="004B0FC1" w:rsidRDefault="00A976D9">
      <w:pPr>
        <w:pStyle w:val="ab"/>
        <w:spacing w:line="600" w:lineRule="exact"/>
        <w:jc w:val="center"/>
        <w:rPr>
          <w:rFonts w:ascii="Times New Roman" w:eastAsia="方正小标宋简体" w:hAnsi="Times New Roman" w:cs="Times New Roman"/>
          <w:snapToGrid/>
          <w:kern w:val="2"/>
          <w:sz w:val="40"/>
          <w:szCs w:val="40"/>
        </w:rPr>
      </w:pPr>
      <w:r>
        <w:rPr>
          <w:rFonts w:ascii="Times New Roman" w:eastAsia="方正小标宋简体" w:hAnsi="Times New Roman" w:cs="Times New Roman"/>
          <w:snapToGrid/>
          <w:kern w:val="2"/>
          <w:sz w:val="40"/>
          <w:szCs w:val="40"/>
          <w:lang w:val="en-US"/>
        </w:rPr>
        <w:t>2025</w:t>
      </w:r>
      <w:r>
        <w:rPr>
          <w:rFonts w:ascii="Times New Roman" w:eastAsia="方正小标宋简体" w:hAnsi="Times New Roman" w:cs="Times New Roman"/>
          <w:snapToGrid/>
          <w:kern w:val="2"/>
          <w:sz w:val="40"/>
          <w:szCs w:val="40"/>
          <w:lang w:val="en-US"/>
        </w:rPr>
        <w:t>年</w:t>
      </w:r>
      <w:r>
        <w:rPr>
          <w:rFonts w:ascii="Times New Roman" w:eastAsia="方正小标宋简体" w:hAnsi="Times New Roman" w:cs="Times New Roman" w:hint="eastAsia"/>
          <w:snapToGrid/>
          <w:kern w:val="2"/>
          <w:sz w:val="40"/>
          <w:szCs w:val="40"/>
        </w:rPr>
        <w:t>食品药品二期建设</w:t>
      </w:r>
      <w:r>
        <w:rPr>
          <w:rFonts w:ascii="Times New Roman" w:eastAsia="方正小标宋简体" w:hAnsi="Times New Roman" w:cs="Times New Roman"/>
          <w:snapToGrid/>
          <w:kern w:val="2"/>
          <w:sz w:val="40"/>
          <w:szCs w:val="40"/>
        </w:rPr>
        <w:t>专项预算项目支出</w:t>
      </w:r>
    </w:p>
    <w:p w:rsidR="004B0FC1" w:rsidRDefault="00A976D9">
      <w:pPr>
        <w:pStyle w:val="ab"/>
        <w:spacing w:line="600" w:lineRule="exact"/>
        <w:jc w:val="center"/>
        <w:rPr>
          <w:rFonts w:ascii="Times New Roman" w:eastAsia="方正小标宋简体" w:hAnsi="Times New Roman" w:cs="Times New Roman"/>
          <w:snapToGrid/>
          <w:kern w:val="2"/>
          <w:sz w:val="40"/>
          <w:szCs w:val="40"/>
        </w:rPr>
      </w:pPr>
      <w:r>
        <w:rPr>
          <w:rFonts w:ascii="Times New Roman" w:eastAsia="方正小标宋简体" w:hAnsi="Times New Roman" w:cs="Times New Roman"/>
          <w:snapToGrid/>
          <w:kern w:val="2"/>
          <w:sz w:val="40"/>
          <w:szCs w:val="40"/>
        </w:rPr>
        <w:t>绩效自评报告</w:t>
      </w:r>
    </w:p>
    <w:p w:rsidR="004B0FC1" w:rsidRDefault="004B0FC1">
      <w:pPr>
        <w:pStyle w:val="ab"/>
        <w:spacing w:line="600" w:lineRule="exact"/>
        <w:jc w:val="center"/>
        <w:rPr>
          <w:rFonts w:ascii="Times New Roman" w:eastAsia="方正小标宋简体" w:hAnsi="Times New Roman" w:cs="Times New Roman"/>
          <w:snapToGrid/>
          <w:kern w:val="2"/>
          <w:sz w:val="40"/>
          <w:szCs w:val="40"/>
        </w:rPr>
      </w:pPr>
    </w:p>
    <w:p w:rsidR="004B0FC1" w:rsidRDefault="00A976D9">
      <w:pPr>
        <w:widowControl w:val="0"/>
        <w:kinsoku/>
        <w:autoSpaceDE/>
        <w:autoSpaceDN/>
        <w:spacing w:line="600" w:lineRule="exact"/>
        <w:ind w:firstLine="720"/>
        <w:jc w:val="both"/>
        <w:textAlignment w:val="auto"/>
        <w:rPr>
          <w:rFonts w:ascii="Times New Roman" w:eastAsia="黑体" w:hAnsi="Times New Roman" w:cs="Times New Roman"/>
          <w:snapToGrid/>
          <w:kern w:val="2"/>
          <w:sz w:val="32"/>
          <w:szCs w:val="32"/>
          <w:lang w:val="zh-CN" w:eastAsia="zh-CN"/>
        </w:rPr>
      </w:pPr>
      <w:r>
        <w:rPr>
          <w:rFonts w:ascii="Times New Roman" w:eastAsia="黑体" w:hAnsi="Times New Roman" w:cs="Times New Roman"/>
          <w:snapToGrid/>
          <w:kern w:val="2"/>
          <w:sz w:val="32"/>
          <w:szCs w:val="32"/>
          <w:lang w:eastAsia="zh-CN"/>
        </w:rPr>
        <w:t>一、</w:t>
      </w:r>
      <w:r>
        <w:rPr>
          <w:rFonts w:ascii="Times New Roman" w:eastAsia="黑体" w:hAnsi="Times New Roman" w:cs="Times New Roman"/>
          <w:snapToGrid/>
          <w:kern w:val="2"/>
          <w:sz w:val="32"/>
          <w:szCs w:val="32"/>
          <w:lang w:val="zh-CN" w:eastAsia="zh-CN"/>
        </w:rPr>
        <w:t>项目概况</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（一）项目基本情况。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说明项目主管部门（单位）在该项目管理中的职能。</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项目建成后解决当前攀西钒钛检验检测院（简称攀西院）食品、药品、保健品、化妆品等的检验检测相对薄弱、发展建设不规范等突出问题，使其走向规范化、标准化。食品药品二期建设项目建成不仅可以健全我单位的食品药品检测体系，而且可以提高食品药品安全检测的业务水平。</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项目立项、资金申报的依据。</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攀枝花市食品安全检（监）</w:t>
      </w:r>
      <w:proofErr w:type="gramStart"/>
      <w:r>
        <w:rPr>
          <w:rFonts w:ascii="Times New Roman" w:eastAsia="仿宋_GB2312" w:hAnsi="Times New Roman" w:cs="仿宋_GB2312" w:hint="eastAsia"/>
          <w:snapToGrid/>
          <w:sz w:val="32"/>
          <w:szCs w:val="32"/>
          <w:lang w:val="zh-CN" w:eastAsia="zh-CN"/>
        </w:rPr>
        <w:t>测能力</w:t>
      </w:r>
      <w:proofErr w:type="gramEnd"/>
      <w:r>
        <w:rPr>
          <w:rFonts w:ascii="Times New Roman" w:eastAsia="仿宋_GB2312" w:hAnsi="Times New Roman" w:cs="仿宋_GB2312" w:hint="eastAsia"/>
          <w:snapToGrid/>
          <w:sz w:val="32"/>
          <w:szCs w:val="32"/>
          <w:lang w:val="zh-CN" w:eastAsia="zh-CN"/>
        </w:rPr>
        <w:t>建设二期项目于</w:t>
      </w:r>
      <w:r>
        <w:rPr>
          <w:rFonts w:ascii="Times New Roman" w:eastAsia="仿宋_GB2312" w:hAnsi="Times New Roman" w:cs="仿宋_GB2312" w:hint="eastAsia"/>
          <w:snapToGrid/>
          <w:sz w:val="32"/>
          <w:szCs w:val="32"/>
          <w:lang w:val="zh-CN" w:eastAsia="zh-CN"/>
        </w:rPr>
        <w:t>2017</w:t>
      </w:r>
      <w:r>
        <w:rPr>
          <w:rFonts w:ascii="Times New Roman" w:eastAsia="仿宋_GB2312" w:hAnsi="Times New Roman" w:cs="仿宋_GB2312" w:hint="eastAsia"/>
          <w:snapToGrid/>
          <w:sz w:val="32"/>
          <w:szCs w:val="32"/>
          <w:lang w:val="zh-CN" w:eastAsia="zh-CN"/>
        </w:rPr>
        <w:t>年</w:t>
      </w:r>
      <w:r>
        <w:rPr>
          <w:rFonts w:ascii="Times New Roman" w:eastAsia="仿宋_GB2312" w:hAnsi="Times New Roman" w:cs="仿宋_GB2312" w:hint="eastAsia"/>
          <w:snapToGrid/>
          <w:sz w:val="32"/>
          <w:szCs w:val="32"/>
          <w:lang w:val="zh-CN" w:eastAsia="zh-CN"/>
        </w:rPr>
        <w:t>3</w:t>
      </w:r>
      <w:r>
        <w:rPr>
          <w:rFonts w:ascii="Times New Roman" w:eastAsia="仿宋_GB2312" w:hAnsi="Times New Roman" w:cs="仿宋_GB2312" w:hint="eastAsia"/>
          <w:snapToGrid/>
          <w:sz w:val="32"/>
          <w:szCs w:val="32"/>
          <w:lang w:val="zh-CN" w:eastAsia="zh-CN"/>
        </w:rPr>
        <w:t>月</w:t>
      </w:r>
      <w:r>
        <w:rPr>
          <w:rFonts w:ascii="Times New Roman" w:eastAsia="仿宋_GB2312" w:hAnsi="Times New Roman" w:cs="仿宋_GB2312" w:hint="eastAsia"/>
          <w:snapToGrid/>
          <w:sz w:val="32"/>
          <w:szCs w:val="32"/>
          <w:lang w:val="zh-CN" w:eastAsia="zh-CN"/>
        </w:rPr>
        <w:t>13</w:t>
      </w:r>
      <w:r>
        <w:rPr>
          <w:rFonts w:ascii="Times New Roman" w:eastAsia="仿宋_GB2312" w:hAnsi="Times New Roman" w:cs="仿宋_GB2312" w:hint="eastAsia"/>
          <w:snapToGrid/>
          <w:sz w:val="32"/>
          <w:szCs w:val="32"/>
          <w:lang w:val="zh-CN" w:eastAsia="zh-CN"/>
        </w:rPr>
        <w:t>日经《攀枝花市发展和改革委员会关于攀枝花市食品安全检（监）测能力建设二期项目可行性研究报告的批复》（</w:t>
      </w:r>
      <w:proofErr w:type="gramStart"/>
      <w:r>
        <w:rPr>
          <w:rFonts w:ascii="Times New Roman" w:eastAsia="仿宋_GB2312" w:hAnsi="Times New Roman" w:cs="仿宋_GB2312" w:hint="eastAsia"/>
          <w:snapToGrid/>
          <w:sz w:val="32"/>
          <w:szCs w:val="32"/>
          <w:lang w:val="zh-CN" w:eastAsia="zh-CN"/>
        </w:rPr>
        <w:t>攀发改投资</w:t>
      </w:r>
      <w:proofErr w:type="gramEnd"/>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2017</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10</w:t>
      </w:r>
      <w:r>
        <w:rPr>
          <w:rFonts w:ascii="Times New Roman" w:eastAsia="仿宋_GB2312" w:hAnsi="Times New Roman" w:cs="仿宋_GB2312" w:hint="eastAsia"/>
          <w:snapToGrid/>
          <w:sz w:val="32"/>
          <w:szCs w:val="32"/>
          <w:lang w:val="zh-CN" w:eastAsia="zh-CN"/>
        </w:rPr>
        <w:t>号）批复立项。建筑面积</w:t>
      </w:r>
      <w:r>
        <w:rPr>
          <w:rFonts w:ascii="Times New Roman" w:eastAsia="仿宋_GB2312" w:hAnsi="Times New Roman" w:cs="仿宋_GB2312" w:hint="eastAsia"/>
          <w:snapToGrid/>
          <w:sz w:val="32"/>
          <w:szCs w:val="32"/>
          <w:lang w:val="zh-CN" w:eastAsia="zh-CN"/>
        </w:rPr>
        <w:t>5500</w:t>
      </w:r>
      <w:r>
        <w:rPr>
          <w:rFonts w:ascii="Times New Roman" w:eastAsia="仿宋_GB2312" w:hAnsi="Times New Roman" w:cs="仿宋_GB2312" w:hint="eastAsia"/>
          <w:snapToGrid/>
          <w:sz w:val="32"/>
          <w:szCs w:val="32"/>
          <w:lang w:val="zh-CN" w:eastAsia="zh-CN"/>
        </w:rPr>
        <w:t>平方米，项目估算总投资</w:t>
      </w:r>
      <w:r>
        <w:rPr>
          <w:rFonts w:ascii="Times New Roman" w:eastAsia="仿宋_GB2312" w:hAnsi="Times New Roman" w:cs="仿宋_GB2312" w:hint="eastAsia"/>
          <w:snapToGrid/>
          <w:sz w:val="32"/>
          <w:szCs w:val="32"/>
          <w:lang w:val="zh-CN" w:eastAsia="zh-CN"/>
        </w:rPr>
        <w:t>5000</w:t>
      </w:r>
      <w:r>
        <w:rPr>
          <w:rFonts w:ascii="Times New Roman" w:eastAsia="仿宋_GB2312" w:hAnsi="Times New Roman" w:cs="仿宋_GB2312" w:hint="eastAsia"/>
          <w:snapToGrid/>
          <w:sz w:val="32"/>
          <w:szCs w:val="32"/>
          <w:lang w:val="zh-CN" w:eastAsia="zh-CN"/>
        </w:rPr>
        <w:t>万元，资金来源为中央抗</w:t>
      </w:r>
      <w:proofErr w:type="gramStart"/>
      <w:r>
        <w:rPr>
          <w:rFonts w:ascii="Times New Roman" w:eastAsia="仿宋_GB2312" w:hAnsi="Times New Roman" w:cs="仿宋_GB2312" w:hint="eastAsia"/>
          <w:snapToGrid/>
          <w:sz w:val="32"/>
          <w:szCs w:val="32"/>
          <w:lang w:val="zh-CN" w:eastAsia="zh-CN"/>
        </w:rPr>
        <w:t>疫</w:t>
      </w:r>
      <w:proofErr w:type="gramEnd"/>
      <w:r>
        <w:rPr>
          <w:rFonts w:ascii="Times New Roman" w:eastAsia="仿宋_GB2312" w:hAnsi="Times New Roman" w:cs="仿宋_GB2312" w:hint="eastAsia"/>
          <w:snapToGrid/>
          <w:sz w:val="32"/>
          <w:szCs w:val="32"/>
          <w:lang w:val="zh-CN" w:eastAsia="zh-CN"/>
        </w:rPr>
        <w:t>资金、市级财政资金。代建单位为攀枝花市建设工程有限责任公司。该项目于</w:t>
      </w:r>
      <w:r>
        <w:rPr>
          <w:rFonts w:ascii="Times New Roman" w:eastAsia="仿宋_GB2312" w:hAnsi="Times New Roman" w:cs="仿宋_GB2312" w:hint="eastAsia"/>
          <w:snapToGrid/>
          <w:sz w:val="32"/>
          <w:szCs w:val="32"/>
          <w:lang w:val="zh-CN" w:eastAsia="zh-CN"/>
        </w:rPr>
        <w:t>2017</w:t>
      </w:r>
      <w:r>
        <w:rPr>
          <w:rFonts w:ascii="Times New Roman" w:eastAsia="仿宋_GB2312" w:hAnsi="Times New Roman" w:cs="仿宋_GB2312" w:hint="eastAsia"/>
          <w:snapToGrid/>
          <w:sz w:val="32"/>
          <w:szCs w:val="32"/>
          <w:lang w:val="zh-CN" w:eastAsia="zh-CN"/>
        </w:rPr>
        <w:t>年</w:t>
      </w:r>
      <w:r>
        <w:rPr>
          <w:rFonts w:ascii="Times New Roman" w:eastAsia="仿宋_GB2312" w:hAnsi="Times New Roman" w:cs="仿宋_GB2312" w:hint="eastAsia"/>
          <w:snapToGrid/>
          <w:sz w:val="32"/>
          <w:szCs w:val="32"/>
          <w:lang w:val="zh-CN" w:eastAsia="zh-CN"/>
        </w:rPr>
        <w:t>7</w:t>
      </w:r>
      <w:r>
        <w:rPr>
          <w:rFonts w:ascii="Times New Roman" w:eastAsia="仿宋_GB2312" w:hAnsi="Times New Roman" w:cs="仿宋_GB2312" w:hint="eastAsia"/>
          <w:snapToGrid/>
          <w:sz w:val="32"/>
          <w:szCs w:val="32"/>
          <w:lang w:val="zh-CN" w:eastAsia="zh-CN"/>
        </w:rPr>
        <w:t>月</w:t>
      </w:r>
      <w:r>
        <w:rPr>
          <w:rFonts w:ascii="Times New Roman" w:eastAsia="仿宋_GB2312" w:hAnsi="Times New Roman" w:cs="仿宋_GB2312" w:hint="eastAsia"/>
          <w:snapToGrid/>
          <w:sz w:val="32"/>
          <w:szCs w:val="32"/>
          <w:lang w:val="zh-CN" w:eastAsia="zh-CN"/>
        </w:rPr>
        <w:t>18</w:t>
      </w:r>
      <w:r>
        <w:rPr>
          <w:rFonts w:ascii="Times New Roman" w:eastAsia="仿宋_GB2312" w:hAnsi="Times New Roman" w:cs="仿宋_GB2312" w:hint="eastAsia"/>
          <w:snapToGrid/>
          <w:sz w:val="32"/>
          <w:szCs w:val="32"/>
          <w:lang w:val="zh-CN" w:eastAsia="zh-CN"/>
        </w:rPr>
        <w:t>日开工，</w:t>
      </w:r>
      <w:r>
        <w:rPr>
          <w:rFonts w:ascii="Times New Roman" w:eastAsia="仿宋_GB2312" w:hAnsi="Times New Roman" w:cs="仿宋_GB2312" w:hint="eastAsia"/>
          <w:snapToGrid/>
          <w:sz w:val="32"/>
          <w:szCs w:val="32"/>
          <w:lang w:val="zh-CN" w:eastAsia="zh-CN"/>
        </w:rPr>
        <w:t>2021</w:t>
      </w:r>
      <w:r>
        <w:rPr>
          <w:rFonts w:ascii="Times New Roman" w:eastAsia="仿宋_GB2312" w:hAnsi="Times New Roman" w:cs="仿宋_GB2312" w:hint="eastAsia"/>
          <w:snapToGrid/>
          <w:sz w:val="32"/>
          <w:szCs w:val="32"/>
          <w:lang w:val="zh-CN" w:eastAsia="zh-CN"/>
        </w:rPr>
        <w:t>年</w:t>
      </w:r>
      <w:r>
        <w:rPr>
          <w:rFonts w:ascii="Times New Roman" w:eastAsia="仿宋_GB2312" w:hAnsi="Times New Roman" w:cs="仿宋_GB2312" w:hint="eastAsia"/>
          <w:snapToGrid/>
          <w:sz w:val="32"/>
          <w:szCs w:val="32"/>
          <w:lang w:val="zh-CN" w:eastAsia="zh-CN"/>
        </w:rPr>
        <w:t>12</w:t>
      </w:r>
      <w:r>
        <w:rPr>
          <w:rFonts w:ascii="Times New Roman" w:eastAsia="仿宋_GB2312" w:hAnsi="Times New Roman" w:cs="仿宋_GB2312" w:hint="eastAsia"/>
          <w:snapToGrid/>
          <w:sz w:val="32"/>
          <w:szCs w:val="32"/>
          <w:lang w:val="zh-CN" w:eastAsia="zh-CN"/>
        </w:rPr>
        <w:t>月完成验收，累</w:t>
      </w:r>
      <w:r>
        <w:rPr>
          <w:rFonts w:ascii="Times New Roman" w:eastAsia="仿宋_GB2312" w:hAnsi="Times New Roman" w:cs="仿宋_GB2312" w:hint="eastAsia"/>
          <w:snapToGrid/>
          <w:sz w:val="32"/>
          <w:szCs w:val="32"/>
          <w:lang w:val="zh-CN" w:eastAsia="zh-CN"/>
        </w:rPr>
        <w:lastRenderedPageBreak/>
        <w:t>计完成投资</w:t>
      </w:r>
      <w:r>
        <w:rPr>
          <w:rFonts w:ascii="Times New Roman" w:eastAsia="仿宋_GB2312" w:hAnsi="Times New Roman" w:cs="仿宋_GB2312" w:hint="eastAsia"/>
          <w:snapToGrid/>
          <w:sz w:val="32"/>
          <w:szCs w:val="32"/>
          <w:lang w:val="zh-CN" w:eastAsia="zh-CN"/>
        </w:rPr>
        <w:t>4579.21</w:t>
      </w:r>
      <w:r>
        <w:rPr>
          <w:rFonts w:ascii="Times New Roman" w:eastAsia="仿宋_GB2312" w:hAnsi="Times New Roman" w:cs="仿宋_GB2312" w:hint="eastAsia"/>
          <w:snapToGrid/>
          <w:sz w:val="32"/>
          <w:szCs w:val="32"/>
          <w:lang w:val="zh-CN" w:eastAsia="zh-CN"/>
        </w:rPr>
        <w:t>万元，目前该项目已经完成竣工结算和财务决算工作。</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根据《攀枝花市审计局审计报告》（攀审报〔</w:t>
      </w:r>
      <w:r>
        <w:rPr>
          <w:rFonts w:ascii="Times New Roman" w:eastAsia="仿宋_GB2312" w:hAnsi="Times New Roman" w:cs="仿宋_GB2312" w:hint="eastAsia"/>
          <w:snapToGrid/>
          <w:sz w:val="32"/>
          <w:szCs w:val="32"/>
          <w:lang w:eastAsia="zh-CN"/>
        </w:rPr>
        <w:t>2024</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31</w:t>
      </w:r>
      <w:r>
        <w:rPr>
          <w:rFonts w:ascii="Times New Roman" w:eastAsia="仿宋_GB2312" w:hAnsi="Times New Roman" w:cs="仿宋_GB2312" w:hint="eastAsia"/>
          <w:snapToGrid/>
          <w:sz w:val="32"/>
          <w:szCs w:val="32"/>
          <w:lang w:val="zh-CN" w:eastAsia="zh-CN"/>
        </w:rPr>
        <w:t>号）、《关于对攀枝花市食品安全检（监）测能力建设二期项目竣工财务决算审计报告》（</w:t>
      </w:r>
      <w:proofErr w:type="gramStart"/>
      <w:r>
        <w:rPr>
          <w:rFonts w:ascii="Times New Roman" w:eastAsia="仿宋_GB2312" w:hAnsi="Times New Roman" w:cs="仿宋_GB2312" w:hint="eastAsia"/>
          <w:snapToGrid/>
          <w:sz w:val="32"/>
          <w:szCs w:val="32"/>
          <w:lang w:val="zh-CN" w:eastAsia="zh-CN"/>
        </w:rPr>
        <w:t>川华会审</w:t>
      </w:r>
      <w:proofErr w:type="gramEnd"/>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eastAsia="zh-CN"/>
        </w:rPr>
        <w:t>2024</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219</w:t>
      </w:r>
      <w:r>
        <w:rPr>
          <w:rFonts w:ascii="Times New Roman" w:eastAsia="仿宋_GB2312" w:hAnsi="Times New Roman" w:cs="仿宋_GB2312" w:hint="eastAsia"/>
          <w:snapToGrid/>
          <w:sz w:val="32"/>
          <w:szCs w:val="32"/>
          <w:lang w:val="zh-CN" w:eastAsia="zh-CN"/>
        </w:rPr>
        <w:t>号）审计报告，该项目资金缺口为</w:t>
      </w:r>
      <w:r>
        <w:rPr>
          <w:rFonts w:ascii="Times New Roman" w:eastAsia="仿宋_GB2312" w:hAnsi="Times New Roman" w:cs="仿宋_GB2312" w:hint="eastAsia"/>
          <w:snapToGrid/>
          <w:sz w:val="32"/>
          <w:szCs w:val="32"/>
          <w:lang w:val="zh-CN" w:eastAsia="zh-CN"/>
        </w:rPr>
        <w:t>272.68</w:t>
      </w:r>
      <w:r>
        <w:rPr>
          <w:rFonts w:ascii="Times New Roman" w:eastAsia="仿宋_GB2312" w:hAnsi="Times New Roman" w:cs="仿宋_GB2312" w:hint="eastAsia"/>
          <w:snapToGrid/>
          <w:sz w:val="32"/>
          <w:szCs w:val="32"/>
          <w:lang w:val="zh-CN" w:eastAsia="zh-CN"/>
        </w:rPr>
        <w:t>万元。</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3.</w:t>
      </w:r>
      <w:r>
        <w:rPr>
          <w:rFonts w:ascii="Times New Roman" w:eastAsia="仿宋_GB2312" w:hAnsi="Times New Roman" w:cs="仿宋_GB2312" w:hint="eastAsia"/>
          <w:snapToGrid/>
          <w:sz w:val="32"/>
          <w:szCs w:val="32"/>
          <w:lang w:val="zh-CN" w:eastAsia="zh-CN"/>
        </w:rPr>
        <w:t>资金管理办法制定情况，资金支持具体项目的条件、范围与支持方式概况。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该基建项目为代建制，攀西院作为业方主要是督促代建公司对专项经费合理使用、单独核算、专款专用。</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4.</w:t>
      </w:r>
      <w:r>
        <w:rPr>
          <w:rFonts w:ascii="Times New Roman" w:eastAsia="仿宋_GB2312" w:hAnsi="Times New Roman" w:cs="仿宋_GB2312" w:hint="eastAsia"/>
          <w:snapToGrid/>
          <w:sz w:val="32"/>
          <w:szCs w:val="32"/>
          <w:lang w:val="zh-CN" w:eastAsia="zh-CN"/>
        </w:rPr>
        <w:t>资金分配的原则及考虑因素。</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代建公司收到拨款，根据项目实际需求和资金安排进行支付。</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（二）项目绩效目标。</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项目主要内容。</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该项目已经完工并交付使用，由于存在资金缺口，财政按照资金情况逐年进行解决。</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项目应实现的具体绩效目标，包括目标的量化、细化情况以及项目实施进度计划等。</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该项目资金主要是用于支付食品药品二期建设项目大楼工程款、监理费等。</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3.</w:t>
      </w:r>
      <w:r>
        <w:rPr>
          <w:rFonts w:ascii="Times New Roman" w:eastAsia="仿宋_GB2312" w:hAnsi="Times New Roman" w:cs="仿宋_GB2312" w:hint="eastAsia"/>
          <w:snapToGrid/>
          <w:sz w:val="32"/>
          <w:szCs w:val="32"/>
          <w:lang w:val="zh-CN" w:eastAsia="zh-CN"/>
        </w:rPr>
        <w:t>分析评价申报内容是否与实际相符，申报目标是否合理</w:t>
      </w:r>
      <w:r>
        <w:rPr>
          <w:rFonts w:ascii="Times New Roman" w:eastAsia="仿宋_GB2312" w:hAnsi="Times New Roman" w:cs="仿宋_GB2312" w:hint="eastAsia"/>
          <w:snapToGrid/>
          <w:sz w:val="32"/>
          <w:szCs w:val="32"/>
          <w:lang w:val="zh-CN" w:eastAsia="zh-CN"/>
        </w:rPr>
        <w:lastRenderedPageBreak/>
        <w:t>可行。</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申报目标合理合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、切实可行。</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（三）项目自评步骤及方法。</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依据项目实施方案开展自评，梳理项目目标、预期成果、进度节点等核心要素，通过内部讨论、财务审计等，对照绩效目标逐项评分，形成自评报告。</w:t>
      </w:r>
    </w:p>
    <w:p w:rsidR="004B0FC1" w:rsidRDefault="00A976D9">
      <w:pPr>
        <w:widowControl w:val="0"/>
        <w:kinsoku/>
        <w:autoSpaceDE/>
        <w:autoSpaceDN/>
        <w:spacing w:line="600" w:lineRule="exact"/>
        <w:ind w:firstLine="720"/>
        <w:jc w:val="both"/>
        <w:textAlignment w:val="auto"/>
        <w:rPr>
          <w:rFonts w:ascii="Times New Roman" w:eastAsia="黑体" w:hAnsi="Times New Roman" w:cs="Times New Roman"/>
          <w:snapToGrid/>
          <w:kern w:val="2"/>
          <w:sz w:val="32"/>
          <w:szCs w:val="32"/>
          <w:lang w:eastAsia="zh-CN"/>
        </w:rPr>
      </w:pPr>
      <w:r>
        <w:rPr>
          <w:rFonts w:ascii="Times New Roman" w:eastAsia="黑体" w:hAnsi="Times New Roman" w:cs="Times New Roman"/>
          <w:snapToGrid/>
          <w:kern w:val="2"/>
          <w:sz w:val="32"/>
          <w:szCs w:val="32"/>
          <w:lang w:eastAsia="zh-CN"/>
        </w:rPr>
        <w:t>二、项目资金申报及使用情况</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（一）项目资金申报及批复情况。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该项目资金缺口为</w:t>
      </w:r>
      <w:r>
        <w:rPr>
          <w:rFonts w:ascii="Times New Roman" w:eastAsia="仿宋_GB2312" w:hAnsi="Times New Roman" w:cs="仿宋_GB2312" w:hint="eastAsia"/>
          <w:snapToGrid/>
          <w:sz w:val="32"/>
          <w:szCs w:val="32"/>
          <w:lang w:val="zh-CN" w:eastAsia="zh-CN"/>
        </w:rPr>
        <w:t>272.68</w:t>
      </w:r>
      <w:r>
        <w:rPr>
          <w:rFonts w:ascii="Times New Roman" w:eastAsia="仿宋_GB2312" w:hAnsi="Times New Roman" w:cs="仿宋_GB2312" w:hint="eastAsia"/>
          <w:snapToGrid/>
          <w:sz w:val="32"/>
          <w:szCs w:val="32"/>
          <w:lang w:val="zh-CN" w:eastAsia="zh-CN"/>
        </w:rPr>
        <w:t>万元，财政按照资金情况逐年进行解决，</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年拨付</w:t>
      </w:r>
      <w:r>
        <w:rPr>
          <w:rFonts w:ascii="Times New Roman" w:eastAsia="仿宋_GB2312" w:hAnsi="Times New Roman" w:cs="仿宋_GB2312" w:hint="eastAsia"/>
          <w:snapToGrid/>
          <w:sz w:val="32"/>
          <w:szCs w:val="32"/>
          <w:lang w:val="zh-CN" w:eastAsia="zh-CN"/>
        </w:rPr>
        <w:t>26</w:t>
      </w:r>
      <w:r>
        <w:rPr>
          <w:rFonts w:ascii="Times New Roman" w:eastAsia="仿宋_GB2312" w:hAnsi="Times New Roman" w:cs="仿宋_GB2312" w:hint="eastAsia"/>
          <w:snapToGrid/>
          <w:sz w:val="32"/>
          <w:szCs w:val="32"/>
          <w:lang w:val="zh-CN" w:eastAsia="zh-CN"/>
        </w:rPr>
        <w:t>万元。</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（二）资金计划、到位及使用情况。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资金计划。该项目财政拨款</w:t>
      </w:r>
      <w:r>
        <w:rPr>
          <w:rFonts w:ascii="Times New Roman" w:eastAsia="仿宋_GB2312" w:hAnsi="Times New Roman" w:cs="仿宋_GB2312" w:hint="eastAsia"/>
          <w:snapToGrid/>
          <w:sz w:val="32"/>
          <w:szCs w:val="32"/>
          <w:lang w:val="zh-CN" w:eastAsia="zh-CN"/>
        </w:rPr>
        <w:t>26</w:t>
      </w:r>
      <w:r>
        <w:rPr>
          <w:rFonts w:ascii="Times New Roman" w:eastAsia="仿宋_GB2312" w:hAnsi="Times New Roman" w:cs="仿宋_GB2312" w:hint="eastAsia"/>
          <w:snapToGrid/>
          <w:sz w:val="32"/>
          <w:szCs w:val="32"/>
          <w:lang w:val="zh-CN" w:eastAsia="zh-CN"/>
        </w:rPr>
        <w:t>万元。</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资金到位。</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年年初，资金到位，项目可实施，资金到位及时，到位率</w:t>
      </w:r>
      <w:r>
        <w:rPr>
          <w:rFonts w:ascii="Times New Roman" w:eastAsia="仿宋_GB2312" w:hAnsi="Times New Roman" w:cs="仿宋_GB2312" w:hint="eastAsia"/>
          <w:snapToGrid/>
          <w:sz w:val="32"/>
          <w:szCs w:val="32"/>
          <w:lang w:val="zh-CN" w:eastAsia="zh-CN"/>
        </w:rPr>
        <w:t>100%</w:t>
      </w:r>
      <w:r>
        <w:rPr>
          <w:rFonts w:ascii="Times New Roman" w:eastAsia="仿宋_GB2312" w:hAnsi="Times New Roman" w:cs="仿宋_GB2312" w:hint="eastAsia"/>
          <w:snapToGrid/>
          <w:sz w:val="32"/>
          <w:szCs w:val="32"/>
          <w:lang w:val="zh-CN" w:eastAsia="zh-CN"/>
        </w:rPr>
        <w:t>。</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3.</w:t>
      </w:r>
      <w:r>
        <w:rPr>
          <w:rFonts w:ascii="Times New Roman" w:eastAsia="仿宋_GB2312" w:hAnsi="Times New Roman" w:cs="仿宋_GB2312" w:hint="eastAsia"/>
          <w:snapToGrid/>
          <w:sz w:val="32"/>
          <w:szCs w:val="32"/>
          <w:lang w:val="zh-CN" w:eastAsia="zh-CN"/>
        </w:rPr>
        <w:t>资金使用。</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截至</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w:t>
      </w:r>
      <w:r>
        <w:rPr>
          <w:rFonts w:ascii="Times New Roman" w:eastAsia="仿宋_GB2312" w:hAnsi="Times New Roman" w:cs="仿宋_GB2312" w:hint="eastAsia"/>
          <w:snapToGrid/>
          <w:sz w:val="32"/>
          <w:szCs w:val="32"/>
          <w:lang w:eastAsia="zh-CN"/>
        </w:rPr>
        <w:t>12</w:t>
      </w:r>
      <w:r>
        <w:rPr>
          <w:rFonts w:ascii="Times New Roman" w:eastAsia="仿宋_GB2312" w:hAnsi="Times New Roman" w:cs="仿宋_GB2312" w:hint="eastAsia"/>
          <w:snapToGrid/>
          <w:sz w:val="32"/>
          <w:szCs w:val="32"/>
          <w:lang w:eastAsia="zh-CN"/>
        </w:rPr>
        <w:t>月</w:t>
      </w:r>
      <w:r>
        <w:rPr>
          <w:rFonts w:ascii="Times New Roman" w:eastAsia="仿宋_GB2312" w:hAnsi="Times New Roman" w:cs="仿宋_GB2312" w:hint="eastAsia"/>
          <w:snapToGrid/>
          <w:sz w:val="32"/>
          <w:szCs w:val="32"/>
          <w:lang w:eastAsia="zh-CN"/>
        </w:rPr>
        <w:t>31</w:t>
      </w:r>
      <w:r>
        <w:rPr>
          <w:rFonts w:ascii="Times New Roman" w:eastAsia="仿宋_GB2312" w:hAnsi="Times New Roman" w:cs="仿宋_GB2312" w:hint="eastAsia"/>
          <w:snapToGrid/>
          <w:sz w:val="32"/>
          <w:szCs w:val="32"/>
          <w:lang w:eastAsia="zh-CN"/>
        </w:rPr>
        <w:t>日</w:t>
      </w:r>
      <w:r>
        <w:rPr>
          <w:rFonts w:ascii="Times New Roman" w:eastAsia="仿宋_GB2312" w:hAnsi="Times New Roman" w:cs="仿宋_GB2312" w:hint="eastAsia"/>
          <w:snapToGrid/>
          <w:sz w:val="32"/>
          <w:szCs w:val="32"/>
          <w:lang w:val="zh-CN" w:eastAsia="zh-CN"/>
        </w:rPr>
        <w:t>，项目资金支出</w:t>
      </w:r>
      <w:r>
        <w:rPr>
          <w:rFonts w:ascii="Times New Roman" w:eastAsia="仿宋_GB2312" w:hAnsi="Times New Roman" w:cs="仿宋_GB2312" w:hint="eastAsia"/>
          <w:snapToGrid/>
          <w:sz w:val="32"/>
          <w:szCs w:val="32"/>
          <w:lang w:val="zh-CN" w:eastAsia="zh-CN"/>
        </w:rPr>
        <w:t>26</w:t>
      </w:r>
      <w:r>
        <w:rPr>
          <w:rFonts w:ascii="Times New Roman" w:eastAsia="仿宋_GB2312" w:hAnsi="Times New Roman" w:cs="仿宋_GB2312" w:hint="eastAsia"/>
          <w:snapToGrid/>
          <w:sz w:val="32"/>
          <w:szCs w:val="32"/>
          <w:lang w:val="zh-CN" w:eastAsia="zh-CN"/>
        </w:rPr>
        <w:t>万元。该项目资金主要是用于支付食品药品二期建设项目大楼工程款、监理费等。资金使用的安全性、规范性及有效性都是按照项目要求进行，资金支付范围、支付标准、支付进度、支付依据等合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合法、并与预算相符。</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（三）项目财务管理情况。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财务部为攀西院内设机构，内设财务负责人</w:t>
      </w: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人，会计</w:t>
      </w: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lastRenderedPageBreak/>
        <w:t>人，出纳</w:t>
      </w: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人，综合岗位</w:t>
      </w: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人。项目经费支出由经办人、部门负责人、分管领导、分管财务领导、主管部门分管领导、市级财政部门等逐级审核签字的程序进行审批后方可支付，各个环节缺一不可。</w:t>
      </w:r>
    </w:p>
    <w:p w:rsidR="004B0FC1" w:rsidRDefault="00A976D9">
      <w:pPr>
        <w:widowControl w:val="0"/>
        <w:kinsoku/>
        <w:autoSpaceDE/>
        <w:autoSpaceDN/>
        <w:spacing w:line="600" w:lineRule="exact"/>
        <w:ind w:firstLine="720"/>
        <w:jc w:val="both"/>
        <w:textAlignment w:val="auto"/>
        <w:rPr>
          <w:rFonts w:ascii="Times New Roman" w:eastAsia="黑体" w:hAnsi="Times New Roman" w:cs="Times New Roman"/>
          <w:snapToGrid/>
          <w:kern w:val="2"/>
          <w:sz w:val="32"/>
          <w:szCs w:val="32"/>
          <w:lang w:val="zh-CN" w:eastAsia="zh-CN"/>
        </w:rPr>
      </w:pPr>
      <w:r>
        <w:rPr>
          <w:rFonts w:ascii="Times New Roman" w:eastAsia="黑体" w:hAnsi="Times New Roman" w:cs="Times New Roman"/>
          <w:snapToGrid/>
          <w:kern w:val="2"/>
          <w:sz w:val="32"/>
          <w:szCs w:val="32"/>
          <w:lang w:eastAsia="zh-CN"/>
        </w:rPr>
        <w:t>三、项目实施及管理情况</w:t>
      </w:r>
    </w:p>
    <w:p w:rsidR="004B0FC1" w:rsidRDefault="00A976D9">
      <w:pPr>
        <w:spacing w:line="520" w:lineRule="exact"/>
        <w:ind w:firstLine="720"/>
        <w:rPr>
          <w:rFonts w:ascii="Times New Roman" w:eastAsia="仿宋_GB2312" w:hAnsi="Times New Roman" w:cs="仿宋_GB2312"/>
          <w:snapToGrid/>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（一）项目组织架构及实施流程。</w:t>
      </w:r>
      <w:r>
        <w:rPr>
          <w:rFonts w:ascii="Times New Roman" w:eastAsia="仿宋_GB2312" w:hAnsi="Times New Roman" w:cs="仿宋_GB2312" w:hint="eastAsia"/>
          <w:snapToGrid/>
          <w:sz w:val="32"/>
          <w:szCs w:val="32"/>
          <w:lang w:val="zh-CN" w:eastAsia="zh-CN"/>
        </w:rPr>
        <w:t>让代建公司明确职能职责，按照项目实施方案推进项目。</w:t>
      </w:r>
    </w:p>
    <w:p w:rsidR="004B0FC1" w:rsidRDefault="00A976D9">
      <w:pPr>
        <w:spacing w:line="520" w:lineRule="exact"/>
        <w:ind w:firstLine="720"/>
        <w:rPr>
          <w:rFonts w:ascii="Times New Roman" w:eastAsia="仿宋_GB2312" w:hAnsi="Times New Roman" w:cs="仿宋_GB2312"/>
          <w:snapToGrid/>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（二）项目管理情况。</w:t>
      </w:r>
      <w:r>
        <w:rPr>
          <w:rFonts w:ascii="Times New Roman" w:eastAsia="仿宋_GB2312" w:hAnsi="Times New Roman" w:cs="仿宋_GB2312" w:hint="eastAsia"/>
          <w:snapToGrid/>
          <w:sz w:val="32"/>
          <w:szCs w:val="32"/>
          <w:lang w:val="zh-CN" w:eastAsia="zh-CN"/>
        </w:rPr>
        <w:t>项目严格按照相项目管理制度执行。</w:t>
      </w:r>
    </w:p>
    <w:p w:rsidR="004B0FC1" w:rsidRDefault="00A976D9">
      <w:pPr>
        <w:spacing w:line="520" w:lineRule="exact"/>
        <w:ind w:firstLine="720"/>
        <w:rPr>
          <w:rFonts w:ascii="Times New Roman" w:eastAsia="仿宋_GB2312" w:hAnsi="Times New Roman" w:cs="仿宋_GB2312"/>
          <w:snapToGrid/>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（三）项目监管情况。</w:t>
      </w:r>
      <w:r>
        <w:rPr>
          <w:rFonts w:ascii="Times New Roman" w:eastAsia="仿宋_GB2312" w:hAnsi="Times New Roman" w:cs="仿宋_GB2312" w:hint="eastAsia"/>
          <w:snapToGrid/>
          <w:sz w:val="32"/>
          <w:szCs w:val="32"/>
          <w:lang w:val="zh-CN" w:eastAsia="zh-CN"/>
        </w:rPr>
        <w:t>攀西院作为项目业主方，监督代建公司合理使用、足额支付，确保项目合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合法按计划推进。</w:t>
      </w:r>
    </w:p>
    <w:p w:rsidR="004B0FC1" w:rsidRDefault="00A976D9">
      <w:pPr>
        <w:widowControl w:val="0"/>
        <w:kinsoku/>
        <w:autoSpaceDE/>
        <w:autoSpaceDN/>
        <w:spacing w:line="600" w:lineRule="exact"/>
        <w:ind w:firstLine="720"/>
        <w:jc w:val="both"/>
        <w:textAlignment w:val="auto"/>
        <w:rPr>
          <w:rFonts w:ascii="Times New Roman" w:eastAsia="黑体" w:hAnsi="Times New Roman" w:cs="Times New Roman"/>
          <w:snapToGrid/>
          <w:kern w:val="2"/>
          <w:sz w:val="32"/>
          <w:szCs w:val="32"/>
          <w:lang w:val="zh-CN" w:eastAsia="zh-CN"/>
        </w:rPr>
      </w:pPr>
      <w:r>
        <w:rPr>
          <w:rFonts w:ascii="Times New Roman" w:eastAsia="黑体" w:hAnsi="Times New Roman" w:cs="Times New Roman"/>
          <w:snapToGrid/>
          <w:kern w:val="2"/>
          <w:sz w:val="32"/>
          <w:szCs w:val="32"/>
          <w:lang w:eastAsia="zh-CN"/>
        </w:rPr>
        <w:t>四、项目绩效情况</w:t>
      </w:r>
      <w:r>
        <w:rPr>
          <w:rFonts w:ascii="Times New Roman" w:eastAsia="黑体" w:hAnsi="Times New Roman" w:cs="Times New Roman"/>
          <w:snapToGrid/>
          <w:kern w:val="2"/>
          <w:sz w:val="32"/>
          <w:szCs w:val="32"/>
          <w:lang w:val="zh-CN" w:eastAsia="zh-CN"/>
        </w:rPr>
        <w:tab/>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（一）项目完成情况。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截至目前，该项目资金缺口为</w:t>
      </w:r>
      <w:r>
        <w:rPr>
          <w:rFonts w:ascii="Times New Roman" w:eastAsia="仿宋_GB2312" w:hAnsi="Times New Roman" w:cs="仿宋_GB2312" w:hint="eastAsia"/>
          <w:snapToGrid/>
          <w:sz w:val="32"/>
          <w:szCs w:val="32"/>
          <w:lang w:val="zh-CN" w:eastAsia="zh-CN"/>
        </w:rPr>
        <w:t>272.68</w:t>
      </w:r>
      <w:r>
        <w:rPr>
          <w:rFonts w:ascii="Times New Roman" w:eastAsia="仿宋_GB2312" w:hAnsi="Times New Roman" w:cs="仿宋_GB2312" w:hint="eastAsia"/>
          <w:snapToGrid/>
          <w:sz w:val="32"/>
          <w:szCs w:val="32"/>
          <w:lang w:val="zh-CN" w:eastAsia="zh-CN"/>
        </w:rPr>
        <w:t>万元，财政按照资金情况逐年进行解决，</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年拨付</w:t>
      </w:r>
      <w:r>
        <w:rPr>
          <w:rFonts w:ascii="Times New Roman" w:eastAsia="仿宋_GB2312" w:hAnsi="Times New Roman" w:cs="仿宋_GB2312" w:hint="eastAsia"/>
          <w:snapToGrid/>
          <w:sz w:val="32"/>
          <w:szCs w:val="32"/>
          <w:lang w:val="zh-CN" w:eastAsia="zh-CN"/>
        </w:rPr>
        <w:t>26</w:t>
      </w:r>
      <w:r>
        <w:rPr>
          <w:rFonts w:ascii="Times New Roman" w:eastAsia="仿宋_GB2312" w:hAnsi="Times New Roman" w:cs="仿宋_GB2312" w:hint="eastAsia"/>
          <w:snapToGrid/>
          <w:sz w:val="32"/>
          <w:szCs w:val="32"/>
          <w:lang w:val="zh-CN" w:eastAsia="zh-CN"/>
        </w:rPr>
        <w:t>万元。</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（二）项目效益情况。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二期建设项目目标明确，符合国家政策和省、市有关项目建设的要求，符合攀枝花市的地方社会事业发展方向。建成后不仅健全了攀西院的食品药品检测体系，而且还提高食品药品安全检测的业务水平。</w:t>
      </w:r>
    </w:p>
    <w:p w:rsidR="004B0FC1" w:rsidRDefault="00A976D9">
      <w:pPr>
        <w:widowControl w:val="0"/>
        <w:kinsoku/>
        <w:autoSpaceDE/>
        <w:autoSpaceDN/>
        <w:spacing w:line="600" w:lineRule="exact"/>
        <w:ind w:firstLine="720"/>
        <w:jc w:val="both"/>
        <w:textAlignment w:val="auto"/>
        <w:rPr>
          <w:rFonts w:ascii="Times New Roman" w:eastAsia="黑体" w:hAnsi="Times New Roman" w:cs="Times New Roman"/>
          <w:snapToGrid/>
          <w:kern w:val="2"/>
          <w:sz w:val="32"/>
          <w:szCs w:val="32"/>
          <w:lang w:eastAsia="zh-CN"/>
        </w:rPr>
      </w:pPr>
      <w:r>
        <w:rPr>
          <w:rFonts w:ascii="Times New Roman" w:eastAsia="黑体" w:hAnsi="Times New Roman" w:cs="Times New Roman"/>
          <w:snapToGrid/>
          <w:kern w:val="2"/>
          <w:sz w:val="32"/>
          <w:szCs w:val="32"/>
          <w:lang w:eastAsia="zh-CN"/>
        </w:rPr>
        <w:t>五、评价结论及建议</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（一）评价结论。</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项目进展顺利，严格按照计划目标稳步推进，绩效评价优</w:t>
      </w:r>
      <w:r>
        <w:rPr>
          <w:rFonts w:ascii="Times New Roman" w:eastAsia="仿宋_GB2312" w:hAnsi="Times New Roman" w:cs="仿宋_GB2312" w:hint="eastAsia"/>
          <w:snapToGrid/>
          <w:sz w:val="32"/>
          <w:szCs w:val="32"/>
          <w:lang w:val="zh-CN" w:eastAsia="zh-CN"/>
        </w:rPr>
        <w:lastRenderedPageBreak/>
        <w:t>秀。</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（二）存在的问题。</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该项目已经交付使用，并完成竣工结算及财务决算工作，</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年已依据财政批复转入固定资产，但由于财政资金困难，资金缺口较大，不能一次性兑现，造成施工方等相关单位不停上访，给单位和代建公司带来不良影响。</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（三）相关建议。</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建议财政根据项目决算批复尽快解决资金缺口，</w:t>
      </w:r>
      <w:proofErr w:type="gramStart"/>
      <w:r>
        <w:rPr>
          <w:rFonts w:ascii="Times New Roman" w:eastAsia="仿宋_GB2312" w:hAnsi="Times New Roman" w:cs="仿宋_GB2312" w:hint="eastAsia"/>
          <w:snapToGrid/>
          <w:sz w:val="32"/>
          <w:szCs w:val="32"/>
          <w:lang w:val="zh-CN" w:eastAsia="zh-CN"/>
        </w:rPr>
        <w:t>做好维稳工作</w:t>
      </w:r>
      <w:proofErr w:type="gramEnd"/>
      <w:r>
        <w:rPr>
          <w:rFonts w:ascii="Times New Roman" w:eastAsia="仿宋_GB2312" w:hAnsi="Times New Roman" w:cs="仿宋_GB2312" w:hint="eastAsia"/>
          <w:snapToGrid/>
          <w:sz w:val="32"/>
          <w:szCs w:val="32"/>
          <w:lang w:val="zh-CN" w:eastAsia="zh-CN"/>
        </w:rPr>
        <w:t>。</w:t>
      </w:r>
    </w:p>
    <w:p w:rsidR="004B0FC1" w:rsidRDefault="004B0FC1">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sectPr w:rsidR="004B0FC1">
          <w:pgSz w:w="11906" w:h="16838"/>
          <w:pgMar w:top="2098" w:right="1474" w:bottom="1984" w:left="1587" w:header="907" w:footer="1644" w:gutter="0"/>
          <w:cols w:space="0"/>
          <w:docGrid w:type="linesAndChars" w:linePitch="579" w:charSpace="-842"/>
        </w:sectPr>
      </w:pPr>
    </w:p>
    <w:p w:rsidR="004B0FC1" w:rsidRDefault="00A976D9">
      <w:pPr>
        <w:pStyle w:val="a5"/>
        <w:spacing w:before="93"/>
        <w:rPr>
          <w:rFonts w:ascii="Times New Roman" w:eastAsia="黑体" w:cs="黑体"/>
          <w:sz w:val="32"/>
          <w:szCs w:val="32"/>
          <w:shd w:val="clear" w:color="auto" w:fill="FFFFFF"/>
          <w:lang w:eastAsia="zh-CN"/>
        </w:rPr>
      </w:pPr>
      <w:r>
        <w:rPr>
          <w:rFonts w:ascii="Times New Roman" w:eastAsia="黑体" w:cs="黑体" w:hint="eastAsia"/>
          <w:sz w:val="32"/>
          <w:szCs w:val="32"/>
          <w:shd w:val="clear" w:color="auto" w:fill="FFFFFF"/>
          <w:lang w:val="zh-CN" w:eastAsia="zh-CN"/>
        </w:rPr>
        <w:lastRenderedPageBreak/>
        <w:t>附件</w:t>
      </w:r>
      <w:r>
        <w:rPr>
          <w:rFonts w:ascii="Times New Roman" w:eastAsia="黑体" w:cs="黑体" w:hint="eastAsia"/>
          <w:sz w:val="32"/>
          <w:szCs w:val="32"/>
          <w:shd w:val="clear" w:color="auto" w:fill="FFFFFF"/>
          <w:lang w:eastAsia="zh-CN"/>
        </w:rPr>
        <w:t>2-9</w:t>
      </w:r>
    </w:p>
    <w:p w:rsidR="004B0FC1" w:rsidRDefault="004B0FC1">
      <w:pPr>
        <w:pStyle w:val="a5"/>
        <w:spacing w:before="93"/>
        <w:rPr>
          <w:rFonts w:ascii="Times New Roman" w:eastAsia="黑体" w:cs="黑体"/>
          <w:sz w:val="32"/>
          <w:szCs w:val="32"/>
          <w:shd w:val="clear" w:color="auto" w:fill="FFFFFF"/>
          <w:lang w:eastAsia="zh-CN"/>
        </w:rPr>
      </w:pPr>
    </w:p>
    <w:p w:rsidR="004B0FC1" w:rsidRDefault="00A976D9">
      <w:pPr>
        <w:pStyle w:val="ab"/>
        <w:spacing w:line="600" w:lineRule="exact"/>
        <w:jc w:val="center"/>
        <w:rPr>
          <w:rFonts w:ascii="Times New Roman" w:eastAsia="方正小标宋简体" w:hAnsi="Times New Roman" w:cs="Times New Roman"/>
          <w:snapToGrid/>
          <w:kern w:val="2"/>
          <w:sz w:val="40"/>
          <w:szCs w:val="40"/>
        </w:rPr>
      </w:pPr>
      <w:r>
        <w:rPr>
          <w:rFonts w:ascii="Times New Roman" w:eastAsia="方正小标宋简体" w:hAnsi="Times New Roman" w:cs="Times New Roman"/>
          <w:snapToGrid/>
          <w:kern w:val="2"/>
          <w:sz w:val="40"/>
          <w:szCs w:val="40"/>
        </w:rPr>
        <w:t>攀枝花市市场监督管理</w:t>
      </w:r>
    </w:p>
    <w:p w:rsidR="004B0FC1" w:rsidRDefault="00A976D9">
      <w:pPr>
        <w:pStyle w:val="ab"/>
        <w:spacing w:line="600" w:lineRule="exact"/>
        <w:jc w:val="center"/>
        <w:rPr>
          <w:rFonts w:ascii="Times New Roman" w:eastAsia="方正小标宋简体" w:hAnsi="Times New Roman" w:cs="Times New Roman"/>
          <w:snapToGrid/>
          <w:kern w:val="2"/>
          <w:sz w:val="40"/>
          <w:szCs w:val="40"/>
        </w:rPr>
      </w:pPr>
      <w:r>
        <w:rPr>
          <w:rFonts w:ascii="Times New Roman" w:eastAsia="方正小标宋简体" w:hAnsi="Times New Roman" w:cs="Times New Roman"/>
          <w:snapToGrid/>
          <w:kern w:val="2"/>
          <w:sz w:val="40"/>
          <w:szCs w:val="40"/>
          <w:lang w:val="en-US"/>
        </w:rPr>
        <w:t>2025</w:t>
      </w:r>
      <w:r>
        <w:rPr>
          <w:rFonts w:ascii="Times New Roman" w:eastAsia="方正小标宋简体" w:hAnsi="Times New Roman" w:cs="Times New Roman"/>
          <w:snapToGrid/>
          <w:kern w:val="2"/>
          <w:sz w:val="40"/>
          <w:szCs w:val="40"/>
          <w:lang w:val="en-US"/>
        </w:rPr>
        <w:t>年</w:t>
      </w:r>
      <w:r>
        <w:rPr>
          <w:rFonts w:ascii="Times New Roman" w:eastAsia="方正小标宋简体" w:hAnsi="Times New Roman" w:cs="Times New Roman" w:hint="eastAsia"/>
          <w:snapToGrid/>
          <w:kern w:val="2"/>
          <w:sz w:val="40"/>
          <w:szCs w:val="40"/>
        </w:rPr>
        <w:t>市级食品安全抽检经费</w:t>
      </w:r>
      <w:r>
        <w:rPr>
          <w:rFonts w:ascii="Times New Roman" w:eastAsia="方正小标宋简体" w:hAnsi="Times New Roman" w:cs="Times New Roman"/>
          <w:snapToGrid/>
          <w:kern w:val="2"/>
          <w:sz w:val="40"/>
          <w:szCs w:val="40"/>
        </w:rPr>
        <w:t>专项预算项目支出</w:t>
      </w:r>
    </w:p>
    <w:p w:rsidR="004B0FC1" w:rsidRDefault="00A976D9">
      <w:pPr>
        <w:pStyle w:val="ab"/>
        <w:spacing w:line="600" w:lineRule="exact"/>
        <w:jc w:val="center"/>
        <w:rPr>
          <w:rFonts w:ascii="Times New Roman" w:eastAsia="方正小标宋简体" w:hAnsi="Times New Roman" w:cs="Times New Roman"/>
          <w:snapToGrid/>
          <w:kern w:val="2"/>
          <w:sz w:val="40"/>
          <w:szCs w:val="40"/>
        </w:rPr>
      </w:pPr>
      <w:r>
        <w:rPr>
          <w:rFonts w:ascii="Times New Roman" w:eastAsia="方正小标宋简体" w:hAnsi="Times New Roman" w:cs="Times New Roman"/>
          <w:snapToGrid/>
          <w:kern w:val="2"/>
          <w:sz w:val="40"/>
          <w:szCs w:val="40"/>
        </w:rPr>
        <w:t>绩效自评报告</w:t>
      </w:r>
    </w:p>
    <w:p w:rsidR="004B0FC1" w:rsidRDefault="004B0FC1">
      <w:pPr>
        <w:pStyle w:val="ab"/>
        <w:spacing w:line="600" w:lineRule="exact"/>
        <w:jc w:val="center"/>
        <w:rPr>
          <w:rFonts w:ascii="Times New Roman" w:eastAsia="方正小标宋简体" w:hAnsi="Times New Roman" w:cs="Times New Roman"/>
          <w:snapToGrid/>
          <w:kern w:val="2"/>
          <w:sz w:val="40"/>
          <w:szCs w:val="40"/>
        </w:rPr>
      </w:pPr>
    </w:p>
    <w:p w:rsidR="004B0FC1" w:rsidRDefault="00A976D9">
      <w:pPr>
        <w:widowControl w:val="0"/>
        <w:kinsoku/>
        <w:autoSpaceDE/>
        <w:autoSpaceDN/>
        <w:adjustRightInd/>
        <w:snapToGrid/>
        <w:spacing w:line="578" w:lineRule="exact"/>
        <w:ind w:firstLine="640"/>
        <w:jc w:val="both"/>
        <w:textAlignment w:val="auto"/>
        <w:rPr>
          <w:rFonts w:ascii="黑体" w:eastAsia="黑体" w:hAnsi="黑体" w:cs="黑体"/>
          <w:snapToGrid/>
          <w:sz w:val="32"/>
          <w:szCs w:val="32"/>
          <w:lang w:val="zh-CN" w:eastAsia="zh-CN"/>
        </w:rPr>
      </w:pPr>
      <w:r>
        <w:rPr>
          <w:rFonts w:ascii="黑体" w:eastAsia="黑体" w:hAnsi="黑体" w:cs="黑体" w:hint="eastAsia"/>
          <w:snapToGrid/>
          <w:sz w:val="32"/>
          <w:szCs w:val="32"/>
          <w:lang w:eastAsia="zh-CN"/>
        </w:rPr>
        <w:t>一、</w:t>
      </w:r>
      <w:r>
        <w:rPr>
          <w:rFonts w:ascii="黑体" w:eastAsia="黑体" w:hAnsi="黑体" w:cs="黑体" w:hint="eastAsia"/>
          <w:snapToGrid/>
          <w:sz w:val="32"/>
          <w:szCs w:val="32"/>
          <w:lang w:val="zh-CN" w:eastAsia="zh-CN"/>
        </w:rPr>
        <w:t>项目概况</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（一）项目基本情况。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攀枝花市市场监督管理局担负着全市食品质量安全监管、安全监测的职能。</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食品安全关系人民群众身体健康和生命安全，是重大的民生问题，也是重大的政治问题。食品抽检作为食品安全监管的“技术支撑”和“重要防线”，对防范系统性、区域性食品安全风险具有不可替代的作用。《中华人民共和国食品安全法》第八十七条规定，“县级以上人民政府食品安全监督管理部门应当对食品进行定期或者不定期的抽样检验，并依据有关规定公布检验结果，不得免检”。《中共中央国务院关于深化改革加强食品安全工作的意见》（中办发〔</w:t>
      </w:r>
      <w:r>
        <w:rPr>
          <w:rFonts w:ascii="Times New Roman" w:eastAsia="仿宋_GB2312" w:hAnsi="Times New Roman" w:cs="仿宋_GB2312" w:hint="eastAsia"/>
          <w:snapToGrid/>
          <w:sz w:val="32"/>
          <w:szCs w:val="32"/>
          <w:lang w:val="zh-CN" w:eastAsia="zh-CN"/>
        </w:rPr>
        <w:t>2019</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17</w:t>
      </w:r>
      <w:r>
        <w:rPr>
          <w:rFonts w:ascii="Times New Roman" w:eastAsia="仿宋_GB2312" w:hAnsi="Times New Roman" w:cs="仿宋_GB2312" w:hint="eastAsia"/>
          <w:snapToGrid/>
          <w:sz w:val="32"/>
          <w:szCs w:val="32"/>
          <w:lang w:val="zh-CN" w:eastAsia="zh-CN"/>
        </w:rPr>
        <w:t>号）《</w:t>
      </w:r>
      <w:bookmarkStart w:id="73" w:name="_GoBack"/>
      <w:r>
        <w:rPr>
          <w:rFonts w:ascii="Times New Roman" w:eastAsia="仿宋_GB2312" w:hAnsi="Times New Roman" w:cs="仿宋_GB2312" w:hint="eastAsia"/>
          <w:snapToGrid/>
          <w:sz w:val="32"/>
          <w:szCs w:val="32"/>
          <w:lang w:val="zh-CN" w:eastAsia="zh-CN"/>
        </w:rPr>
        <w:t>四川省“十四五”规划和</w:t>
      </w:r>
      <w:r>
        <w:rPr>
          <w:rFonts w:ascii="Times New Roman" w:eastAsia="仿宋_GB2312" w:hAnsi="Times New Roman" w:cs="仿宋_GB2312" w:hint="eastAsia"/>
          <w:snapToGrid/>
          <w:sz w:val="32"/>
          <w:szCs w:val="32"/>
          <w:lang w:val="zh-CN" w:eastAsia="zh-CN"/>
        </w:rPr>
        <w:t>2035</w:t>
      </w:r>
      <w:r w:rsidR="0066466D">
        <w:rPr>
          <w:rFonts w:ascii="Times New Roman" w:eastAsia="仿宋_GB2312" w:hAnsi="Times New Roman" w:cs="仿宋_GB2312" w:hint="eastAsia"/>
          <w:snapToGrid/>
          <w:sz w:val="32"/>
          <w:szCs w:val="32"/>
          <w:lang w:val="zh-CN" w:eastAsia="zh-CN"/>
        </w:rPr>
        <w:t>年</w:t>
      </w:r>
      <w:r>
        <w:rPr>
          <w:rFonts w:ascii="Times New Roman" w:eastAsia="仿宋_GB2312" w:hAnsi="Times New Roman" w:cs="仿宋_GB2312" w:hint="eastAsia"/>
          <w:snapToGrid/>
          <w:sz w:val="32"/>
          <w:szCs w:val="32"/>
          <w:lang w:val="zh-CN" w:eastAsia="zh-CN"/>
        </w:rPr>
        <w:t>远景目标纲要</w:t>
      </w:r>
      <w:bookmarkEnd w:id="73"/>
      <w:r>
        <w:rPr>
          <w:rFonts w:ascii="Times New Roman" w:eastAsia="仿宋_GB2312" w:hAnsi="Times New Roman" w:cs="仿宋_GB2312" w:hint="eastAsia"/>
          <w:snapToGrid/>
          <w:sz w:val="32"/>
          <w:szCs w:val="32"/>
          <w:lang w:val="zh-CN" w:eastAsia="zh-CN"/>
        </w:rPr>
        <w:t>》等也规定，食品（含食用农产品）抽检量应达到</w:t>
      </w:r>
      <w:r>
        <w:rPr>
          <w:rFonts w:ascii="Times New Roman" w:eastAsia="仿宋_GB2312" w:hAnsi="Times New Roman" w:cs="仿宋_GB2312" w:hint="eastAsia"/>
          <w:snapToGrid/>
          <w:sz w:val="32"/>
          <w:szCs w:val="32"/>
          <w:lang w:val="zh-CN" w:eastAsia="zh-CN"/>
        </w:rPr>
        <w:t>4</w:t>
      </w:r>
      <w:r>
        <w:rPr>
          <w:rFonts w:ascii="Times New Roman" w:eastAsia="仿宋_GB2312" w:hAnsi="Times New Roman" w:cs="仿宋_GB2312" w:hint="eastAsia"/>
          <w:snapToGrid/>
          <w:sz w:val="32"/>
          <w:szCs w:val="32"/>
          <w:lang w:val="zh-CN" w:eastAsia="zh-CN"/>
        </w:rPr>
        <w:t>批次</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千人，实行国家、省、市、县（区）四级联动，经费由各级财政列支，指标完成情况纳入各级食品安全党政同责考核。</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3.</w:t>
      </w:r>
      <w:r>
        <w:rPr>
          <w:rFonts w:ascii="Times New Roman" w:eastAsia="仿宋_GB2312" w:hAnsi="Times New Roman" w:cs="仿宋_GB2312" w:hint="eastAsia"/>
          <w:snapToGrid/>
          <w:sz w:val="32"/>
          <w:szCs w:val="32"/>
          <w:lang w:val="zh-CN" w:eastAsia="zh-CN"/>
        </w:rPr>
        <w:t>资金管理办法制定情况，资金支持具体项目的条件、范围与支持方式概况。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按照专项资金管理办法，建立专账，专款专用。</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eastAsia="zh-CN"/>
        </w:rPr>
        <w:t>4.</w:t>
      </w:r>
      <w:r>
        <w:rPr>
          <w:rFonts w:ascii="Times New Roman" w:eastAsia="仿宋_GB2312" w:hAnsi="Times New Roman" w:cs="仿宋_GB2312" w:hint="eastAsia"/>
          <w:snapToGrid/>
          <w:sz w:val="32"/>
          <w:szCs w:val="32"/>
          <w:lang w:val="zh-CN" w:eastAsia="zh-CN"/>
        </w:rPr>
        <w:t>资金分配的原则及考虑因素。</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lastRenderedPageBreak/>
        <w:t>无。</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（二）项目绩效目标。</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按照《</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年攀枝花市食品安全抽检工作实施方案》的要求，开展</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年市级食品监督抽检工作。</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在</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年完成覆盖全市的共计</w:t>
      </w:r>
      <w:r>
        <w:rPr>
          <w:rFonts w:ascii="Times New Roman" w:eastAsia="仿宋_GB2312" w:hAnsi="Times New Roman" w:cs="仿宋_GB2312" w:hint="eastAsia"/>
          <w:snapToGrid/>
          <w:sz w:val="32"/>
          <w:szCs w:val="32"/>
          <w:lang w:val="zh-CN" w:eastAsia="zh-CN"/>
        </w:rPr>
        <w:t>200</w:t>
      </w:r>
      <w:r>
        <w:rPr>
          <w:rFonts w:ascii="Times New Roman" w:eastAsia="仿宋_GB2312" w:hAnsi="Times New Roman" w:cs="仿宋_GB2312" w:hint="eastAsia"/>
          <w:snapToGrid/>
          <w:sz w:val="32"/>
          <w:szCs w:val="32"/>
          <w:lang w:val="zh-CN" w:eastAsia="zh-CN"/>
        </w:rPr>
        <w:t>批次食品监督抽抽检。</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3.</w:t>
      </w:r>
      <w:r>
        <w:rPr>
          <w:rFonts w:ascii="Times New Roman" w:eastAsia="仿宋_GB2312" w:hAnsi="Times New Roman" w:cs="仿宋_GB2312" w:hint="eastAsia"/>
          <w:snapToGrid/>
          <w:sz w:val="32"/>
          <w:szCs w:val="32"/>
          <w:lang w:val="zh-CN" w:eastAsia="zh-CN"/>
        </w:rPr>
        <w:t>食品抽检是食品监管的技术支撑，市级抽检扩大了抽检区域，涵盖了重点业态，重点区域，重点品种，申报目标合理可行。</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（三）项目自评步骤及方法。</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该项目绩效自评采用的组织实施步骤及方法。</w:t>
      </w:r>
    </w:p>
    <w:p w:rsidR="004B0FC1" w:rsidRDefault="00A976D9">
      <w:pPr>
        <w:widowControl w:val="0"/>
        <w:kinsoku/>
        <w:autoSpaceDE/>
        <w:autoSpaceDN/>
        <w:adjustRightInd/>
        <w:snapToGrid/>
        <w:spacing w:line="578" w:lineRule="exact"/>
        <w:ind w:firstLine="640"/>
        <w:jc w:val="both"/>
        <w:textAlignment w:val="auto"/>
        <w:rPr>
          <w:rFonts w:ascii="黑体" w:eastAsia="黑体" w:hAnsi="黑体" w:cs="黑体"/>
          <w:snapToGrid/>
          <w:sz w:val="32"/>
          <w:szCs w:val="32"/>
          <w:lang w:eastAsia="zh-CN"/>
        </w:rPr>
      </w:pPr>
      <w:r>
        <w:rPr>
          <w:rFonts w:ascii="黑体" w:eastAsia="黑体" w:hAnsi="黑体" w:cs="黑体" w:hint="eastAsia"/>
          <w:snapToGrid/>
          <w:sz w:val="32"/>
          <w:szCs w:val="32"/>
          <w:lang w:eastAsia="zh-CN"/>
        </w:rPr>
        <w:t>二、项目资金申报及使用情况</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（一）项目资金申报及批复情况。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市局根据抽检批次，拨付</w:t>
      </w:r>
      <w:r>
        <w:rPr>
          <w:rFonts w:ascii="Times New Roman" w:eastAsia="仿宋_GB2312" w:hAnsi="Times New Roman" w:cs="仿宋_GB2312" w:hint="eastAsia"/>
          <w:snapToGrid/>
          <w:sz w:val="32"/>
          <w:szCs w:val="32"/>
          <w:lang w:val="zh-CN" w:eastAsia="zh-CN"/>
        </w:rPr>
        <w:t>20</w:t>
      </w:r>
      <w:r>
        <w:rPr>
          <w:rFonts w:ascii="Times New Roman" w:eastAsia="仿宋_GB2312" w:hAnsi="Times New Roman" w:cs="仿宋_GB2312" w:hint="eastAsia"/>
          <w:snapToGrid/>
          <w:sz w:val="32"/>
          <w:szCs w:val="32"/>
          <w:lang w:val="zh-CN" w:eastAsia="zh-CN"/>
        </w:rPr>
        <w:t>万元抽检经费。</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（二）资金计划、到位及使用情况（可用表格形式反映）。</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资金计划。该项目资金由市财政拨付，资金到位</w:t>
      </w:r>
      <w:r>
        <w:rPr>
          <w:rFonts w:ascii="Times New Roman" w:eastAsia="仿宋_GB2312" w:hAnsi="Times New Roman" w:cs="仿宋_GB2312" w:hint="eastAsia"/>
          <w:snapToGrid/>
          <w:sz w:val="32"/>
          <w:szCs w:val="32"/>
          <w:lang w:val="zh-CN" w:eastAsia="zh-CN"/>
        </w:rPr>
        <w:t>20</w:t>
      </w:r>
      <w:r>
        <w:rPr>
          <w:rFonts w:ascii="Times New Roman" w:eastAsia="仿宋_GB2312" w:hAnsi="Times New Roman" w:cs="仿宋_GB2312" w:hint="eastAsia"/>
          <w:snapToGrid/>
          <w:sz w:val="32"/>
          <w:szCs w:val="32"/>
          <w:lang w:val="zh-CN" w:eastAsia="zh-CN"/>
        </w:rPr>
        <w:t>万元，完成支付</w:t>
      </w:r>
      <w:r>
        <w:rPr>
          <w:rFonts w:ascii="Times New Roman" w:eastAsia="仿宋_GB2312" w:hAnsi="Times New Roman" w:cs="仿宋_GB2312" w:hint="eastAsia"/>
          <w:snapToGrid/>
          <w:sz w:val="32"/>
          <w:szCs w:val="32"/>
          <w:lang w:val="zh-CN" w:eastAsia="zh-CN"/>
        </w:rPr>
        <w:t>20</w:t>
      </w:r>
      <w:r>
        <w:rPr>
          <w:rFonts w:ascii="Times New Roman" w:eastAsia="仿宋_GB2312" w:hAnsi="Times New Roman" w:cs="仿宋_GB2312" w:hint="eastAsia"/>
          <w:snapToGrid/>
          <w:sz w:val="32"/>
          <w:szCs w:val="32"/>
          <w:lang w:val="zh-CN" w:eastAsia="zh-CN"/>
        </w:rPr>
        <w:t>万元。</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资金到位。资金到位情况与资金计划进行比对，资金到位率</w:t>
      </w:r>
      <w:r>
        <w:rPr>
          <w:rFonts w:ascii="Times New Roman" w:eastAsia="仿宋_GB2312" w:hAnsi="Times New Roman" w:cs="仿宋_GB2312" w:hint="eastAsia"/>
          <w:snapToGrid/>
          <w:sz w:val="32"/>
          <w:szCs w:val="32"/>
          <w:lang w:val="zh-CN" w:eastAsia="zh-CN"/>
        </w:rPr>
        <w:t>100%</w:t>
      </w:r>
      <w:r>
        <w:rPr>
          <w:rFonts w:ascii="Times New Roman" w:eastAsia="仿宋_GB2312" w:hAnsi="Times New Roman" w:cs="仿宋_GB2312" w:hint="eastAsia"/>
          <w:snapToGrid/>
          <w:sz w:val="32"/>
          <w:szCs w:val="32"/>
          <w:lang w:val="zh-CN" w:eastAsia="zh-CN"/>
        </w:rPr>
        <w:t>。</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3.</w:t>
      </w:r>
      <w:r>
        <w:rPr>
          <w:rFonts w:ascii="Times New Roman" w:eastAsia="仿宋_GB2312" w:hAnsi="Times New Roman" w:cs="仿宋_GB2312" w:hint="eastAsia"/>
          <w:snapToGrid/>
          <w:sz w:val="32"/>
          <w:szCs w:val="32"/>
          <w:lang w:val="zh-CN" w:eastAsia="zh-CN"/>
        </w:rPr>
        <w:t>资金使用。资金使用的安全性、规范性及有效性都是按照项目要求进行，资金支付范围、支付标准、支付进度、支付依据等是合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合法、并与预算相符。</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（三）项目财务管理情况。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单位财务管理制度是健全，严格执行财务管理制度，账务处理及时，会计核算规范。</w:t>
      </w:r>
    </w:p>
    <w:p w:rsidR="004B0FC1" w:rsidRDefault="00A976D9">
      <w:pPr>
        <w:widowControl w:val="0"/>
        <w:kinsoku/>
        <w:autoSpaceDE/>
        <w:autoSpaceDN/>
        <w:adjustRightInd/>
        <w:snapToGrid/>
        <w:spacing w:line="578" w:lineRule="exact"/>
        <w:ind w:firstLine="640"/>
        <w:jc w:val="both"/>
        <w:textAlignment w:val="auto"/>
        <w:rPr>
          <w:rFonts w:ascii="黑体" w:eastAsia="黑体" w:hAnsi="黑体" w:cs="黑体"/>
          <w:snapToGrid/>
          <w:sz w:val="32"/>
          <w:szCs w:val="32"/>
          <w:lang w:val="zh-CN" w:eastAsia="zh-CN"/>
        </w:rPr>
      </w:pPr>
      <w:r>
        <w:rPr>
          <w:rFonts w:ascii="黑体" w:eastAsia="黑体" w:hAnsi="黑体" w:cs="黑体" w:hint="eastAsia"/>
          <w:snapToGrid/>
          <w:sz w:val="32"/>
          <w:szCs w:val="32"/>
          <w:lang w:eastAsia="zh-CN"/>
        </w:rPr>
        <w:t>三、项目实施及管理情况</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lastRenderedPageBreak/>
        <w:t>（一）项目组织架构及实施流程。</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年完成覆盖全市的共计</w:t>
      </w:r>
      <w:r>
        <w:rPr>
          <w:rFonts w:ascii="Times New Roman" w:eastAsia="仿宋_GB2312" w:hAnsi="Times New Roman" w:cs="仿宋_GB2312" w:hint="eastAsia"/>
          <w:snapToGrid/>
          <w:sz w:val="32"/>
          <w:szCs w:val="32"/>
          <w:lang w:val="zh-CN" w:eastAsia="zh-CN"/>
        </w:rPr>
        <w:t>200</w:t>
      </w:r>
      <w:r>
        <w:rPr>
          <w:rFonts w:ascii="Times New Roman" w:eastAsia="仿宋_GB2312" w:hAnsi="Times New Roman" w:cs="仿宋_GB2312" w:hint="eastAsia"/>
          <w:snapToGrid/>
          <w:sz w:val="32"/>
          <w:szCs w:val="32"/>
          <w:lang w:val="zh-CN" w:eastAsia="zh-CN"/>
        </w:rPr>
        <w:t>批次食品监督抽检工作。</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（二）项目管理情况。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项目制度办法体系健全、要素完备，项目资金分配因素选取、权重设置、区域分布，项目管理、审批都符合管理要求。项目绩效监管是按要求开展，上级对下指导有力有效。</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（三）项目监管情况。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按照市局下达抽检任务开展抽检相关工作。</w:t>
      </w:r>
    </w:p>
    <w:p w:rsidR="004B0FC1" w:rsidRDefault="00A976D9">
      <w:pPr>
        <w:widowControl w:val="0"/>
        <w:kinsoku/>
        <w:autoSpaceDE/>
        <w:autoSpaceDN/>
        <w:adjustRightInd/>
        <w:snapToGrid/>
        <w:spacing w:line="578" w:lineRule="exact"/>
        <w:ind w:firstLine="640"/>
        <w:jc w:val="both"/>
        <w:textAlignment w:val="auto"/>
        <w:rPr>
          <w:rFonts w:ascii="黑体" w:eastAsia="黑体" w:hAnsi="黑体" w:cs="黑体"/>
          <w:snapToGrid/>
          <w:sz w:val="32"/>
          <w:szCs w:val="32"/>
          <w:lang w:val="zh-CN" w:eastAsia="zh-CN"/>
        </w:rPr>
      </w:pPr>
      <w:r>
        <w:rPr>
          <w:rFonts w:ascii="黑体" w:eastAsia="黑体" w:hAnsi="黑体" w:cs="黑体" w:hint="eastAsia"/>
          <w:snapToGrid/>
          <w:sz w:val="32"/>
          <w:szCs w:val="32"/>
          <w:lang w:eastAsia="zh-CN"/>
        </w:rPr>
        <w:t>四、项目绩效情况</w:t>
      </w:r>
      <w:r>
        <w:rPr>
          <w:rFonts w:ascii="黑体" w:eastAsia="黑体" w:hAnsi="黑体" w:cs="黑体" w:hint="eastAsia"/>
          <w:snapToGrid/>
          <w:sz w:val="32"/>
          <w:szCs w:val="32"/>
          <w:lang w:val="zh-CN" w:eastAsia="zh-CN"/>
        </w:rPr>
        <w:tab/>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（一）项目完成情况。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年按期完成市级食品抽检共计</w:t>
      </w:r>
      <w:r>
        <w:rPr>
          <w:rFonts w:ascii="Times New Roman" w:eastAsia="仿宋_GB2312" w:hAnsi="Times New Roman" w:cs="仿宋_GB2312" w:hint="eastAsia"/>
          <w:snapToGrid/>
          <w:sz w:val="32"/>
          <w:szCs w:val="32"/>
          <w:lang w:val="zh-CN" w:eastAsia="zh-CN"/>
        </w:rPr>
        <w:t>200</w:t>
      </w:r>
      <w:r>
        <w:rPr>
          <w:rFonts w:ascii="Times New Roman" w:eastAsia="仿宋_GB2312" w:hAnsi="Times New Roman" w:cs="仿宋_GB2312" w:hint="eastAsia"/>
          <w:snapToGrid/>
          <w:sz w:val="32"/>
          <w:szCs w:val="32"/>
          <w:lang w:val="zh-CN" w:eastAsia="zh-CN"/>
        </w:rPr>
        <w:t>批次，合格</w:t>
      </w:r>
      <w:r>
        <w:rPr>
          <w:rFonts w:ascii="Times New Roman" w:eastAsia="仿宋_GB2312" w:hAnsi="Times New Roman" w:cs="仿宋_GB2312" w:hint="eastAsia"/>
          <w:snapToGrid/>
          <w:sz w:val="32"/>
          <w:szCs w:val="32"/>
          <w:lang w:val="zh-CN" w:eastAsia="zh-CN"/>
        </w:rPr>
        <w:t>200</w:t>
      </w:r>
      <w:r>
        <w:rPr>
          <w:rFonts w:ascii="Times New Roman" w:eastAsia="仿宋_GB2312" w:hAnsi="Times New Roman" w:cs="仿宋_GB2312" w:hint="eastAsia"/>
          <w:snapToGrid/>
          <w:sz w:val="32"/>
          <w:szCs w:val="32"/>
          <w:lang w:val="zh-CN" w:eastAsia="zh-CN"/>
        </w:rPr>
        <w:t>批次，合格率</w:t>
      </w:r>
      <w:r>
        <w:rPr>
          <w:rFonts w:ascii="Times New Roman" w:eastAsia="仿宋_GB2312" w:hAnsi="Times New Roman" w:cs="仿宋_GB2312" w:hint="eastAsia"/>
          <w:snapToGrid/>
          <w:sz w:val="32"/>
          <w:szCs w:val="32"/>
          <w:lang w:val="zh-CN" w:eastAsia="zh-CN"/>
        </w:rPr>
        <w:t>100%</w:t>
      </w:r>
      <w:r>
        <w:rPr>
          <w:rFonts w:ascii="Times New Roman" w:eastAsia="仿宋_GB2312" w:hAnsi="Times New Roman" w:cs="仿宋_GB2312" w:hint="eastAsia"/>
          <w:snapToGrid/>
          <w:sz w:val="32"/>
          <w:szCs w:val="32"/>
          <w:lang w:val="zh-CN" w:eastAsia="zh-CN"/>
        </w:rPr>
        <w:t>。</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（二）项目效益情况。</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年度，通过市级食品监督抽检为攀枝花食品安全监管提供了较好的保障，公众对食品安全的总体满意度持续增加。</w:t>
      </w:r>
    </w:p>
    <w:p w:rsidR="004B0FC1" w:rsidRDefault="00A976D9">
      <w:pPr>
        <w:widowControl w:val="0"/>
        <w:kinsoku/>
        <w:autoSpaceDE/>
        <w:autoSpaceDN/>
        <w:adjustRightInd/>
        <w:snapToGrid/>
        <w:spacing w:line="578" w:lineRule="exact"/>
        <w:ind w:firstLine="640"/>
        <w:jc w:val="both"/>
        <w:textAlignment w:val="auto"/>
        <w:rPr>
          <w:rFonts w:ascii="黑体" w:eastAsia="黑体" w:hAnsi="黑体" w:cs="黑体"/>
          <w:snapToGrid/>
          <w:sz w:val="32"/>
          <w:szCs w:val="32"/>
          <w:lang w:eastAsia="zh-CN"/>
        </w:rPr>
      </w:pPr>
      <w:r>
        <w:rPr>
          <w:rFonts w:ascii="黑体" w:eastAsia="黑体" w:hAnsi="黑体" w:cs="黑体" w:hint="eastAsia"/>
          <w:snapToGrid/>
          <w:sz w:val="32"/>
          <w:szCs w:val="32"/>
          <w:lang w:eastAsia="zh-CN"/>
        </w:rPr>
        <w:t>五、评价结论及建议</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（一）评价结论。</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2025</w:t>
      </w:r>
      <w:r>
        <w:rPr>
          <w:rFonts w:ascii="Times New Roman" w:eastAsia="仿宋_GB2312" w:hAnsi="Times New Roman" w:cs="Times New Roman" w:hint="eastAsia"/>
          <w:snapToGrid/>
          <w:kern w:val="2"/>
          <w:sz w:val="32"/>
          <w:szCs w:val="32"/>
          <w:lang w:val="zh-CN" w:eastAsia="zh-CN"/>
        </w:rPr>
        <w:t>年完成该项目抽检工作，预算资金</w:t>
      </w:r>
      <w:r>
        <w:rPr>
          <w:rFonts w:ascii="Times New Roman" w:eastAsia="仿宋_GB2312" w:hAnsi="Times New Roman" w:cs="Times New Roman" w:hint="eastAsia"/>
          <w:snapToGrid/>
          <w:kern w:val="2"/>
          <w:sz w:val="32"/>
          <w:szCs w:val="32"/>
          <w:lang w:val="zh-CN" w:eastAsia="zh-CN"/>
        </w:rPr>
        <w:t>20</w:t>
      </w:r>
      <w:r>
        <w:rPr>
          <w:rFonts w:ascii="Times New Roman" w:eastAsia="仿宋_GB2312" w:hAnsi="Times New Roman" w:cs="Times New Roman" w:hint="eastAsia"/>
          <w:snapToGrid/>
          <w:kern w:val="2"/>
          <w:sz w:val="32"/>
          <w:szCs w:val="32"/>
          <w:lang w:val="zh-CN" w:eastAsia="zh-CN"/>
        </w:rPr>
        <w:t>万元全部支付，项目完成及支付率</w:t>
      </w:r>
      <w:r>
        <w:rPr>
          <w:rFonts w:ascii="Times New Roman" w:eastAsia="仿宋_GB2312" w:hAnsi="Times New Roman" w:cs="Times New Roman" w:hint="eastAsia"/>
          <w:snapToGrid/>
          <w:kern w:val="2"/>
          <w:sz w:val="32"/>
          <w:szCs w:val="32"/>
          <w:lang w:val="zh-CN" w:eastAsia="zh-CN"/>
        </w:rPr>
        <w:t>100%</w:t>
      </w:r>
      <w:r>
        <w:rPr>
          <w:rFonts w:ascii="Times New Roman" w:eastAsia="仿宋_GB2312" w:hAnsi="Times New Roman" w:cs="Times New Roman" w:hint="eastAsia"/>
          <w:snapToGrid/>
          <w:kern w:val="2"/>
          <w:sz w:val="32"/>
          <w:szCs w:val="32"/>
          <w:lang w:val="zh-CN" w:eastAsia="zh-CN"/>
        </w:rPr>
        <w:t>。</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（二）存在的问题。</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Times New Roman" w:hint="eastAsia"/>
          <w:snapToGrid/>
          <w:kern w:val="2"/>
          <w:sz w:val="32"/>
          <w:szCs w:val="32"/>
          <w:lang w:val="zh-CN" w:eastAsia="zh-CN"/>
        </w:rPr>
        <w:t>无。</w:t>
      </w:r>
      <w:r>
        <w:rPr>
          <w:rFonts w:ascii="Times New Roman" w:eastAsia="仿宋_GB2312" w:hAnsi="Times New Roman" w:cs="Times New Roman" w:hint="eastAsia"/>
          <w:snapToGrid/>
          <w:kern w:val="2"/>
          <w:sz w:val="32"/>
          <w:szCs w:val="32"/>
          <w:lang w:val="zh-CN" w:eastAsia="zh-CN"/>
        </w:rPr>
        <w:tab/>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（三）相关建议。</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sectPr w:rsidR="004B0FC1">
          <w:headerReference w:type="default" r:id="rId24"/>
          <w:footerReference w:type="default" r:id="rId25"/>
          <w:pgSz w:w="11906" w:h="16838"/>
          <w:pgMar w:top="400" w:right="1386" w:bottom="1435" w:left="1598" w:header="0" w:footer="1159" w:gutter="0"/>
          <w:cols w:space="720"/>
        </w:sectPr>
      </w:pPr>
      <w:r>
        <w:rPr>
          <w:rFonts w:ascii="Times New Roman" w:eastAsia="仿宋_GB2312" w:hAnsi="Times New Roman" w:cs="Times New Roman" w:hint="eastAsia"/>
          <w:snapToGrid/>
          <w:kern w:val="2"/>
          <w:sz w:val="32"/>
          <w:szCs w:val="32"/>
          <w:lang w:val="zh-CN" w:eastAsia="zh-CN"/>
        </w:rPr>
        <w:t>无。</w:t>
      </w:r>
    </w:p>
    <w:p w:rsidR="004B0FC1" w:rsidRDefault="004B0FC1">
      <w:pPr>
        <w:pStyle w:val="a0"/>
        <w:rPr>
          <w:lang w:val="zh-CN" w:eastAsia="zh-CN"/>
        </w:rPr>
      </w:pPr>
    </w:p>
    <w:p w:rsidR="004B0FC1" w:rsidRDefault="00A976D9">
      <w:pPr>
        <w:pStyle w:val="a5"/>
        <w:spacing w:before="93"/>
        <w:rPr>
          <w:rFonts w:ascii="Times New Roman" w:eastAsia="黑体" w:cs="黑体"/>
          <w:sz w:val="32"/>
          <w:szCs w:val="32"/>
          <w:shd w:val="clear" w:color="auto" w:fill="FFFFFF"/>
          <w:lang w:eastAsia="zh-CN"/>
        </w:rPr>
      </w:pPr>
      <w:r>
        <w:rPr>
          <w:rFonts w:ascii="Times New Roman" w:eastAsia="黑体" w:cs="黑体" w:hint="eastAsia"/>
          <w:sz w:val="32"/>
          <w:szCs w:val="32"/>
          <w:shd w:val="clear" w:color="auto" w:fill="FFFFFF"/>
          <w:lang w:val="zh-CN" w:eastAsia="zh-CN"/>
        </w:rPr>
        <w:t>附件</w:t>
      </w:r>
      <w:r>
        <w:rPr>
          <w:rFonts w:ascii="Times New Roman" w:eastAsia="黑体" w:cs="黑体" w:hint="eastAsia"/>
          <w:sz w:val="32"/>
          <w:szCs w:val="32"/>
          <w:shd w:val="clear" w:color="auto" w:fill="FFFFFF"/>
          <w:lang w:eastAsia="zh-CN"/>
        </w:rPr>
        <w:t>2-10</w:t>
      </w:r>
    </w:p>
    <w:p w:rsidR="004B0FC1" w:rsidRDefault="004B0FC1">
      <w:pPr>
        <w:pStyle w:val="a5"/>
        <w:spacing w:before="93"/>
        <w:rPr>
          <w:rFonts w:ascii="Times New Roman" w:eastAsia="黑体" w:cs="黑体"/>
          <w:sz w:val="32"/>
          <w:szCs w:val="32"/>
          <w:shd w:val="clear" w:color="auto" w:fill="FFFFFF"/>
          <w:lang w:eastAsia="zh-CN"/>
        </w:rPr>
      </w:pPr>
    </w:p>
    <w:p w:rsidR="004B0FC1" w:rsidRDefault="00A976D9">
      <w:pPr>
        <w:pStyle w:val="ab"/>
        <w:spacing w:line="600" w:lineRule="exact"/>
        <w:jc w:val="center"/>
        <w:rPr>
          <w:rFonts w:ascii="Times New Roman" w:eastAsia="方正小标宋简体" w:hAnsi="Times New Roman" w:cs="Times New Roman"/>
          <w:snapToGrid/>
          <w:kern w:val="2"/>
          <w:sz w:val="40"/>
          <w:szCs w:val="40"/>
        </w:rPr>
      </w:pPr>
      <w:r>
        <w:rPr>
          <w:rFonts w:ascii="Times New Roman" w:eastAsia="方正小标宋简体" w:hAnsi="Times New Roman" w:cs="Times New Roman"/>
          <w:snapToGrid/>
          <w:kern w:val="2"/>
          <w:sz w:val="40"/>
          <w:szCs w:val="40"/>
        </w:rPr>
        <w:t>攀枝花市市场监督管理</w:t>
      </w:r>
    </w:p>
    <w:p w:rsidR="004B0FC1" w:rsidRDefault="00A976D9">
      <w:pPr>
        <w:pStyle w:val="ab"/>
        <w:spacing w:line="600" w:lineRule="exact"/>
        <w:jc w:val="center"/>
        <w:rPr>
          <w:rFonts w:ascii="Times New Roman" w:eastAsia="方正小标宋简体" w:hAnsi="Times New Roman" w:cs="Times New Roman"/>
          <w:snapToGrid/>
          <w:kern w:val="2"/>
          <w:sz w:val="40"/>
          <w:szCs w:val="40"/>
        </w:rPr>
      </w:pPr>
      <w:r>
        <w:rPr>
          <w:rFonts w:ascii="Times New Roman" w:eastAsia="方正小标宋简体" w:hAnsi="Times New Roman" w:cs="Times New Roman"/>
          <w:snapToGrid/>
          <w:kern w:val="2"/>
          <w:sz w:val="40"/>
          <w:szCs w:val="40"/>
          <w:lang w:val="en-US"/>
        </w:rPr>
        <w:t>2025</w:t>
      </w:r>
      <w:r>
        <w:rPr>
          <w:rFonts w:ascii="Times New Roman" w:eastAsia="方正小标宋简体" w:hAnsi="Times New Roman" w:cs="Times New Roman"/>
          <w:snapToGrid/>
          <w:kern w:val="2"/>
          <w:sz w:val="40"/>
          <w:szCs w:val="40"/>
          <w:lang w:val="en-US"/>
        </w:rPr>
        <w:t>年</w:t>
      </w:r>
      <w:r>
        <w:rPr>
          <w:rFonts w:ascii="Times New Roman" w:eastAsia="方正小标宋简体" w:hAnsi="Times New Roman" w:cs="Times New Roman" w:hint="eastAsia"/>
          <w:snapToGrid/>
          <w:kern w:val="2"/>
          <w:sz w:val="40"/>
          <w:szCs w:val="40"/>
        </w:rPr>
        <w:t>中国钒钛论坛暨钒钛资源综合利用战略</w:t>
      </w:r>
    </w:p>
    <w:p w:rsidR="004B0FC1" w:rsidRDefault="00A976D9">
      <w:pPr>
        <w:pStyle w:val="ab"/>
        <w:spacing w:line="600" w:lineRule="exact"/>
        <w:jc w:val="center"/>
        <w:rPr>
          <w:rFonts w:ascii="Times New Roman" w:eastAsia="方正小标宋简体" w:hAnsi="Times New Roman" w:cs="Times New Roman"/>
          <w:snapToGrid/>
          <w:kern w:val="2"/>
          <w:sz w:val="40"/>
          <w:szCs w:val="40"/>
        </w:rPr>
      </w:pPr>
      <w:r>
        <w:rPr>
          <w:rFonts w:ascii="Times New Roman" w:eastAsia="方正小标宋简体" w:hAnsi="Times New Roman" w:cs="Times New Roman" w:hint="eastAsia"/>
          <w:snapToGrid/>
          <w:kern w:val="2"/>
          <w:sz w:val="40"/>
          <w:szCs w:val="40"/>
        </w:rPr>
        <w:t>研讨会专项</w:t>
      </w:r>
      <w:r>
        <w:rPr>
          <w:rFonts w:ascii="Times New Roman" w:eastAsia="方正小标宋简体" w:hAnsi="Times New Roman" w:cs="Times New Roman"/>
          <w:snapToGrid/>
          <w:kern w:val="2"/>
          <w:sz w:val="40"/>
          <w:szCs w:val="40"/>
        </w:rPr>
        <w:t>预算项目支出绩效自评报告</w:t>
      </w:r>
    </w:p>
    <w:p w:rsidR="004B0FC1" w:rsidRDefault="004B0FC1">
      <w:pPr>
        <w:pStyle w:val="ab"/>
        <w:spacing w:line="600" w:lineRule="exact"/>
        <w:jc w:val="both"/>
        <w:rPr>
          <w:rFonts w:ascii="Times New Roman" w:eastAsia="方正小标宋简体" w:hAnsi="Times New Roman" w:cs="Times New Roman"/>
          <w:snapToGrid/>
          <w:kern w:val="2"/>
          <w:sz w:val="40"/>
          <w:szCs w:val="40"/>
        </w:rPr>
      </w:pPr>
    </w:p>
    <w:p w:rsidR="004B0FC1" w:rsidRDefault="00A976D9">
      <w:pPr>
        <w:widowControl w:val="0"/>
        <w:kinsoku/>
        <w:autoSpaceDE/>
        <w:autoSpaceDN/>
        <w:spacing w:line="578" w:lineRule="exact"/>
        <w:ind w:firstLineChars="200" w:firstLine="640"/>
        <w:jc w:val="both"/>
        <w:textAlignment w:val="auto"/>
        <w:rPr>
          <w:rFonts w:ascii="Times New Roman" w:eastAsia="黑体" w:hAnsi="Times New Roman" w:cs="Times New Roman"/>
          <w:snapToGrid/>
          <w:color w:val="auto"/>
          <w:kern w:val="2"/>
          <w:sz w:val="32"/>
          <w:szCs w:val="32"/>
          <w:lang w:val="zh-CN" w:eastAsia="zh-CN"/>
        </w:rPr>
      </w:pPr>
      <w:r>
        <w:rPr>
          <w:rFonts w:ascii="Times New Roman" w:eastAsia="黑体" w:hAnsi="Times New Roman" w:cs="Times New Roman" w:hint="eastAsia"/>
          <w:snapToGrid/>
          <w:color w:val="auto"/>
          <w:kern w:val="2"/>
          <w:sz w:val="32"/>
          <w:szCs w:val="32"/>
          <w:lang w:val="zh-CN" w:eastAsia="zh-CN"/>
        </w:rPr>
        <w:t>一、项目概况</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（一）项目基本情况。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攀西钒钛检验检验院承担全国钒钛磁铁矿综合利用标准化委员会秘书处日常工作，组织和制（修）</w:t>
      </w:r>
      <w:proofErr w:type="gramStart"/>
      <w:r>
        <w:rPr>
          <w:rFonts w:ascii="Times New Roman" w:eastAsia="仿宋_GB2312" w:hAnsi="Times New Roman" w:cs="仿宋_GB2312" w:hint="eastAsia"/>
          <w:snapToGrid/>
          <w:sz w:val="32"/>
          <w:szCs w:val="32"/>
          <w:lang w:val="zh-CN" w:eastAsia="zh-CN"/>
        </w:rPr>
        <w:t>订相关</w:t>
      </w:r>
      <w:proofErr w:type="gramEnd"/>
      <w:r>
        <w:rPr>
          <w:rFonts w:ascii="Times New Roman" w:eastAsia="仿宋_GB2312" w:hAnsi="Times New Roman" w:cs="仿宋_GB2312" w:hint="eastAsia"/>
          <w:snapToGrid/>
          <w:sz w:val="32"/>
          <w:szCs w:val="32"/>
          <w:lang w:val="zh-CN" w:eastAsia="zh-CN"/>
        </w:rPr>
        <w:t>标准；组织钒钛领域学术交流、标准宣贯，开展钒钛领域检测方法研究和仪器设备研发的职能。</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本项目的主要内容是为贯彻党的二十大精神和省委十二届二次全会精神，全面落</w:t>
      </w:r>
      <w:proofErr w:type="gramStart"/>
      <w:r>
        <w:rPr>
          <w:rFonts w:ascii="Times New Roman" w:eastAsia="仿宋_GB2312" w:hAnsi="Times New Roman" w:cs="仿宋_GB2312" w:hint="eastAsia"/>
          <w:snapToGrid/>
          <w:sz w:val="32"/>
          <w:szCs w:val="32"/>
          <w:lang w:val="zh-CN" w:eastAsia="zh-CN"/>
        </w:rPr>
        <w:t>实习近</w:t>
      </w:r>
      <w:proofErr w:type="gramEnd"/>
      <w:r>
        <w:rPr>
          <w:rFonts w:ascii="Times New Roman" w:eastAsia="仿宋_GB2312" w:hAnsi="Times New Roman" w:cs="仿宋_GB2312" w:hint="eastAsia"/>
          <w:snapToGrid/>
          <w:sz w:val="32"/>
          <w:szCs w:val="32"/>
          <w:lang w:val="zh-CN" w:eastAsia="zh-CN"/>
        </w:rPr>
        <w:t>平总书记来川视察重要指示精神，推进攀西战略资源创新开发试验区建设，强化战略性矿产资源生产供应，打造保障国家重要初级产品供给战略基地，助力四川打造有特色的优势产业，推动攀枝花市钒钛产业高质量发展，建设世界级钒钛钢铁产业基地，做</w:t>
      </w:r>
      <w:proofErr w:type="gramStart"/>
      <w:r>
        <w:rPr>
          <w:rFonts w:ascii="Times New Roman" w:eastAsia="仿宋_GB2312" w:hAnsi="Times New Roman" w:cs="仿宋_GB2312" w:hint="eastAsia"/>
          <w:snapToGrid/>
          <w:sz w:val="32"/>
          <w:szCs w:val="32"/>
          <w:lang w:val="zh-CN" w:eastAsia="zh-CN"/>
        </w:rPr>
        <w:t>强做</w:t>
      </w:r>
      <w:proofErr w:type="gramEnd"/>
      <w:r>
        <w:rPr>
          <w:rFonts w:ascii="Times New Roman" w:eastAsia="仿宋_GB2312" w:hAnsi="Times New Roman" w:cs="仿宋_GB2312" w:hint="eastAsia"/>
          <w:snapToGrid/>
          <w:sz w:val="32"/>
          <w:szCs w:val="32"/>
          <w:lang w:val="zh-CN" w:eastAsia="zh-CN"/>
        </w:rPr>
        <w:t>大“中国钒钛之都”品牌，提升攀枝花在世界钒钛领域的竞争力和影响力。按照市委、市政府主要领导批示，</w:t>
      </w:r>
      <w:r>
        <w:rPr>
          <w:rFonts w:ascii="Times New Roman" w:eastAsia="仿宋_GB2312" w:hAnsi="Times New Roman" w:cs="仿宋_GB2312" w:hint="eastAsia"/>
          <w:snapToGrid/>
          <w:sz w:val="32"/>
          <w:szCs w:val="32"/>
          <w:lang w:val="zh-CN" w:eastAsia="zh-CN"/>
        </w:rPr>
        <w:t>2023</w:t>
      </w:r>
      <w:r>
        <w:rPr>
          <w:rFonts w:ascii="Times New Roman" w:eastAsia="仿宋_GB2312" w:hAnsi="Times New Roman" w:cs="仿宋_GB2312" w:hint="eastAsia"/>
          <w:snapToGrid/>
          <w:sz w:val="32"/>
          <w:szCs w:val="32"/>
          <w:lang w:val="zh-CN" w:eastAsia="zh-CN"/>
        </w:rPr>
        <w:t>年</w:t>
      </w:r>
      <w:r>
        <w:rPr>
          <w:rFonts w:ascii="Times New Roman" w:eastAsia="仿宋_GB2312" w:hAnsi="Times New Roman" w:cs="仿宋_GB2312" w:hint="eastAsia"/>
          <w:snapToGrid/>
          <w:sz w:val="32"/>
          <w:szCs w:val="32"/>
          <w:lang w:val="zh-CN" w:eastAsia="zh-CN"/>
        </w:rPr>
        <w:t>11</w:t>
      </w:r>
      <w:r>
        <w:rPr>
          <w:rFonts w:ascii="Times New Roman" w:eastAsia="仿宋_GB2312" w:hAnsi="Times New Roman" w:cs="仿宋_GB2312" w:hint="eastAsia"/>
          <w:snapToGrid/>
          <w:sz w:val="32"/>
          <w:szCs w:val="32"/>
          <w:lang w:val="zh-CN" w:eastAsia="zh-CN"/>
        </w:rPr>
        <w:t>月</w:t>
      </w:r>
      <w:r>
        <w:rPr>
          <w:rFonts w:ascii="Times New Roman" w:eastAsia="仿宋_GB2312" w:hAnsi="Times New Roman" w:cs="仿宋_GB2312" w:hint="eastAsia"/>
          <w:snapToGrid/>
          <w:sz w:val="32"/>
          <w:szCs w:val="32"/>
          <w:lang w:val="zh-CN" w:eastAsia="zh-CN"/>
        </w:rPr>
        <w:t>23</w:t>
      </w:r>
      <w:r>
        <w:rPr>
          <w:rFonts w:ascii="Times New Roman" w:eastAsia="仿宋_GB2312" w:hAnsi="Times New Roman" w:cs="仿宋_GB2312" w:hint="eastAsia"/>
          <w:snapToGrid/>
          <w:sz w:val="32"/>
          <w:szCs w:val="32"/>
          <w:lang w:val="zh-CN" w:eastAsia="zh-CN"/>
        </w:rPr>
        <w:t>日</w:t>
      </w:r>
      <w:r>
        <w:rPr>
          <w:rFonts w:ascii="Times New Roman" w:eastAsia="仿宋_GB2312" w:hAnsi="Times New Roman" w:cs="仿宋_GB2312" w:hint="eastAsia"/>
          <w:snapToGrid/>
          <w:sz w:val="32"/>
          <w:szCs w:val="32"/>
          <w:lang w:val="zh-CN" w:eastAsia="zh-CN"/>
        </w:rPr>
        <w:t>-25</w:t>
      </w:r>
      <w:r>
        <w:rPr>
          <w:rFonts w:ascii="Times New Roman" w:eastAsia="仿宋_GB2312" w:hAnsi="Times New Roman" w:cs="仿宋_GB2312" w:hint="eastAsia"/>
          <w:snapToGrid/>
          <w:sz w:val="32"/>
          <w:szCs w:val="32"/>
          <w:lang w:val="zh-CN" w:eastAsia="zh-CN"/>
        </w:rPr>
        <w:t>日举办</w:t>
      </w:r>
      <w:r>
        <w:rPr>
          <w:rFonts w:ascii="Times New Roman" w:eastAsia="仿宋_GB2312" w:hAnsi="Times New Roman" w:cs="仿宋_GB2312" w:hint="eastAsia"/>
          <w:snapToGrid/>
          <w:sz w:val="32"/>
          <w:szCs w:val="32"/>
          <w:lang w:val="zh-CN" w:eastAsia="zh-CN"/>
        </w:rPr>
        <w:t>2023</w:t>
      </w:r>
      <w:r>
        <w:rPr>
          <w:rFonts w:ascii="Times New Roman" w:eastAsia="仿宋_GB2312" w:hAnsi="Times New Roman" w:cs="仿宋_GB2312" w:hint="eastAsia"/>
          <w:snapToGrid/>
          <w:sz w:val="32"/>
          <w:szCs w:val="32"/>
          <w:lang w:val="zh-CN" w:eastAsia="zh-CN"/>
        </w:rPr>
        <w:t>中国钒钛论坛暨钒钛资源综合利用战略研讨会。</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3.2025</w:t>
      </w:r>
      <w:r>
        <w:rPr>
          <w:rFonts w:ascii="Times New Roman" w:eastAsia="仿宋_GB2312" w:hAnsi="Times New Roman" w:cs="仿宋_GB2312" w:hint="eastAsia"/>
          <w:snapToGrid/>
          <w:sz w:val="32"/>
          <w:szCs w:val="32"/>
          <w:lang w:val="zh-CN" w:eastAsia="zh-CN"/>
        </w:rPr>
        <w:t>年预算安排</w:t>
      </w:r>
      <w:r>
        <w:rPr>
          <w:rFonts w:ascii="Times New Roman" w:eastAsia="仿宋_GB2312" w:hAnsi="Times New Roman" w:cs="仿宋_GB2312" w:hint="eastAsia"/>
          <w:snapToGrid/>
          <w:sz w:val="32"/>
          <w:szCs w:val="32"/>
          <w:lang w:val="zh-CN" w:eastAsia="zh-CN"/>
        </w:rPr>
        <w:t>35</w:t>
      </w:r>
      <w:r>
        <w:rPr>
          <w:rFonts w:ascii="Times New Roman" w:eastAsia="仿宋_GB2312" w:hAnsi="Times New Roman" w:cs="仿宋_GB2312" w:hint="eastAsia"/>
          <w:snapToGrid/>
          <w:sz w:val="32"/>
          <w:szCs w:val="32"/>
          <w:lang w:val="zh-CN" w:eastAsia="zh-CN"/>
        </w:rPr>
        <w:t>万元，实际执行</w:t>
      </w:r>
      <w:r>
        <w:rPr>
          <w:rFonts w:ascii="Times New Roman" w:eastAsia="仿宋_GB2312" w:hAnsi="Times New Roman" w:cs="仿宋_GB2312" w:hint="eastAsia"/>
          <w:snapToGrid/>
          <w:sz w:val="32"/>
          <w:szCs w:val="32"/>
          <w:lang w:val="zh-CN" w:eastAsia="zh-CN"/>
        </w:rPr>
        <w:t>35</w:t>
      </w:r>
      <w:r>
        <w:rPr>
          <w:rFonts w:ascii="Times New Roman" w:eastAsia="仿宋_GB2312" w:hAnsi="Times New Roman" w:cs="仿宋_GB2312" w:hint="eastAsia"/>
          <w:snapToGrid/>
          <w:sz w:val="32"/>
          <w:szCs w:val="32"/>
          <w:lang w:val="zh-CN" w:eastAsia="zh-CN"/>
        </w:rPr>
        <w:t>万元。</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4.</w:t>
      </w:r>
      <w:r>
        <w:rPr>
          <w:rFonts w:ascii="Times New Roman" w:eastAsia="仿宋_GB2312" w:hAnsi="Times New Roman" w:cs="仿宋_GB2312" w:hint="eastAsia"/>
          <w:snapToGrid/>
          <w:sz w:val="32"/>
          <w:szCs w:val="32"/>
          <w:lang w:val="zh-CN" w:eastAsia="zh-CN"/>
        </w:rPr>
        <w:t>资金分配按照该项目实际发生金额编制的预算。</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（二）项目绩效目标。</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为贯彻党的二十大精神和省委十二届二次全会精神，全面</w:t>
      </w:r>
      <w:r>
        <w:rPr>
          <w:rFonts w:ascii="Times New Roman" w:eastAsia="仿宋_GB2312" w:hAnsi="Times New Roman" w:cs="仿宋_GB2312" w:hint="eastAsia"/>
          <w:snapToGrid/>
          <w:sz w:val="32"/>
          <w:szCs w:val="32"/>
          <w:lang w:val="zh-CN" w:eastAsia="zh-CN"/>
        </w:rPr>
        <w:lastRenderedPageBreak/>
        <w:t>落</w:t>
      </w:r>
      <w:proofErr w:type="gramStart"/>
      <w:r>
        <w:rPr>
          <w:rFonts w:ascii="Times New Roman" w:eastAsia="仿宋_GB2312" w:hAnsi="Times New Roman" w:cs="仿宋_GB2312" w:hint="eastAsia"/>
          <w:snapToGrid/>
          <w:sz w:val="32"/>
          <w:szCs w:val="32"/>
          <w:lang w:val="zh-CN" w:eastAsia="zh-CN"/>
        </w:rPr>
        <w:t>实习近</w:t>
      </w:r>
      <w:proofErr w:type="gramEnd"/>
      <w:r>
        <w:rPr>
          <w:rFonts w:ascii="Times New Roman" w:eastAsia="仿宋_GB2312" w:hAnsi="Times New Roman" w:cs="仿宋_GB2312" w:hint="eastAsia"/>
          <w:snapToGrid/>
          <w:sz w:val="32"/>
          <w:szCs w:val="32"/>
          <w:lang w:val="zh-CN" w:eastAsia="zh-CN"/>
        </w:rPr>
        <w:t>平总书记来川视察重要指示精神，推进攀西战略资源创新开发试验区建设，强化战略性矿产资源生产供应，打造保障国家重要初级产品供给战略基地，助力四川打造有特色的优势产业，推动攀枝花市钒钛产业高质量发展，建设世界级钒钛钢铁产业基地，做</w:t>
      </w:r>
      <w:proofErr w:type="gramStart"/>
      <w:r>
        <w:rPr>
          <w:rFonts w:ascii="Times New Roman" w:eastAsia="仿宋_GB2312" w:hAnsi="Times New Roman" w:cs="仿宋_GB2312" w:hint="eastAsia"/>
          <w:snapToGrid/>
          <w:sz w:val="32"/>
          <w:szCs w:val="32"/>
          <w:lang w:val="zh-CN" w:eastAsia="zh-CN"/>
        </w:rPr>
        <w:t>强做</w:t>
      </w:r>
      <w:proofErr w:type="gramEnd"/>
      <w:r>
        <w:rPr>
          <w:rFonts w:ascii="Times New Roman" w:eastAsia="仿宋_GB2312" w:hAnsi="Times New Roman" w:cs="仿宋_GB2312" w:hint="eastAsia"/>
          <w:snapToGrid/>
          <w:sz w:val="32"/>
          <w:szCs w:val="32"/>
          <w:lang w:val="zh-CN" w:eastAsia="zh-CN"/>
        </w:rPr>
        <w:t>大“中国钒钛之都”品牌，提升攀枝花在世界钒钛领域的竞争力和影响力。</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按照市委、市政府主要领导批示，</w:t>
      </w:r>
      <w:r>
        <w:rPr>
          <w:rFonts w:ascii="Times New Roman" w:eastAsia="仿宋_GB2312" w:hAnsi="Times New Roman" w:cs="仿宋_GB2312" w:hint="eastAsia"/>
          <w:snapToGrid/>
          <w:sz w:val="32"/>
          <w:szCs w:val="32"/>
          <w:lang w:val="zh-CN" w:eastAsia="zh-CN"/>
        </w:rPr>
        <w:t>2023</w:t>
      </w:r>
      <w:r>
        <w:rPr>
          <w:rFonts w:ascii="Times New Roman" w:eastAsia="仿宋_GB2312" w:hAnsi="Times New Roman" w:cs="仿宋_GB2312" w:hint="eastAsia"/>
          <w:snapToGrid/>
          <w:sz w:val="32"/>
          <w:szCs w:val="32"/>
          <w:lang w:val="zh-CN" w:eastAsia="zh-CN"/>
        </w:rPr>
        <w:t>年</w:t>
      </w:r>
      <w:r>
        <w:rPr>
          <w:rFonts w:ascii="Times New Roman" w:eastAsia="仿宋_GB2312" w:hAnsi="Times New Roman" w:cs="仿宋_GB2312" w:hint="eastAsia"/>
          <w:snapToGrid/>
          <w:sz w:val="32"/>
          <w:szCs w:val="32"/>
          <w:lang w:val="zh-CN" w:eastAsia="zh-CN"/>
        </w:rPr>
        <w:t>11</w:t>
      </w:r>
      <w:r>
        <w:rPr>
          <w:rFonts w:ascii="Times New Roman" w:eastAsia="仿宋_GB2312" w:hAnsi="Times New Roman" w:cs="仿宋_GB2312" w:hint="eastAsia"/>
          <w:snapToGrid/>
          <w:sz w:val="32"/>
          <w:szCs w:val="32"/>
          <w:lang w:val="zh-CN" w:eastAsia="zh-CN"/>
        </w:rPr>
        <w:t>月</w:t>
      </w:r>
      <w:r>
        <w:rPr>
          <w:rFonts w:ascii="Times New Roman" w:eastAsia="仿宋_GB2312" w:hAnsi="Times New Roman" w:cs="仿宋_GB2312" w:hint="eastAsia"/>
          <w:snapToGrid/>
          <w:sz w:val="32"/>
          <w:szCs w:val="32"/>
          <w:lang w:val="zh-CN" w:eastAsia="zh-CN"/>
        </w:rPr>
        <w:t>23</w:t>
      </w:r>
      <w:r>
        <w:rPr>
          <w:rFonts w:ascii="Times New Roman" w:eastAsia="仿宋_GB2312" w:hAnsi="Times New Roman" w:cs="仿宋_GB2312" w:hint="eastAsia"/>
          <w:snapToGrid/>
          <w:sz w:val="32"/>
          <w:szCs w:val="32"/>
          <w:lang w:val="zh-CN" w:eastAsia="zh-CN"/>
        </w:rPr>
        <w:t>日</w:t>
      </w:r>
      <w:r>
        <w:rPr>
          <w:rFonts w:ascii="Times New Roman" w:eastAsia="仿宋_GB2312" w:hAnsi="Times New Roman" w:cs="仿宋_GB2312" w:hint="eastAsia"/>
          <w:snapToGrid/>
          <w:sz w:val="32"/>
          <w:szCs w:val="32"/>
          <w:lang w:val="zh-CN" w:eastAsia="zh-CN"/>
        </w:rPr>
        <w:t>-25</w:t>
      </w:r>
      <w:r>
        <w:rPr>
          <w:rFonts w:ascii="Times New Roman" w:eastAsia="仿宋_GB2312" w:hAnsi="Times New Roman" w:cs="仿宋_GB2312" w:hint="eastAsia"/>
          <w:snapToGrid/>
          <w:sz w:val="32"/>
          <w:szCs w:val="32"/>
          <w:lang w:val="zh-CN" w:eastAsia="zh-CN"/>
        </w:rPr>
        <w:t>日成功举办</w:t>
      </w:r>
      <w:r>
        <w:rPr>
          <w:rFonts w:ascii="Times New Roman" w:eastAsia="仿宋_GB2312" w:hAnsi="Times New Roman" w:cs="仿宋_GB2312" w:hint="eastAsia"/>
          <w:snapToGrid/>
          <w:sz w:val="32"/>
          <w:szCs w:val="32"/>
          <w:lang w:val="zh-CN" w:eastAsia="zh-CN"/>
        </w:rPr>
        <w:t>2023</w:t>
      </w:r>
      <w:r>
        <w:rPr>
          <w:rFonts w:ascii="Times New Roman" w:eastAsia="仿宋_GB2312" w:hAnsi="Times New Roman" w:cs="仿宋_GB2312" w:hint="eastAsia"/>
          <w:snapToGrid/>
          <w:sz w:val="32"/>
          <w:szCs w:val="32"/>
          <w:lang w:val="zh-CN" w:eastAsia="zh-CN"/>
        </w:rPr>
        <w:t>中国钒钛论坛暨钒钛资源综合利用战略研讨会。</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3.</w:t>
      </w:r>
      <w:r>
        <w:rPr>
          <w:rFonts w:ascii="Times New Roman" w:eastAsia="仿宋_GB2312" w:hAnsi="Times New Roman" w:cs="仿宋_GB2312" w:hint="eastAsia"/>
          <w:snapToGrid/>
          <w:sz w:val="32"/>
          <w:szCs w:val="32"/>
          <w:lang w:val="zh-CN" w:eastAsia="zh-CN"/>
        </w:rPr>
        <w:t>该项目申报内容是与实际相符，申报目标合理可行。</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（三）项目自评步骤及方法。</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项目绩效自评采用的组织实施步骤及方法。</w:t>
      </w:r>
    </w:p>
    <w:p w:rsidR="004B0FC1" w:rsidRDefault="00A976D9">
      <w:pPr>
        <w:widowControl w:val="0"/>
        <w:kinsoku/>
        <w:autoSpaceDE/>
        <w:autoSpaceDN/>
        <w:spacing w:line="578" w:lineRule="exact"/>
        <w:ind w:firstLineChars="200" w:firstLine="640"/>
        <w:jc w:val="both"/>
        <w:textAlignment w:val="auto"/>
        <w:rPr>
          <w:rFonts w:ascii="Times New Roman" w:eastAsia="黑体" w:hAnsi="Times New Roman" w:cs="Times New Roman"/>
          <w:snapToGrid/>
          <w:color w:val="auto"/>
          <w:kern w:val="2"/>
          <w:sz w:val="32"/>
          <w:szCs w:val="32"/>
          <w:lang w:val="zh-CN" w:eastAsia="zh-CN"/>
        </w:rPr>
      </w:pPr>
      <w:r>
        <w:rPr>
          <w:rFonts w:ascii="Times New Roman" w:eastAsia="黑体" w:hAnsi="Times New Roman" w:cs="Times New Roman" w:hint="eastAsia"/>
          <w:snapToGrid/>
          <w:color w:val="auto"/>
          <w:kern w:val="2"/>
          <w:sz w:val="32"/>
          <w:szCs w:val="32"/>
          <w:lang w:val="zh-CN" w:eastAsia="zh-CN"/>
        </w:rPr>
        <w:t>二、项目资金申报及使用情况</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（一）项目资金申报及批复情况。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年预算安排</w:t>
      </w:r>
      <w:r>
        <w:rPr>
          <w:rFonts w:ascii="Times New Roman" w:eastAsia="仿宋_GB2312" w:hAnsi="Times New Roman" w:cs="仿宋_GB2312" w:hint="eastAsia"/>
          <w:snapToGrid/>
          <w:sz w:val="32"/>
          <w:szCs w:val="32"/>
          <w:lang w:val="zh-CN" w:eastAsia="zh-CN"/>
        </w:rPr>
        <w:t>35</w:t>
      </w:r>
      <w:r>
        <w:rPr>
          <w:rFonts w:ascii="Times New Roman" w:eastAsia="仿宋_GB2312" w:hAnsi="Times New Roman" w:cs="仿宋_GB2312" w:hint="eastAsia"/>
          <w:snapToGrid/>
          <w:sz w:val="32"/>
          <w:szCs w:val="32"/>
          <w:lang w:val="zh-CN" w:eastAsia="zh-CN"/>
        </w:rPr>
        <w:t>万元，实际执行</w:t>
      </w:r>
      <w:r>
        <w:rPr>
          <w:rFonts w:ascii="Times New Roman" w:eastAsia="仿宋_GB2312" w:hAnsi="Times New Roman" w:cs="仿宋_GB2312" w:hint="eastAsia"/>
          <w:snapToGrid/>
          <w:sz w:val="32"/>
          <w:szCs w:val="32"/>
          <w:lang w:val="zh-CN" w:eastAsia="zh-CN"/>
        </w:rPr>
        <w:t>35</w:t>
      </w:r>
      <w:r>
        <w:rPr>
          <w:rFonts w:ascii="Times New Roman" w:eastAsia="仿宋_GB2312" w:hAnsi="Times New Roman" w:cs="仿宋_GB2312" w:hint="eastAsia"/>
          <w:snapToGrid/>
          <w:sz w:val="32"/>
          <w:szCs w:val="32"/>
          <w:lang w:val="zh-CN" w:eastAsia="zh-CN"/>
        </w:rPr>
        <w:t>万元。</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（二）资金计划、到位及使用情况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eastAsia="zh-CN"/>
        </w:rPr>
        <w:t>.</w:t>
      </w:r>
      <w:r>
        <w:rPr>
          <w:rFonts w:ascii="Times New Roman" w:eastAsia="仿宋_GB2312" w:hAnsi="Times New Roman" w:cs="仿宋_GB2312" w:hint="eastAsia"/>
          <w:snapToGrid/>
          <w:sz w:val="32"/>
          <w:szCs w:val="32"/>
          <w:lang w:val="zh-CN" w:eastAsia="zh-CN"/>
        </w:rPr>
        <w:t>资金计划。</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年财政预算安排</w:t>
      </w:r>
      <w:r>
        <w:rPr>
          <w:rFonts w:ascii="Times New Roman" w:eastAsia="仿宋_GB2312" w:hAnsi="Times New Roman" w:cs="仿宋_GB2312" w:hint="eastAsia"/>
          <w:snapToGrid/>
          <w:sz w:val="32"/>
          <w:szCs w:val="32"/>
          <w:lang w:val="zh-CN" w:eastAsia="zh-CN"/>
        </w:rPr>
        <w:t>35</w:t>
      </w:r>
      <w:r>
        <w:rPr>
          <w:rFonts w:ascii="Times New Roman" w:eastAsia="仿宋_GB2312" w:hAnsi="Times New Roman" w:cs="仿宋_GB2312" w:hint="eastAsia"/>
          <w:snapToGrid/>
          <w:sz w:val="32"/>
          <w:szCs w:val="32"/>
          <w:lang w:val="zh-CN" w:eastAsia="zh-CN"/>
        </w:rPr>
        <w:t>万元。</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eastAsia="zh-CN"/>
        </w:rPr>
        <w:t>.</w:t>
      </w:r>
      <w:r>
        <w:rPr>
          <w:rFonts w:ascii="Times New Roman" w:eastAsia="仿宋_GB2312" w:hAnsi="Times New Roman" w:cs="仿宋_GB2312" w:hint="eastAsia"/>
          <w:snapToGrid/>
          <w:sz w:val="32"/>
          <w:szCs w:val="32"/>
          <w:lang w:val="zh-CN" w:eastAsia="zh-CN"/>
        </w:rPr>
        <w:t>资金到位。资金到位及时，到位资金</w:t>
      </w:r>
      <w:r>
        <w:rPr>
          <w:rFonts w:ascii="Times New Roman" w:eastAsia="仿宋_GB2312" w:hAnsi="Times New Roman" w:cs="仿宋_GB2312" w:hint="eastAsia"/>
          <w:snapToGrid/>
          <w:sz w:val="32"/>
          <w:szCs w:val="32"/>
          <w:lang w:val="zh-CN" w:eastAsia="zh-CN"/>
        </w:rPr>
        <w:t>35</w:t>
      </w:r>
      <w:r>
        <w:rPr>
          <w:rFonts w:ascii="Times New Roman" w:eastAsia="仿宋_GB2312" w:hAnsi="Times New Roman" w:cs="仿宋_GB2312" w:hint="eastAsia"/>
          <w:snapToGrid/>
          <w:sz w:val="32"/>
          <w:szCs w:val="32"/>
          <w:lang w:val="zh-CN" w:eastAsia="zh-CN"/>
        </w:rPr>
        <w:t>万元，实际执行</w:t>
      </w:r>
      <w:r>
        <w:rPr>
          <w:rFonts w:ascii="Times New Roman" w:eastAsia="仿宋_GB2312" w:hAnsi="Times New Roman" w:cs="仿宋_GB2312" w:hint="eastAsia"/>
          <w:snapToGrid/>
          <w:sz w:val="32"/>
          <w:szCs w:val="32"/>
          <w:lang w:val="zh-CN" w:eastAsia="zh-CN"/>
        </w:rPr>
        <w:t>35</w:t>
      </w:r>
      <w:r>
        <w:rPr>
          <w:rFonts w:ascii="Times New Roman" w:eastAsia="仿宋_GB2312" w:hAnsi="Times New Roman" w:cs="仿宋_GB2312" w:hint="eastAsia"/>
          <w:snapToGrid/>
          <w:sz w:val="32"/>
          <w:szCs w:val="32"/>
          <w:lang w:val="zh-CN" w:eastAsia="zh-CN"/>
        </w:rPr>
        <w:t>万元，资金支付率</w:t>
      </w:r>
      <w:r>
        <w:rPr>
          <w:rFonts w:ascii="Times New Roman" w:eastAsia="仿宋_GB2312" w:hAnsi="Times New Roman" w:cs="仿宋_GB2312" w:hint="eastAsia"/>
          <w:snapToGrid/>
          <w:sz w:val="32"/>
          <w:szCs w:val="32"/>
          <w:lang w:val="zh-CN" w:eastAsia="zh-CN"/>
        </w:rPr>
        <w:t>100%</w:t>
      </w:r>
      <w:r>
        <w:rPr>
          <w:rFonts w:ascii="Times New Roman" w:eastAsia="仿宋_GB2312" w:hAnsi="Times New Roman" w:cs="仿宋_GB2312" w:hint="eastAsia"/>
          <w:snapToGrid/>
          <w:sz w:val="32"/>
          <w:szCs w:val="32"/>
          <w:lang w:val="zh-CN" w:eastAsia="zh-CN"/>
        </w:rPr>
        <w:t>。</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3</w:t>
      </w:r>
      <w:r>
        <w:rPr>
          <w:rFonts w:ascii="Times New Roman" w:eastAsia="仿宋_GB2312" w:hAnsi="Times New Roman" w:cs="仿宋_GB2312" w:hint="eastAsia"/>
          <w:snapToGrid/>
          <w:sz w:val="32"/>
          <w:szCs w:val="32"/>
          <w:lang w:eastAsia="zh-CN"/>
        </w:rPr>
        <w:t>.</w:t>
      </w:r>
      <w:r>
        <w:rPr>
          <w:rFonts w:ascii="Times New Roman" w:eastAsia="仿宋_GB2312" w:hAnsi="Times New Roman" w:cs="仿宋_GB2312" w:hint="eastAsia"/>
          <w:snapToGrid/>
          <w:sz w:val="32"/>
          <w:szCs w:val="32"/>
          <w:lang w:val="zh-CN" w:eastAsia="zh-CN"/>
        </w:rPr>
        <w:t>资金使用。资金使用的安全性、规范性及有效性都是按照项目要求进行，资金支付范围、支付标准、支付进度、支付依据等是合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合法、并与预算相符。</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（三）项目财务管理情况。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单位财务管理制度是健全，严格执行财务管理制度，账务处理及时，会计核算规范。</w:t>
      </w:r>
    </w:p>
    <w:p w:rsidR="004B0FC1" w:rsidRDefault="00A976D9">
      <w:pPr>
        <w:widowControl w:val="0"/>
        <w:kinsoku/>
        <w:autoSpaceDE/>
        <w:autoSpaceDN/>
        <w:spacing w:line="578" w:lineRule="exact"/>
        <w:ind w:firstLineChars="200" w:firstLine="640"/>
        <w:jc w:val="both"/>
        <w:textAlignment w:val="auto"/>
        <w:rPr>
          <w:rFonts w:ascii="Times New Roman" w:eastAsia="黑体" w:hAnsi="Times New Roman" w:cs="Times New Roman"/>
          <w:snapToGrid/>
          <w:color w:val="auto"/>
          <w:kern w:val="2"/>
          <w:sz w:val="32"/>
          <w:szCs w:val="32"/>
          <w:lang w:val="zh-CN" w:eastAsia="zh-CN"/>
        </w:rPr>
      </w:pPr>
      <w:r>
        <w:rPr>
          <w:rFonts w:ascii="Times New Roman" w:eastAsia="黑体" w:hAnsi="Times New Roman" w:cs="Times New Roman" w:hint="eastAsia"/>
          <w:snapToGrid/>
          <w:color w:val="auto"/>
          <w:kern w:val="2"/>
          <w:sz w:val="32"/>
          <w:szCs w:val="32"/>
          <w:lang w:val="zh-CN" w:eastAsia="zh-CN"/>
        </w:rPr>
        <w:t>三、项目实施及管理情况</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lastRenderedPageBreak/>
        <w:t>（一）项目组织架构及实施流程。</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按照项目完成情况及时支付。</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（二）项目管理情况。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该项目为会议类，资金管理由攀西</w:t>
      </w:r>
      <w:proofErr w:type="gramStart"/>
      <w:r>
        <w:rPr>
          <w:rFonts w:ascii="Times New Roman" w:eastAsia="仿宋_GB2312" w:hAnsi="Times New Roman" w:cs="仿宋_GB2312" w:hint="eastAsia"/>
          <w:snapToGrid/>
          <w:sz w:val="32"/>
          <w:szCs w:val="32"/>
          <w:lang w:val="zh-CN" w:eastAsia="zh-CN"/>
        </w:rPr>
        <w:t>院统一</w:t>
      </w:r>
      <w:proofErr w:type="gramEnd"/>
      <w:r>
        <w:rPr>
          <w:rFonts w:ascii="Times New Roman" w:eastAsia="仿宋_GB2312" w:hAnsi="Times New Roman" w:cs="仿宋_GB2312" w:hint="eastAsia"/>
          <w:snapToGrid/>
          <w:sz w:val="32"/>
          <w:szCs w:val="32"/>
          <w:lang w:val="zh-CN" w:eastAsia="zh-CN"/>
        </w:rPr>
        <w:t>管理，依据项目进展情况全额拨款支持项目推进。</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（三）项目监管情况。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该项目在市局及市政府的监管下顺利进行并完成，推进攀西战略资源创新开发试验区建设，强化战略性矿产资源生产供应，打造保障国家重要初级产品供给战略基地，助力四川打造有特色的优势产业，推动攀枝花市钒钛产业高质量发展，建设世界级钒钛钢铁产业基地，做</w:t>
      </w:r>
      <w:proofErr w:type="gramStart"/>
      <w:r>
        <w:rPr>
          <w:rFonts w:ascii="Times New Roman" w:eastAsia="仿宋_GB2312" w:hAnsi="Times New Roman" w:cs="仿宋_GB2312" w:hint="eastAsia"/>
          <w:snapToGrid/>
          <w:sz w:val="32"/>
          <w:szCs w:val="32"/>
          <w:lang w:val="zh-CN" w:eastAsia="zh-CN"/>
        </w:rPr>
        <w:t>强做</w:t>
      </w:r>
      <w:proofErr w:type="gramEnd"/>
      <w:r>
        <w:rPr>
          <w:rFonts w:ascii="Times New Roman" w:eastAsia="仿宋_GB2312" w:hAnsi="Times New Roman" w:cs="仿宋_GB2312" w:hint="eastAsia"/>
          <w:snapToGrid/>
          <w:sz w:val="32"/>
          <w:szCs w:val="32"/>
          <w:lang w:val="zh-CN" w:eastAsia="zh-CN"/>
        </w:rPr>
        <w:t>大“中国钒钛之都”品牌，提升攀枝花在世界钒钛领域的竞争力和影响力。</w:t>
      </w:r>
    </w:p>
    <w:p w:rsidR="004B0FC1" w:rsidRDefault="00A976D9">
      <w:pPr>
        <w:widowControl w:val="0"/>
        <w:kinsoku/>
        <w:autoSpaceDE/>
        <w:autoSpaceDN/>
        <w:spacing w:line="578" w:lineRule="exact"/>
        <w:ind w:firstLineChars="200" w:firstLine="640"/>
        <w:jc w:val="both"/>
        <w:textAlignment w:val="auto"/>
        <w:rPr>
          <w:rFonts w:ascii="Times New Roman" w:eastAsia="黑体" w:hAnsi="Times New Roman" w:cs="Times New Roman"/>
          <w:snapToGrid/>
          <w:color w:val="auto"/>
          <w:kern w:val="2"/>
          <w:sz w:val="32"/>
          <w:szCs w:val="32"/>
          <w:lang w:val="zh-CN" w:eastAsia="zh-CN"/>
        </w:rPr>
      </w:pPr>
      <w:r>
        <w:rPr>
          <w:rFonts w:ascii="Times New Roman" w:eastAsia="黑体" w:hAnsi="Times New Roman" w:cs="Times New Roman" w:hint="eastAsia"/>
          <w:snapToGrid/>
          <w:color w:val="auto"/>
          <w:kern w:val="2"/>
          <w:sz w:val="32"/>
          <w:szCs w:val="32"/>
          <w:lang w:val="zh-CN" w:eastAsia="zh-CN"/>
        </w:rPr>
        <w:t>四、项目绩效情况</w:t>
      </w:r>
      <w:r>
        <w:rPr>
          <w:rFonts w:ascii="Times New Roman" w:eastAsia="黑体" w:hAnsi="Times New Roman" w:cs="Times New Roman" w:hint="eastAsia"/>
          <w:snapToGrid/>
          <w:color w:val="auto"/>
          <w:kern w:val="2"/>
          <w:sz w:val="32"/>
          <w:szCs w:val="32"/>
          <w:lang w:val="zh-CN" w:eastAsia="zh-CN"/>
        </w:rPr>
        <w:tab/>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（一）项目完成情况。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举办</w:t>
      </w:r>
      <w:r>
        <w:rPr>
          <w:rFonts w:ascii="Times New Roman" w:eastAsia="仿宋_GB2312" w:hAnsi="Times New Roman" w:cs="仿宋_GB2312" w:hint="eastAsia"/>
          <w:snapToGrid/>
          <w:sz w:val="32"/>
          <w:szCs w:val="32"/>
          <w:lang w:val="zh-CN" w:eastAsia="zh-CN"/>
        </w:rPr>
        <w:t>2023</w:t>
      </w:r>
      <w:r>
        <w:rPr>
          <w:rFonts w:ascii="Times New Roman" w:eastAsia="仿宋_GB2312" w:hAnsi="Times New Roman" w:cs="仿宋_GB2312" w:hint="eastAsia"/>
          <w:snapToGrid/>
          <w:sz w:val="32"/>
          <w:szCs w:val="32"/>
          <w:lang w:val="zh-CN" w:eastAsia="zh-CN"/>
        </w:rPr>
        <w:t>年中国钒钛论坛暨钒钛资源综合利用战略研讨会，邀请权威专家发声，为攀西钒钛资源的综合开发利用指引方向。我市标准化工作正进入到越来越重要的时期。但我市标准化工作以及全国钒钛磁铁矿综合利用标准化技术委员会均还处于成长阶段，标准化工作基础薄弱，企业支撑力量不足，标准化工作人员的能力还有待提高。与经济社会发展需求相比，标准化工作还存在较大差距，推进标准化工作任重道远。</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（二）项目效益情况。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为更好发挥标准推动攀西钒钛磁铁矿资源开发利用、技术进步和产业转型升级，拓展和完善产业链，实现健康、绿色、可持续的产业发展。</w:t>
      </w:r>
    </w:p>
    <w:p w:rsidR="004B0FC1" w:rsidRDefault="00A976D9">
      <w:pPr>
        <w:widowControl w:val="0"/>
        <w:kinsoku/>
        <w:autoSpaceDE/>
        <w:autoSpaceDN/>
        <w:spacing w:line="578" w:lineRule="exact"/>
        <w:ind w:firstLineChars="200" w:firstLine="640"/>
        <w:jc w:val="both"/>
        <w:textAlignment w:val="auto"/>
        <w:rPr>
          <w:rFonts w:ascii="Times New Roman" w:eastAsia="黑体" w:hAnsi="Times New Roman" w:cs="Times New Roman"/>
          <w:snapToGrid/>
          <w:color w:val="auto"/>
          <w:kern w:val="2"/>
          <w:sz w:val="32"/>
          <w:szCs w:val="32"/>
          <w:lang w:val="zh-CN" w:eastAsia="zh-CN"/>
        </w:rPr>
      </w:pPr>
      <w:r>
        <w:rPr>
          <w:rFonts w:ascii="Times New Roman" w:eastAsia="黑体" w:hAnsi="Times New Roman" w:cs="Times New Roman" w:hint="eastAsia"/>
          <w:snapToGrid/>
          <w:color w:val="auto"/>
          <w:kern w:val="2"/>
          <w:sz w:val="32"/>
          <w:szCs w:val="32"/>
          <w:lang w:val="zh-CN" w:eastAsia="zh-CN"/>
        </w:rPr>
        <w:lastRenderedPageBreak/>
        <w:t>五、评价结论及建议</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（一）评价结论。</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我市标准化工作正进入到越来越重要的时期。但我市标准化工作以及全国钒钛磁铁矿综合利用标准化技术委员会均还处于成长阶段，标准化工作基础薄弱，企业支撑力量不足，标准化工作人员的能力还有待提高。与经济社会发展需求相比，标准化工作还存在较大差距，推进标准化工作任重道远。为更好发挥标准推动攀西钒钛磁铁矿资源开发利用、技术进步和产业转型升级，拓展和完善产业链，实现健康、绿色、可持续的产业发展。</w:t>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（二）存在的问题。</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仿宋_GB2312" w:hAnsi="Times New Roman" w:cs="仿宋_GB2312" w:hint="eastAsia"/>
          <w:snapToGrid/>
          <w:sz w:val="32"/>
          <w:szCs w:val="32"/>
          <w:lang w:val="zh-CN" w:eastAsia="zh-CN"/>
        </w:rPr>
        <w:t>无。</w:t>
      </w:r>
      <w:r>
        <w:rPr>
          <w:rFonts w:ascii="Times New Roman" w:eastAsia="仿宋_GB2312" w:hAnsi="Times New Roman" w:cs="Times New Roman" w:hint="eastAsia"/>
          <w:snapToGrid/>
          <w:kern w:val="2"/>
          <w:sz w:val="32"/>
          <w:szCs w:val="32"/>
          <w:lang w:val="zh-CN" w:eastAsia="zh-CN"/>
        </w:rPr>
        <w:tab/>
      </w:r>
    </w:p>
    <w:p w:rsidR="004B0FC1" w:rsidRDefault="00A976D9">
      <w:pPr>
        <w:widowControl w:val="0"/>
        <w:kinsoku/>
        <w:autoSpaceDE/>
        <w:autoSpaceDN/>
        <w:adjustRightInd/>
        <w:snapToGrid/>
        <w:spacing w:line="578" w:lineRule="exact"/>
        <w:ind w:firstLine="640"/>
        <w:jc w:val="both"/>
        <w:textAlignment w:val="auto"/>
        <w:rPr>
          <w:rFonts w:ascii="Times New Roman" w:eastAsia="楷体_GB2312" w:hAnsi="Times New Roman" w:cs="Times New Roman"/>
          <w:b/>
          <w:snapToGrid/>
          <w:color w:val="auto"/>
          <w:kern w:val="2"/>
          <w:sz w:val="32"/>
          <w:szCs w:val="32"/>
          <w:lang w:val="zh-CN" w:eastAsia="zh-CN"/>
        </w:rPr>
      </w:pPr>
      <w:r>
        <w:rPr>
          <w:rFonts w:ascii="Times New Roman" w:eastAsia="楷体_GB2312" w:hAnsi="Times New Roman" w:cs="Times New Roman" w:hint="eastAsia"/>
          <w:b/>
          <w:snapToGrid/>
          <w:color w:val="auto"/>
          <w:kern w:val="2"/>
          <w:sz w:val="32"/>
          <w:szCs w:val="32"/>
          <w:lang w:val="zh-CN" w:eastAsia="zh-CN"/>
        </w:rPr>
        <w:t>（三）相关建议。</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sectPr w:rsidR="004B0FC1">
          <w:pgSz w:w="11906" w:h="16838"/>
          <w:pgMar w:top="400" w:right="1386" w:bottom="1435" w:left="1598" w:header="0" w:footer="1159" w:gutter="0"/>
          <w:cols w:space="720"/>
        </w:sectPr>
      </w:pPr>
      <w:r>
        <w:rPr>
          <w:rFonts w:ascii="Times New Roman" w:eastAsia="仿宋_GB2312" w:hAnsi="Times New Roman" w:cs="仿宋_GB2312" w:hint="eastAsia"/>
          <w:snapToGrid/>
          <w:sz w:val="32"/>
          <w:szCs w:val="32"/>
          <w:lang w:val="zh-CN" w:eastAsia="zh-CN"/>
        </w:rPr>
        <w:t>无。</w:t>
      </w:r>
    </w:p>
    <w:p w:rsidR="004B0FC1" w:rsidRDefault="00A976D9">
      <w:pPr>
        <w:pStyle w:val="a5"/>
        <w:spacing w:before="93"/>
        <w:rPr>
          <w:rFonts w:ascii="Times New Roman" w:eastAsia="黑体" w:cs="黑体"/>
          <w:sz w:val="32"/>
          <w:szCs w:val="32"/>
          <w:shd w:val="clear" w:color="auto" w:fill="FFFFFF"/>
          <w:lang w:eastAsia="zh-CN"/>
        </w:rPr>
      </w:pPr>
      <w:r>
        <w:rPr>
          <w:rFonts w:ascii="Times New Roman" w:eastAsia="黑体" w:cs="黑体" w:hint="eastAsia"/>
          <w:sz w:val="32"/>
          <w:szCs w:val="32"/>
          <w:shd w:val="clear" w:color="auto" w:fill="FFFFFF"/>
          <w:lang w:val="zh-CN" w:eastAsia="zh-CN"/>
        </w:rPr>
        <w:lastRenderedPageBreak/>
        <w:t>附件</w:t>
      </w:r>
      <w:r>
        <w:rPr>
          <w:rFonts w:ascii="Times New Roman" w:eastAsia="黑体" w:cs="黑体" w:hint="eastAsia"/>
          <w:sz w:val="32"/>
          <w:szCs w:val="32"/>
          <w:shd w:val="clear" w:color="auto" w:fill="FFFFFF"/>
          <w:lang w:eastAsia="zh-CN"/>
        </w:rPr>
        <w:t>2-11</w:t>
      </w:r>
    </w:p>
    <w:p w:rsidR="004B0FC1" w:rsidRDefault="004B0FC1">
      <w:pPr>
        <w:pStyle w:val="a5"/>
        <w:spacing w:before="93"/>
        <w:rPr>
          <w:rFonts w:ascii="Times New Roman" w:eastAsia="黑体" w:cs="黑体"/>
          <w:sz w:val="32"/>
          <w:szCs w:val="32"/>
          <w:shd w:val="clear" w:color="auto" w:fill="FFFFFF"/>
          <w:lang w:eastAsia="zh-CN"/>
        </w:rPr>
      </w:pPr>
    </w:p>
    <w:p w:rsidR="004B0FC1" w:rsidRDefault="00A976D9">
      <w:pPr>
        <w:pStyle w:val="ab"/>
        <w:spacing w:line="600" w:lineRule="exact"/>
        <w:jc w:val="center"/>
        <w:rPr>
          <w:rFonts w:ascii="Times New Roman" w:eastAsia="方正小标宋简体" w:hAnsi="Times New Roman" w:cs="Times New Roman"/>
          <w:snapToGrid/>
          <w:kern w:val="2"/>
          <w:sz w:val="40"/>
          <w:szCs w:val="40"/>
        </w:rPr>
      </w:pPr>
      <w:r>
        <w:rPr>
          <w:rFonts w:ascii="Times New Roman" w:eastAsia="方正小标宋简体" w:hAnsi="Times New Roman" w:cs="Times New Roman"/>
          <w:snapToGrid/>
          <w:kern w:val="2"/>
          <w:sz w:val="40"/>
          <w:szCs w:val="40"/>
        </w:rPr>
        <w:t>攀枝花市市场监督管理</w:t>
      </w:r>
    </w:p>
    <w:p w:rsidR="004B0FC1" w:rsidRDefault="00A976D9">
      <w:pPr>
        <w:pStyle w:val="ab"/>
        <w:spacing w:line="600" w:lineRule="exact"/>
        <w:jc w:val="center"/>
        <w:rPr>
          <w:rFonts w:ascii="Times New Roman" w:eastAsia="方正小标宋简体" w:hAnsi="Times New Roman" w:cs="Times New Roman"/>
          <w:snapToGrid/>
          <w:kern w:val="2"/>
          <w:sz w:val="40"/>
          <w:szCs w:val="40"/>
        </w:rPr>
      </w:pPr>
      <w:r>
        <w:rPr>
          <w:rFonts w:ascii="Times New Roman" w:eastAsia="方正小标宋简体" w:hAnsi="Times New Roman" w:cs="Times New Roman"/>
          <w:snapToGrid/>
          <w:kern w:val="2"/>
          <w:sz w:val="40"/>
          <w:szCs w:val="40"/>
          <w:lang w:val="en-US"/>
        </w:rPr>
        <w:t>2025</w:t>
      </w:r>
      <w:r>
        <w:rPr>
          <w:rFonts w:ascii="Times New Roman" w:eastAsia="方正小标宋简体" w:hAnsi="Times New Roman" w:cs="Times New Roman"/>
          <w:snapToGrid/>
          <w:kern w:val="2"/>
          <w:sz w:val="40"/>
          <w:szCs w:val="40"/>
          <w:lang w:val="en-US"/>
        </w:rPr>
        <w:t>年</w:t>
      </w:r>
      <w:r>
        <w:rPr>
          <w:rFonts w:ascii="Times New Roman" w:eastAsia="方正小标宋简体" w:hAnsi="Times New Roman" w:cs="Times New Roman" w:hint="eastAsia"/>
          <w:snapToGrid/>
          <w:kern w:val="2"/>
          <w:sz w:val="40"/>
          <w:szCs w:val="40"/>
        </w:rPr>
        <w:t>中央服务业专利转化资金专项</w:t>
      </w:r>
      <w:r>
        <w:rPr>
          <w:rFonts w:ascii="Times New Roman" w:eastAsia="方正小标宋简体" w:hAnsi="Times New Roman" w:cs="Times New Roman"/>
          <w:snapToGrid/>
          <w:kern w:val="2"/>
          <w:sz w:val="40"/>
          <w:szCs w:val="40"/>
        </w:rPr>
        <w:t>预算项目支出绩效自评报告</w:t>
      </w:r>
    </w:p>
    <w:p w:rsidR="004B0FC1" w:rsidRDefault="004B0FC1">
      <w:pPr>
        <w:pStyle w:val="ab"/>
        <w:spacing w:line="600" w:lineRule="exact"/>
        <w:jc w:val="center"/>
        <w:rPr>
          <w:rFonts w:ascii="Times New Roman" w:eastAsia="方正小标宋简体" w:hAnsi="Times New Roman" w:cs="Times New Roman"/>
          <w:snapToGrid/>
          <w:kern w:val="2"/>
          <w:sz w:val="40"/>
          <w:szCs w:val="40"/>
        </w:rPr>
      </w:pPr>
    </w:p>
    <w:p w:rsidR="004B0FC1" w:rsidRDefault="00A976D9">
      <w:pPr>
        <w:widowControl w:val="0"/>
        <w:kinsoku/>
        <w:autoSpaceDE/>
        <w:autoSpaceDN/>
        <w:spacing w:line="578" w:lineRule="exact"/>
        <w:ind w:firstLineChars="200" w:firstLine="640"/>
        <w:jc w:val="both"/>
        <w:textAlignment w:val="auto"/>
        <w:rPr>
          <w:rFonts w:ascii="Times New Roman" w:eastAsia="黑体" w:hAnsi="Times New Roman" w:cs="Times New Roman"/>
          <w:snapToGrid/>
          <w:color w:val="auto"/>
          <w:kern w:val="2"/>
          <w:sz w:val="32"/>
          <w:szCs w:val="32"/>
          <w:lang w:val="zh-CN" w:eastAsia="zh-CN"/>
        </w:rPr>
      </w:pPr>
      <w:r>
        <w:rPr>
          <w:rFonts w:ascii="Times New Roman" w:eastAsia="黑体" w:hAnsi="Times New Roman" w:cs="Times New Roman" w:hint="eastAsia"/>
          <w:snapToGrid/>
          <w:color w:val="auto"/>
          <w:kern w:val="2"/>
          <w:sz w:val="32"/>
          <w:szCs w:val="32"/>
          <w:lang w:eastAsia="zh-CN"/>
        </w:rPr>
        <w:t>一、</w:t>
      </w:r>
      <w:r>
        <w:rPr>
          <w:rFonts w:ascii="Times New Roman" w:eastAsia="黑体" w:hAnsi="Times New Roman" w:cs="Times New Roman" w:hint="eastAsia"/>
          <w:snapToGrid/>
          <w:color w:val="auto"/>
          <w:kern w:val="2"/>
          <w:sz w:val="32"/>
          <w:szCs w:val="32"/>
          <w:lang w:val="zh-CN" w:eastAsia="zh-CN"/>
        </w:rPr>
        <w:t>项目概况</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（一）项目基本情况。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根据《财政部办公厅</w:t>
      </w:r>
      <w:r>
        <w:rPr>
          <w:rFonts w:ascii="Times New Roman" w:eastAsia="仿宋_GB2312" w:hAnsi="Times New Roman" w:cs="仿宋_GB2312" w:hint="eastAsia"/>
          <w:snapToGrid/>
          <w:sz w:val="32"/>
          <w:szCs w:val="32"/>
          <w:lang w:val="zh-CN" w:eastAsia="zh-CN"/>
        </w:rPr>
        <w:t xml:space="preserve"> </w:t>
      </w:r>
      <w:r>
        <w:rPr>
          <w:rFonts w:ascii="Times New Roman" w:eastAsia="仿宋_GB2312" w:hAnsi="Times New Roman" w:cs="仿宋_GB2312" w:hint="eastAsia"/>
          <w:snapToGrid/>
          <w:sz w:val="32"/>
          <w:szCs w:val="32"/>
          <w:lang w:val="zh-CN" w:eastAsia="zh-CN"/>
        </w:rPr>
        <w:t>国家知识产权局办公室关于实施专利转化专项计划</w:t>
      </w:r>
      <w:r>
        <w:rPr>
          <w:rFonts w:ascii="Times New Roman" w:eastAsia="仿宋_GB2312" w:hAnsi="Times New Roman" w:cs="仿宋_GB2312" w:hint="eastAsia"/>
          <w:snapToGrid/>
          <w:sz w:val="32"/>
          <w:szCs w:val="32"/>
          <w:lang w:val="zh-CN" w:eastAsia="zh-CN"/>
        </w:rPr>
        <w:t xml:space="preserve"> </w:t>
      </w:r>
      <w:r>
        <w:rPr>
          <w:rFonts w:ascii="Times New Roman" w:eastAsia="仿宋_GB2312" w:hAnsi="Times New Roman" w:cs="仿宋_GB2312" w:hint="eastAsia"/>
          <w:snapToGrid/>
          <w:sz w:val="32"/>
          <w:szCs w:val="32"/>
          <w:lang w:val="zh-CN" w:eastAsia="zh-CN"/>
        </w:rPr>
        <w:t>助力中小企业创新发展的通知》</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财办建</w:t>
      </w:r>
      <w:r>
        <w:rPr>
          <w:rFonts w:ascii="Times New Roman" w:eastAsia="仿宋_GB2312" w:hAnsi="Times New Roman" w:cs="仿宋_GB2312" w:hint="eastAsia"/>
          <w:snapToGrid/>
          <w:sz w:val="32"/>
          <w:szCs w:val="32"/>
          <w:lang w:val="zh-CN" w:eastAsia="zh-CN"/>
        </w:rPr>
        <w:t xml:space="preserve">(2021)23 </w:t>
      </w:r>
      <w:r>
        <w:rPr>
          <w:rFonts w:ascii="Times New Roman" w:eastAsia="仿宋_GB2312" w:hAnsi="Times New Roman" w:cs="仿宋_GB2312" w:hint="eastAsia"/>
          <w:snapToGrid/>
          <w:sz w:val="32"/>
          <w:szCs w:val="32"/>
          <w:lang w:val="zh-CN" w:eastAsia="zh-CN"/>
        </w:rPr>
        <w:t>号</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、《四川省实施专利转化专项计划</w:t>
      </w:r>
      <w:r>
        <w:rPr>
          <w:rFonts w:ascii="Times New Roman" w:eastAsia="仿宋_GB2312" w:hAnsi="Times New Roman" w:cs="仿宋_GB2312" w:hint="eastAsia"/>
          <w:snapToGrid/>
          <w:sz w:val="32"/>
          <w:szCs w:val="32"/>
          <w:lang w:val="zh-CN" w:eastAsia="zh-CN"/>
        </w:rPr>
        <w:t xml:space="preserve"> </w:t>
      </w:r>
      <w:r>
        <w:rPr>
          <w:rFonts w:ascii="Times New Roman" w:eastAsia="仿宋_GB2312" w:hAnsi="Times New Roman" w:cs="仿宋_GB2312" w:hint="eastAsia"/>
          <w:snapToGrid/>
          <w:sz w:val="32"/>
          <w:szCs w:val="32"/>
          <w:lang w:val="zh-CN" w:eastAsia="zh-CN"/>
        </w:rPr>
        <w:t>助力中小企业创新发展行动方案（</w:t>
      </w:r>
      <w:r>
        <w:rPr>
          <w:rFonts w:ascii="Times New Roman" w:eastAsia="仿宋_GB2312" w:hAnsi="Times New Roman" w:cs="仿宋_GB2312" w:hint="eastAsia"/>
          <w:snapToGrid/>
          <w:sz w:val="32"/>
          <w:szCs w:val="32"/>
          <w:lang w:val="zh-CN" w:eastAsia="zh-CN"/>
        </w:rPr>
        <w:t>2021</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2023</w:t>
      </w:r>
      <w:r>
        <w:rPr>
          <w:rFonts w:ascii="Times New Roman" w:eastAsia="仿宋_GB2312" w:hAnsi="Times New Roman" w:cs="仿宋_GB2312" w:hint="eastAsia"/>
          <w:snapToGrid/>
          <w:sz w:val="32"/>
          <w:szCs w:val="32"/>
          <w:lang w:val="zh-CN" w:eastAsia="zh-CN"/>
        </w:rPr>
        <w:t>年）》（</w:t>
      </w:r>
      <w:proofErr w:type="gramStart"/>
      <w:r>
        <w:rPr>
          <w:rFonts w:ascii="Times New Roman" w:eastAsia="仿宋_GB2312" w:hAnsi="Times New Roman" w:cs="仿宋_GB2312" w:hint="eastAsia"/>
          <w:snapToGrid/>
          <w:sz w:val="32"/>
          <w:szCs w:val="32"/>
          <w:lang w:val="zh-CN" w:eastAsia="zh-CN"/>
        </w:rPr>
        <w:t>川知促</w:t>
      </w:r>
      <w:proofErr w:type="gramEnd"/>
      <w:r>
        <w:rPr>
          <w:rFonts w:ascii="Times New Roman" w:eastAsia="仿宋_GB2312" w:hAnsi="Times New Roman" w:cs="仿宋_GB2312" w:hint="eastAsia"/>
          <w:snapToGrid/>
          <w:sz w:val="32"/>
          <w:szCs w:val="32"/>
          <w:lang w:val="zh-CN" w:eastAsia="zh-CN"/>
        </w:rPr>
        <w:t>发〔</w:t>
      </w:r>
      <w:r>
        <w:rPr>
          <w:rFonts w:ascii="Times New Roman" w:eastAsia="仿宋_GB2312" w:hAnsi="Times New Roman" w:cs="仿宋_GB2312" w:hint="eastAsia"/>
          <w:snapToGrid/>
          <w:sz w:val="32"/>
          <w:szCs w:val="32"/>
          <w:lang w:val="zh-CN" w:eastAsia="zh-CN"/>
        </w:rPr>
        <w:t>2021</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17</w:t>
      </w:r>
      <w:r>
        <w:rPr>
          <w:rFonts w:ascii="Times New Roman" w:eastAsia="仿宋_GB2312" w:hAnsi="Times New Roman" w:cs="仿宋_GB2312" w:hint="eastAsia"/>
          <w:snapToGrid/>
          <w:sz w:val="32"/>
          <w:szCs w:val="32"/>
          <w:lang w:val="zh-CN" w:eastAsia="zh-CN"/>
        </w:rPr>
        <w:t>号）和《四川省知识产权服务促进中心关于开展第二批专利转化专项项目申报工作的通知》有关建设区域知识产权运营体系建设项目要求，市市场监管局下属知识产权服务中心按要求向省知识产权服务促进中心进行了申报，获得</w:t>
      </w:r>
      <w:r>
        <w:rPr>
          <w:rFonts w:ascii="Times New Roman" w:eastAsia="仿宋_GB2312" w:hAnsi="Times New Roman" w:cs="仿宋_GB2312" w:hint="eastAsia"/>
          <w:snapToGrid/>
          <w:sz w:val="32"/>
          <w:szCs w:val="32"/>
          <w:lang w:val="zh-CN" w:eastAsia="zh-CN"/>
        </w:rPr>
        <w:t>100</w:t>
      </w:r>
      <w:r>
        <w:rPr>
          <w:rFonts w:ascii="Times New Roman" w:eastAsia="仿宋_GB2312" w:hAnsi="Times New Roman" w:cs="仿宋_GB2312" w:hint="eastAsia"/>
          <w:snapToGrid/>
          <w:sz w:val="32"/>
          <w:szCs w:val="32"/>
          <w:lang w:val="zh-CN" w:eastAsia="zh-CN"/>
        </w:rPr>
        <w:t>万资金支持。</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w:t>
      </w:r>
      <w:r>
        <w:rPr>
          <w:rFonts w:ascii="Times New Roman" w:eastAsia="仿宋_GB2312" w:hAnsi="Times New Roman" w:cs="仿宋_GB2312" w:hint="eastAsia"/>
          <w:snapToGrid/>
          <w:sz w:val="32"/>
          <w:szCs w:val="32"/>
          <w:lang w:val="zh-CN" w:eastAsia="zh-CN"/>
        </w:rPr>
        <w:t>12</w:t>
      </w:r>
      <w:r>
        <w:rPr>
          <w:rFonts w:ascii="Times New Roman" w:eastAsia="仿宋_GB2312" w:hAnsi="Times New Roman" w:cs="仿宋_GB2312" w:hint="eastAsia"/>
          <w:snapToGrid/>
          <w:sz w:val="32"/>
          <w:szCs w:val="32"/>
          <w:lang w:val="zh-CN" w:eastAsia="zh-CN"/>
        </w:rPr>
        <w:t>月市财政局下达</w:t>
      </w:r>
      <w:r>
        <w:rPr>
          <w:rFonts w:ascii="Times New Roman" w:eastAsia="仿宋_GB2312" w:hAnsi="Times New Roman" w:cs="仿宋_GB2312" w:hint="eastAsia"/>
          <w:snapToGrid/>
          <w:sz w:val="32"/>
          <w:szCs w:val="32"/>
          <w:lang w:val="zh-CN" w:eastAsia="zh-CN"/>
        </w:rPr>
        <w:t>55.245</w:t>
      </w:r>
      <w:r>
        <w:rPr>
          <w:rFonts w:ascii="Times New Roman" w:eastAsia="仿宋_GB2312" w:hAnsi="Times New Roman" w:cs="仿宋_GB2312" w:hint="eastAsia"/>
          <w:snapToGrid/>
          <w:sz w:val="32"/>
          <w:szCs w:val="32"/>
          <w:lang w:val="zh-CN" w:eastAsia="zh-CN"/>
        </w:rPr>
        <w:t>万元该项目结转资金（攀财资建〔</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89</w:t>
      </w:r>
      <w:r>
        <w:rPr>
          <w:rFonts w:ascii="Times New Roman" w:eastAsia="仿宋_GB2312" w:hAnsi="Times New Roman" w:cs="仿宋_GB2312" w:hint="eastAsia"/>
          <w:snapToGrid/>
          <w:sz w:val="32"/>
          <w:szCs w:val="32"/>
          <w:lang w:val="zh-CN" w:eastAsia="zh-CN"/>
        </w:rPr>
        <w:t>号）。</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项目资金管理按照《四川省专利转化专项计划项目管理办法》《四川省省级知识产权专项资金项目管理办法（试行）》文件要求进行支出管理。资金主要用于开展区域知识产权运营中心体系建设，具体为建设四川省知识产权运营中心攀枝花分中心有关的专利转移转化体系促进，运营能力提升等范围。</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（二）项目绩效目标。</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项目主要完成内容。</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）完成知识产权运营分中心的专利检索系统配置。</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lastRenderedPageBreak/>
        <w:t>（</w:t>
      </w: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）完成运营中心分中心有关运营指标，实现知识产权交易在成都知识产权交易中心挂牌服务。</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项目应实现的具体绩效目标。</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）配置</w:t>
      </w:r>
      <w:r>
        <w:rPr>
          <w:rFonts w:ascii="Times New Roman" w:eastAsia="仿宋_GB2312" w:hAnsi="Times New Roman" w:cs="仿宋_GB2312" w:hint="eastAsia"/>
          <w:snapToGrid/>
          <w:sz w:val="32"/>
          <w:szCs w:val="32"/>
          <w:lang w:val="zh-CN" w:eastAsia="zh-CN"/>
        </w:rPr>
        <w:t>3</w:t>
      </w:r>
      <w:r>
        <w:rPr>
          <w:rFonts w:ascii="Times New Roman" w:eastAsia="仿宋_GB2312" w:hAnsi="Times New Roman" w:cs="仿宋_GB2312" w:hint="eastAsia"/>
          <w:snapToGrid/>
          <w:sz w:val="32"/>
          <w:szCs w:val="32"/>
          <w:lang w:val="zh-CN" w:eastAsia="zh-CN"/>
        </w:rPr>
        <w:t>个</w:t>
      </w:r>
      <w:r w:rsidR="0066466D">
        <w:rPr>
          <w:rFonts w:ascii="Times New Roman" w:eastAsia="仿宋_GB2312" w:hAnsi="Times New Roman" w:cs="仿宋_GB2312" w:hint="eastAsia"/>
          <w:snapToGrid/>
          <w:sz w:val="32"/>
          <w:szCs w:val="32"/>
          <w:lang w:val="zh-CN" w:eastAsia="zh-CN"/>
        </w:rPr>
        <w:t>账户</w:t>
      </w:r>
      <w:r>
        <w:rPr>
          <w:rFonts w:ascii="Times New Roman" w:eastAsia="仿宋_GB2312" w:hAnsi="Times New Roman" w:cs="仿宋_GB2312" w:hint="eastAsia"/>
          <w:snapToGrid/>
          <w:sz w:val="32"/>
          <w:szCs w:val="32"/>
          <w:lang w:val="zh-CN" w:eastAsia="zh-CN"/>
        </w:rPr>
        <w:t>的专利检索系统。</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）年均发布专利技术供需信息</w:t>
      </w:r>
      <w:r>
        <w:rPr>
          <w:rFonts w:ascii="Times New Roman" w:eastAsia="仿宋_GB2312" w:hAnsi="Times New Roman" w:cs="仿宋_GB2312" w:hint="eastAsia"/>
          <w:snapToGrid/>
          <w:sz w:val="32"/>
          <w:szCs w:val="32"/>
          <w:lang w:val="zh-CN" w:eastAsia="zh-CN"/>
        </w:rPr>
        <w:t>50</w:t>
      </w:r>
      <w:r>
        <w:rPr>
          <w:rFonts w:ascii="Times New Roman" w:eastAsia="仿宋_GB2312" w:hAnsi="Times New Roman" w:cs="仿宋_GB2312" w:hint="eastAsia"/>
          <w:snapToGrid/>
          <w:sz w:val="32"/>
          <w:szCs w:val="32"/>
          <w:lang w:val="zh-CN" w:eastAsia="zh-CN"/>
        </w:rPr>
        <w:t>条。</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3</w:t>
      </w:r>
      <w:r>
        <w:rPr>
          <w:rFonts w:ascii="Times New Roman" w:eastAsia="仿宋_GB2312" w:hAnsi="Times New Roman" w:cs="仿宋_GB2312" w:hint="eastAsia"/>
          <w:snapToGrid/>
          <w:sz w:val="32"/>
          <w:szCs w:val="32"/>
          <w:lang w:val="zh-CN" w:eastAsia="zh-CN"/>
        </w:rPr>
        <w:t>）在成都知识产权交易中心开展挂牌服务</w:t>
      </w:r>
      <w:r>
        <w:rPr>
          <w:rFonts w:ascii="Times New Roman" w:eastAsia="仿宋_GB2312" w:hAnsi="Times New Roman" w:cs="仿宋_GB2312" w:hint="eastAsia"/>
          <w:snapToGrid/>
          <w:sz w:val="32"/>
          <w:szCs w:val="32"/>
          <w:lang w:val="zh-CN" w:eastAsia="zh-CN"/>
        </w:rPr>
        <w:t>20</w:t>
      </w:r>
      <w:r>
        <w:rPr>
          <w:rFonts w:ascii="Times New Roman" w:eastAsia="仿宋_GB2312" w:hAnsi="Times New Roman" w:cs="仿宋_GB2312" w:hint="eastAsia"/>
          <w:snapToGrid/>
          <w:sz w:val="32"/>
          <w:szCs w:val="32"/>
          <w:lang w:val="zh-CN" w:eastAsia="zh-CN"/>
        </w:rPr>
        <w:t>件。</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4</w:t>
      </w:r>
      <w:r>
        <w:rPr>
          <w:rFonts w:ascii="Times New Roman" w:eastAsia="仿宋_GB2312" w:hAnsi="Times New Roman" w:cs="仿宋_GB2312" w:hint="eastAsia"/>
          <w:snapToGrid/>
          <w:sz w:val="32"/>
          <w:szCs w:val="32"/>
          <w:lang w:val="zh-CN" w:eastAsia="zh-CN"/>
        </w:rPr>
        <w:t>）促进专利转化金额</w:t>
      </w:r>
      <w:r>
        <w:rPr>
          <w:rFonts w:ascii="Times New Roman" w:eastAsia="仿宋_GB2312" w:hAnsi="Times New Roman" w:cs="仿宋_GB2312" w:hint="eastAsia"/>
          <w:snapToGrid/>
          <w:sz w:val="32"/>
          <w:szCs w:val="32"/>
          <w:lang w:val="zh-CN" w:eastAsia="zh-CN"/>
        </w:rPr>
        <w:t>200</w:t>
      </w:r>
      <w:r>
        <w:rPr>
          <w:rFonts w:ascii="Times New Roman" w:eastAsia="仿宋_GB2312" w:hAnsi="Times New Roman" w:cs="仿宋_GB2312" w:hint="eastAsia"/>
          <w:snapToGrid/>
          <w:sz w:val="32"/>
          <w:szCs w:val="32"/>
          <w:lang w:val="zh-CN" w:eastAsia="zh-CN"/>
        </w:rPr>
        <w:t>万元</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5</w:t>
      </w:r>
      <w:r>
        <w:rPr>
          <w:rFonts w:ascii="Times New Roman" w:eastAsia="仿宋_GB2312" w:hAnsi="Times New Roman" w:cs="仿宋_GB2312" w:hint="eastAsia"/>
          <w:snapToGrid/>
          <w:sz w:val="32"/>
          <w:szCs w:val="32"/>
          <w:lang w:val="zh-CN" w:eastAsia="zh-CN"/>
        </w:rPr>
        <w:t>）促进专利转化次数</w:t>
      </w:r>
      <w:r>
        <w:rPr>
          <w:rFonts w:ascii="Times New Roman" w:eastAsia="仿宋_GB2312" w:hAnsi="Times New Roman" w:cs="仿宋_GB2312" w:hint="eastAsia"/>
          <w:snapToGrid/>
          <w:sz w:val="32"/>
          <w:szCs w:val="32"/>
          <w:lang w:val="zh-CN" w:eastAsia="zh-CN"/>
        </w:rPr>
        <w:t>50</w:t>
      </w:r>
      <w:r>
        <w:rPr>
          <w:rFonts w:ascii="Times New Roman" w:eastAsia="仿宋_GB2312" w:hAnsi="Times New Roman" w:cs="仿宋_GB2312" w:hint="eastAsia"/>
          <w:snapToGrid/>
          <w:sz w:val="32"/>
          <w:szCs w:val="32"/>
          <w:lang w:val="zh-CN" w:eastAsia="zh-CN"/>
        </w:rPr>
        <w:t>次</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3.</w:t>
      </w:r>
      <w:r>
        <w:rPr>
          <w:rFonts w:ascii="Times New Roman" w:eastAsia="仿宋_GB2312" w:hAnsi="Times New Roman" w:cs="仿宋_GB2312" w:hint="eastAsia"/>
          <w:snapToGrid/>
          <w:sz w:val="32"/>
          <w:szCs w:val="32"/>
          <w:lang w:val="zh-CN" w:eastAsia="zh-CN"/>
        </w:rPr>
        <w:t>经分析评价，项目申报内容贴合实际、真实准确，与实施情况一致，无虚假申报。申报目标符合政策要求和客观条件，指标设置合理、可衡量、可实现，与项目规模、资源保障相适应，整体合理可行。</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（三）项目自评步骤及方法。</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前期准备工作。以项目负责人为组长，财务部门和相关业务部门等有关人员组成评价小组，按项目指标实施评价。</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资料收集与审核。根据评价工作要求，项目承担人员对项目实施资料和项目资金使用等基础资料进行收集，基础资料包括项目实施基本情况、考核完成情况、财政资金使用明细、项目相关业务数据。</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3.</w:t>
      </w:r>
      <w:r>
        <w:rPr>
          <w:rFonts w:ascii="Times New Roman" w:eastAsia="仿宋_GB2312" w:hAnsi="Times New Roman" w:cs="仿宋_GB2312" w:hint="eastAsia"/>
          <w:snapToGrid/>
          <w:sz w:val="32"/>
          <w:szCs w:val="32"/>
          <w:lang w:val="zh-CN" w:eastAsia="zh-CN"/>
        </w:rPr>
        <w:t>开展评价。评价人员到项目现场对收集的基础资料采取听取汇报、查看账册、座谈、询查等方式，对有关情况进行核实，对所掌握的有关资料按绩效目标要求进行分类、整理和分析，提出评价意见。</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4.</w:t>
      </w:r>
      <w:r>
        <w:rPr>
          <w:rFonts w:ascii="Times New Roman" w:eastAsia="仿宋_GB2312" w:hAnsi="Times New Roman" w:cs="仿宋_GB2312" w:hint="eastAsia"/>
          <w:snapToGrid/>
          <w:sz w:val="32"/>
          <w:szCs w:val="32"/>
          <w:lang w:val="zh-CN" w:eastAsia="zh-CN"/>
        </w:rPr>
        <w:t>评价结论。项目实施的内容达到考核绩效目标。</w:t>
      </w:r>
    </w:p>
    <w:p w:rsidR="004B0FC1" w:rsidRDefault="00A976D9">
      <w:pPr>
        <w:widowControl w:val="0"/>
        <w:kinsoku/>
        <w:autoSpaceDE/>
        <w:autoSpaceDN/>
        <w:spacing w:line="578" w:lineRule="exact"/>
        <w:ind w:firstLineChars="200" w:firstLine="640"/>
        <w:jc w:val="both"/>
        <w:textAlignment w:val="auto"/>
        <w:rPr>
          <w:rFonts w:ascii="Times New Roman" w:eastAsia="黑体" w:hAnsi="Times New Roman" w:cs="Times New Roman"/>
          <w:snapToGrid/>
          <w:color w:val="auto"/>
          <w:kern w:val="2"/>
          <w:sz w:val="32"/>
          <w:szCs w:val="32"/>
          <w:lang w:eastAsia="zh-CN"/>
        </w:rPr>
      </w:pPr>
      <w:r>
        <w:rPr>
          <w:rFonts w:ascii="Times New Roman" w:eastAsia="黑体" w:hAnsi="Times New Roman" w:cs="Times New Roman" w:hint="eastAsia"/>
          <w:snapToGrid/>
          <w:color w:val="auto"/>
          <w:kern w:val="2"/>
          <w:sz w:val="32"/>
          <w:szCs w:val="32"/>
          <w:lang w:eastAsia="zh-CN"/>
        </w:rPr>
        <w:t>二、项目资金申报及使用情况</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lastRenderedPageBreak/>
        <w:t>（一）项目资金申报及批复情况。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2022</w:t>
      </w:r>
      <w:r>
        <w:rPr>
          <w:rFonts w:ascii="Times New Roman" w:eastAsia="仿宋_GB2312" w:hAnsi="Times New Roman" w:cs="仿宋_GB2312" w:hint="eastAsia"/>
          <w:snapToGrid/>
          <w:sz w:val="32"/>
          <w:szCs w:val="32"/>
          <w:lang w:val="zh-CN" w:eastAsia="zh-CN"/>
        </w:rPr>
        <w:t>年</w:t>
      </w:r>
      <w:r>
        <w:rPr>
          <w:rFonts w:ascii="Times New Roman" w:eastAsia="仿宋_GB2312" w:hAnsi="Times New Roman" w:cs="仿宋_GB2312" w:hint="eastAsia"/>
          <w:snapToGrid/>
          <w:sz w:val="32"/>
          <w:szCs w:val="32"/>
          <w:lang w:val="zh-CN" w:eastAsia="zh-CN"/>
        </w:rPr>
        <w:t>11</w:t>
      </w:r>
      <w:r>
        <w:rPr>
          <w:rFonts w:ascii="Times New Roman" w:eastAsia="仿宋_GB2312" w:hAnsi="Times New Roman" w:cs="仿宋_GB2312" w:hint="eastAsia"/>
          <w:snapToGrid/>
          <w:sz w:val="32"/>
          <w:szCs w:val="32"/>
          <w:lang w:val="zh-CN" w:eastAsia="zh-CN"/>
        </w:rPr>
        <w:t>月，市知识产权服务中心申报了《四川省知识产权运营中心攀枝花分中心》建设项目，建设方向是区域知识产权运营中心建设。</w:t>
      </w:r>
      <w:r>
        <w:rPr>
          <w:rFonts w:ascii="Times New Roman" w:eastAsia="仿宋_GB2312" w:hAnsi="Times New Roman" w:cs="仿宋_GB2312" w:hint="eastAsia"/>
          <w:snapToGrid/>
          <w:sz w:val="32"/>
          <w:szCs w:val="32"/>
          <w:lang w:val="zh-CN" w:eastAsia="zh-CN"/>
        </w:rPr>
        <w:t>2023</w:t>
      </w:r>
      <w:r>
        <w:rPr>
          <w:rFonts w:ascii="Times New Roman" w:eastAsia="仿宋_GB2312" w:hAnsi="Times New Roman" w:cs="仿宋_GB2312" w:hint="eastAsia"/>
          <w:snapToGrid/>
          <w:sz w:val="32"/>
          <w:szCs w:val="32"/>
          <w:lang w:val="zh-CN" w:eastAsia="zh-CN"/>
        </w:rPr>
        <w:t>年</w:t>
      </w:r>
      <w:r>
        <w:rPr>
          <w:rFonts w:ascii="Times New Roman" w:eastAsia="仿宋_GB2312" w:hAnsi="Times New Roman" w:cs="仿宋_GB2312" w:hint="eastAsia"/>
          <w:snapToGrid/>
          <w:sz w:val="32"/>
          <w:szCs w:val="32"/>
          <w:lang w:val="zh-CN" w:eastAsia="zh-CN"/>
        </w:rPr>
        <w:t>1</w:t>
      </w:r>
      <w:r>
        <w:rPr>
          <w:rFonts w:ascii="Times New Roman" w:eastAsia="仿宋_GB2312" w:hAnsi="Times New Roman" w:cs="仿宋_GB2312" w:hint="eastAsia"/>
          <w:snapToGrid/>
          <w:sz w:val="32"/>
          <w:szCs w:val="32"/>
          <w:lang w:val="zh-CN" w:eastAsia="zh-CN"/>
        </w:rPr>
        <w:t>月原省知识产权服务促进中心批复了《关于下达中央服务业发展（专利转化方向）专项资金预算的通知》并下达了</w:t>
      </w:r>
      <w:r>
        <w:rPr>
          <w:rFonts w:ascii="Times New Roman" w:eastAsia="仿宋_GB2312" w:hAnsi="Times New Roman" w:cs="仿宋_GB2312" w:hint="eastAsia"/>
          <w:snapToGrid/>
          <w:sz w:val="32"/>
          <w:szCs w:val="32"/>
          <w:lang w:val="zh-CN" w:eastAsia="zh-CN"/>
        </w:rPr>
        <w:t>100</w:t>
      </w:r>
      <w:r>
        <w:rPr>
          <w:rFonts w:ascii="Times New Roman" w:eastAsia="仿宋_GB2312" w:hAnsi="Times New Roman" w:cs="仿宋_GB2312" w:hint="eastAsia"/>
          <w:snapToGrid/>
          <w:sz w:val="32"/>
          <w:szCs w:val="32"/>
          <w:lang w:val="zh-CN" w:eastAsia="zh-CN"/>
        </w:rPr>
        <w:t>万专项资金。</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为顺利完成项目验收工作，</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w:t>
      </w:r>
      <w:r>
        <w:rPr>
          <w:rFonts w:ascii="Times New Roman" w:eastAsia="仿宋_GB2312" w:hAnsi="Times New Roman" w:cs="仿宋_GB2312" w:hint="eastAsia"/>
          <w:snapToGrid/>
          <w:sz w:val="32"/>
          <w:szCs w:val="32"/>
          <w:lang w:val="zh-CN" w:eastAsia="zh-CN"/>
        </w:rPr>
        <w:t>6</w:t>
      </w:r>
      <w:r>
        <w:rPr>
          <w:rFonts w:ascii="Times New Roman" w:eastAsia="仿宋_GB2312" w:hAnsi="Times New Roman" w:cs="仿宋_GB2312" w:hint="eastAsia"/>
          <w:snapToGrid/>
          <w:sz w:val="32"/>
          <w:szCs w:val="32"/>
          <w:lang w:val="zh-CN" w:eastAsia="zh-CN"/>
        </w:rPr>
        <w:t>月市市场监管局向市财政局去函《关于再次申请支付</w:t>
      </w:r>
      <w:r>
        <w:rPr>
          <w:rFonts w:ascii="Times New Roman" w:eastAsia="仿宋_GB2312" w:hAnsi="Times New Roman" w:cs="仿宋_GB2312" w:hint="eastAsia"/>
          <w:snapToGrid/>
          <w:sz w:val="32"/>
          <w:szCs w:val="32"/>
          <w:lang w:val="zh-CN" w:eastAsia="zh-CN"/>
        </w:rPr>
        <w:t>2022</w:t>
      </w:r>
      <w:r>
        <w:rPr>
          <w:rFonts w:ascii="Times New Roman" w:eastAsia="仿宋_GB2312" w:hAnsi="Times New Roman" w:cs="仿宋_GB2312" w:hint="eastAsia"/>
          <w:snapToGrid/>
          <w:sz w:val="32"/>
          <w:szCs w:val="32"/>
          <w:lang w:val="zh-CN" w:eastAsia="zh-CN"/>
        </w:rPr>
        <w:t>年中央服务业发展（专利转化方向）专项资金的函》。</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年</w:t>
      </w:r>
      <w:r>
        <w:rPr>
          <w:rFonts w:ascii="Times New Roman" w:eastAsia="仿宋_GB2312" w:hAnsi="Times New Roman" w:cs="仿宋_GB2312" w:hint="eastAsia"/>
          <w:snapToGrid/>
          <w:sz w:val="32"/>
          <w:szCs w:val="32"/>
          <w:lang w:val="zh-CN" w:eastAsia="zh-CN"/>
        </w:rPr>
        <w:t>12</w:t>
      </w:r>
      <w:r>
        <w:rPr>
          <w:rFonts w:ascii="Times New Roman" w:eastAsia="仿宋_GB2312" w:hAnsi="Times New Roman" w:cs="仿宋_GB2312" w:hint="eastAsia"/>
          <w:snapToGrid/>
          <w:sz w:val="32"/>
          <w:szCs w:val="32"/>
          <w:lang w:val="zh-CN" w:eastAsia="zh-CN"/>
        </w:rPr>
        <w:t>月市财政向我局下达了</w:t>
      </w:r>
      <w:r>
        <w:rPr>
          <w:rFonts w:ascii="Times New Roman" w:eastAsia="仿宋_GB2312" w:hAnsi="Times New Roman" w:cs="仿宋_GB2312" w:hint="eastAsia"/>
          <w:snapToGrid/>
          <w:sz w:val="32"/>
          <w:szCs w:val="32"/>
          <w:lang w:val="zh-CN" w:eastAsia="zh-CN"/>
        </w:rPr>
        <w:t>55.245</w:t>
      </w:r>
      <w:r>
        <w:rPr>
          <w:rFonts w:ascii="Times New Roman" w:eastAsia="仿宋_GB2312" w:hAnsi="Times New Roman" w:cs="仿宋_GB2312" w:hint="eastAsia"/>
          <w:snapToGrid/>
          <w:sz w:val="32"/>
          <w:szCs w:val="32"/>
          <w:lang w:val="zh-CN" w:eastAsia="zh-CN"/>
        </w:rPr>
        <w:t>万元项目资金（攀财资建〔</w:t>
      </w:r>
      <w:r>
        <w:rPr>
          <w:rFonts w:ascii="Times New Roman" w:eastAsia="仿宋_GB2312" w:hAnsi="Times New Roman" w:cs="仿宋_GB2312" w:hint="eastAsia"/>
          <w:snapToGrid/>
          <w:sz w:val="32"/>
          <w:szCs w:val="32"/>
          <w:lang w:val="zh-CN" w:eastAsia="zh-CN"/>
        </w:rPr>
        <w:t>2025</w:t>
      </w:r>
      <w:r>
        <w:rPr>
          <w:rFonts w:ascii="Times New Roman" w:eastAsia="仿宋_GB2312" w:hAnsi="Times New Roman" w:cs="仿宋_GB2312" w:hint="eastAsia"/>
          <w:snapToGrid/>
          <w:sz w:val="32"/>
          <w:szCs w:val="32"/>
          <w:lang w:val="zh-CN" w:eastAsia="zh-CN"/>
        </w:rPr>
        <w:t>〕</w:t>
      </w:r>
      <w:r>
        <w:rPr>
          <w:rFonts w:ascii="Times New Roman" w:eastAsia="仿宋_GB2312" w:hAnsi="Times New Roman" w:cs="仿宋_GB2312" w:hint="eastAsia"/>
          <w:snapToGrid/>
          <w:sz w:val="32"/>
          <w:szCs w:val="32"/>
          <w:lang w:val="zh-CN" w:eastAsia="zh-CN"/>
        </w:rPr>
        <w:t>89</w:t>
      </w:r>
      <w:r>
        <w:rPr>
          <w:rFonts w:ascii="Times New Roman" w:eastAsia="仿宋_GB2312" w:hAnsi="Times New Roman" w:cs="仿宋_GB2312" w:hint="eastAsia"/>
          <w:snapToGrid/>
          <w:sz w:val="32"/>
          <w:szCs w:val="32"/>
          <w:lang w:val="zh-CN" w:eastAsia="zh-CN"/>
        </w:rPr>
        <w:t>号）。</w:t>
      </w:r>
    </w:p>
    <w:p w:rsidR="004B0FC1" w:rsidRDefault="00A976D9">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r>
        <w:rPr>
          <w:rFonts w:ascii="Times New Roman" w:eastAsia="楷体_GB2312" w:hAnsi="Times New Roman" w:cs="Times New Roman"/>
          <w:b/>
          <w:snapToGrid/>
          <w:kern w:val="2"/>
          <w:sz w:val="32"/>
          <w:szCs w:val="32"/>
          <w:lang w:val="zh-CN" w:eastAsia="zh-CN"/>
        </w:rPr>
        <w:t>（二）资金计划、到位及使用情况。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项目计划总资金</w:t>
      </w:r>
      <w:r>
        <w:rPr>
          <w:rFonts w:ascii="Times New Roman" w:eastAsia="仿宋_GB2312" w:hAnsi="Times New Roman" w:cs="仿宋_GB2312" w:hint="eastAsia"/>
          <w:snapToGrid/>
          <w:sz w:val="32"/>
          <w:szCs w:val="32"/>
          <w:lang w:val="zh-CN" w:eastAsia="zh-CN"/>
        </w:rPr>
        <w:t>55.245</w:t>
      </w:r>
      <w:r>
        <w:rPr>
          <w:rFonts w:ascii="Times New Roman" w:eastAsia="仿宋_GB2312" w:hAnsi="Times New Roman" w:cs="仿宋_GB2312" w:hint="eastAsia"/>
          <w:snapToGrid/>
          <w:sz w:val="32"/>
          <w:szCs w:val="32"/>
          <w:lang w:val="zh-CN" w:eastAsia="zh-CN"/>
        </w:rPr>
        <w:t>万元，资金预算编制依据充分、额度合理，符合项目实施需求和财务管理规定。截至评价日，项目实际到位资金</w:t>
      </w:r>
      <w:r>
        <w:rPr>
          <w:rFonts w:ascii="Times New Roman" w:eastAsia="仿宋_GB2312" w:hAnsi="Times New Roman" w:cs="仿宋_GB2312" w:hint="eastAsia"/>
          <w:snapToGrid/>
          <w:sz w:val="32"/>
          <w:szCs w:val="32"/>
          <w:lang w:val="zh-CN" w:eastAsia="zh-CN"/>
        </w:rPr>
        <w:t>55.245</w:t>
      </w:r>
      <w:r>
        <w:rPr>
          <w:rFonts w:ascii="Times New Roman" w:eastAsia="仿宋_GB2312" w:hAnsi="Times New Roman" w:cs="仿宋_GB2312" w:hint="eastAsia"/>
          <w:snapToGrid/>
          <w:sz w:val="32"/>
          <w:szCs w:val="32"/>
          <w:lang w:val="zh-CN" w:eastAsia="zh-CN"/>
        </w:rPr>
        <w:t>万元，资金到位率</w:t>
      </w:r>
      <w:r>
        <w:rPr>
          <w:rFonts w:ascii="Times New Roman" w:eastAsia="仿宋_GB2312" w:hAnsi="Times New Roman" w:cs="仿宋_GB2312" w:hint="eastAsia"/>
          <w:snapToGrid/>
          <w:sz w:val="32"/>
          <w:szCs w:val="32"/>
          <w:lang w:val="zh-CN" w:eastAsia="zh-CN"/>
        </w:rPr>
        <w:t>100%</w:t>
      </w:r>
      <w:r>
        <w:rPr>
          <w:rFonts w:ascii="Times New Roman" w:eastAsia="仿宋_GB2312" w:hAnsi="Times New Roman" w:cs="仿宋_GB2312" w:hint="eastAsia"/>
          <w:snapToGrid/>
          <w:sz w:val="32"/>
          <w:szCs w:val="32"/>
          <w:lang w:val="zh-CN" w:eastAsia="zh-CN"/>
        </w:rPr>
        <w:t>，资金按规定及时足额拨付到位，保障了项目顺利实施。</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项目实际支出资金</w:t>
      </w:r>
      <w:r>
        <w:rPr>
          <w:rFonts w:ascii="Times New Roman" w:eastAsia="仿宋_GB2312" w:hAnsi="Times New Roman" w:cs="仿宋_GB2312" w:hint="eastAsia"/>
          <w:snapToGrid/>
          <w:sz w:val="32"/>
          <w:szCs w:val="32"/>
          <w:lang w:val="zh-CN" w:eastAsia="zh-CN"/>
        </w:rPr>
        <w:t>17.045</w:t>
      </w:r>
      <w:r>
        <w:rPr>
          <w:rFonts w:ascii="Times New Roman" w:eastAsia="仿宋_GB2312" w:hAnsi="Times New Roman" w:cs="仿宋_GB2312" w:hint="eastAsia"/>
          <w:snapToGrid/>
          <w:sz w:val="32"/>
          <w:szCs w:val="32"/>
          <w:lang w:val="zh-CN" w:eastAsia="zh-CN"/>
        </w:rPr>
        <w:t>万元，资金主要用于四川省知识产权运营中心攀枝花分中心购买服务、专利检索软件</w:t>
      </w:r>
      <w:r w:rsidR="0066466D">
        <w:rPr>
          <w:rFonts w:ascii="Times New Roman" w:eastAsia="仿宋_GB2312" w:hAnsi="Times New Roman" w:cs="仿宋_GB2312" w:hint="eastAsia"/>
          <w:snapToGrid/>
          <w:sz w:val="32"/>
          <w:szCs w:val="32"/>
          <w:lang w:val="zh-CN" w:eastAsia="zh-CN"/>
        </w:rPr>
        <w:t>账户</w:t>
      </w:r>
      <w:r>
        <w:rPr>
          <w:rFonts w:ascii="Times New Roman" w:eastAsia="仿宋_GB2312" w:hAnsi="Times New Roman" w:cs="仿宋_GB2312" w:hint="eastAsia"/>
          <w:snapToGrid/>
          <w:sz w:val="32"/>
          <w:szCs w:val="32"/>
          <w:lang w:val="zh-CN" w:eastAsia="zh-CN"/>
        </w:rPr>
        <w:t>采购等方面。资金使用严格执行财经纪律和财务制度，做到专款专用、规范支付、审批手续齐全，无截留、挤占、挪用、虚列支出等情况，资金使用合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、高效。</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（三）项目财务管理情况。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项目实施过程中，严格遵守国家财经法律法规及单位内部财务管理制度，强化制度的执行力度。按照《四川省专利转化专项计划项目管理办法》《四川省省级知识产权专项资金项目管理办法（试行）》的管理要求，加强会计核算，专款专用。</w:t>
      </w:r>
      <w:r>
        <w:rPr>
          <w:rFonts w:ascii="Times New Roman" w:eastAsia="仿宋_GB2312" w:hAnsi="Times New Roman" w:cs="仿宋_GB2312" w:hint="eastAsia"/>
          <w:snapToGrid/>
          <w:sz w:val="32"/>
          <w:szCs w:val="32"/>
          <w:lang w:val="zh-CN" w:eastAsia="zh-CN"/>
        </w:rPr>
        <w:lastRenderedPageBreak/>
        <w:t>按项目名称、资金性质等相关信息进行专款专账核算，完整反映资金来源渠道、支出方向，账务处理及时，会计核算规范。政府采购项目合法合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w:t>
      </w:r>
    </w:p>
    <w:p w:rsidR="004B0FC1" w:rsidRDefault="00A976D9">
      <w:pPr>
        <w:widowControl w:val="0"/>
        <w:kinsoku/>
        <w:autoSpaceDE/>
        <w:autoSpaceDN/>
        <w:spacing w:line="578" w:lineRule="exact"/>
        <w:ind w:firstLineChars="200" w:firstLine="640"/>
        <w:jc w:val="both"/>
        <w:textAlignment w:val="auto"/>
        <w:rPr>
          <w:rFonts w:ascii="Times New Roman" w:eastAsia="黑体" w:hAnsi="Times New Roman" w:cs="Times New Roman"/>
          <w:snapToGrid/>
          <w:color w:val="auto"/>
          <w:kern w:val="2"/>
          <w:sz w:val="32"/>
          <w:szCs w:val="32"/>
          <w:lang w:eastAsia="zh-CN"/>
        </w:rPr>
      </w:pPr>
      <w:r>
        <w:rPr>
          <w:rFonts w:ascii="Times New Roman" w:eastAsia="黑体" w:hAnsi="Times New Roman" w:cs="Times New Roman" w:hint="eastAsia"/>
          <w:snapToGrid/>
          <w:color w:val="auto"/>
          <w:kern w:val="2"/>
          <w:sz w:val="32"/>
          <w:szCs w:val="32"/>
          <w:lang w:eastAsia="zh-CN"/>
        </w:rPr>
        <w:t>三、项目实施及管理情况</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（一）项目组织架构及实施流程。</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项目由市知识产权服务中心具体承担，项目负责人由中心负责人担任，职称为高级工程师，成员为中心人员，包括工程师和硕士研究生，都是专业从事知识产权工作人员。</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按照项目合同书要求，围绕考核指标，根据项目实施计划、项目组成内容、资金预算对项目开展实施规划，确定重点完成的子项目。根据子项目内容，组织人员分时执行。涉及设备采购、服务采购、检索软件、管理系统设计采购，按政府采购和市市场监督管理局规定流程进行。涉及人员能力提升的，参与上级主管部门提升培训，按相关规定进行培训费用支出。涉及提升本市人员运营能力的，按照市级有关规定组织开展培训工作。涉及机制组建、数据收集整理的按合同计划要求推进进行。根据项目管理要求，省级相关部门需对项目进行验收，项目组将根据相关通知进行验收准备。</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（二）项目管理情况。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该项目按照《四川省专利转化专项计划项目管理办法》进行管理。资金使用方式按照《四川省省级知识产权专项资金项目管理办法（试行）》进行管理，项目所涉及的设备采购、服务购买等都按照政府采购流程和市市场监督管理局相关制度要求办理。</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（三）项目监管情况。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lastRenderedPageBreak/>
        <w:t>根据设置的项目预算绩效目标，采取项目跟踪等方式，动态反映项目进度，适时采取相应措施警示督促纠偏纠错，促进预算绩效目标实现。对政府采购项目，机关纪委全程参与监督，保证项目采购合法合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w:t>
      </w:r>
    </w:p>
    <w:p w:rsidR="004B0FC1" w:rsidRDefault="00A976D9">
      <w:pPr>
        <w:widowControl w:val="0"/>
        <w:kinsoku/>
        <w:autoSpaceDE/>
        <w:autoSpaceDN/>
        <w:spacing w:line="578" w:lineRule="exact"/>
        <w:ind w:firstLineChars="200" w:firstLine="640"/>
        <w:jc w:val="both"/>
        <w:textAlignment w:val="auto"/>
        <w:rPr>
          <w:rFonts w:ascii="Times New Roman" w:eastAsia="黑体" w:hAnsi="Times New Roman" w:cs="Times New Roman"/>
          <w:snapToGrid/>
          <w:color w:val="auto"/>
          <w:kern w:val="2"/>
          <w:sz w:val="32"/>
          <w:szCs w:val="32"/>
          <w:lang w:val="zh-CN" w:eastAsia="zh-CN"/>
        </w:rPr>
      </w:pPr>
      <w:r>
        <w:rPr>
          <w:rFonts w:ascii="Times New Roman" w:eastAsia="黑体" w:hAnsi="Times New Roman" w:cs="Times New Roman" w:hint="eastAsia"/>
          <w:snapToGrid/>
          <w:color w:val="auto"/>
          <w:kern w:val="2"/>
          <w:sz w:val="32"/>
          <w:szCs w:val="32"/>
          <w:lang w:eastAsia="zh-CN"/>
        </w:rPr>
        <w:t>四、项目绩效情况</w:t>
      </w:r>
      <w:r>
        <w:rPr>
          <w:rFonts w:ascii="Times New Roman" w:eastAsia="黑体" w:hAnsi="Times New Roman" w:cs="Times New Roman" w:hint="eastAsia"/>
          <w:snapToGrid/>
          <w:color w:val="auto"/>
          <w:kern w:val="2"/>
          <w:sz w:val="32"/>
          <w:szCs w:val="32"/>
          <w:lang w:val="zh-CN" w:eastAsia="zh-CN"/>
        </w:rPr>
        <w:tab/>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（一）项目完成情况。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61"/>
        <w:gridCol w:w="1701"/>
        <w:gridCol w:w="1559"/>
        <w:gridCol w:w="1439"/>
      </w:tblGrid>
      <w:tr w:rsidR="004B0FC1">
        <w:trPr>
          <w:trHeight w:val="600"/>
        </w:trPr>
        <w:tc>
          <w:tcPr>
            <w:tcW w:w="4361" w:type="dxa"/>
            <w:vMerge w:val="restart"/>
            <w:vAlign w:val="center"/>
          </w:tcPr>
          <w:p w:rsidR="004B0FC1" w:rsidRDefault="00A976D9">
            <w:pPr>
              <w:topLinePunct/>
              <w:jc w:val="center"/>
              <w:textAlignment w:val="center"/>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24"/>
                <w:szCs w:val="24"/>
              </w:rPr>
              <w:t>年初三级指标</w:t>
            </w:r>
          </w:p>
        </w:tc>
        <w:tc>
          <w:tcPr>
            <w:tcW w:w="1701" w:type="dxa"/>
            <w:vMerge w:val="restart"/>
            <w:vAlign w:val="center"/>
          </w:tcPr>
          <w:p w:rsidR="004B0FC1" w:rsidRDefault="00A976D9">
            <w:pPr>
              <w:topLinePunct/>
              <w:jc w:val="center"/>
              <w:textAlignment w:val="center"/>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24"/>
                <w:szCs w:val="24"/>
              </w:rPr>
              <w:t>年初指标值</w:t>
            </w:r>
          </w:p>
        </w:tc>
        <w:tc>
          <w:tcPr>
            <w:tcW w:w="1559" w:type="dxa"/>
            <w:vMerge w:val="restart"/>
            <w:vAlign w:val="center"/>
          </w:tcPr>
          <w:p w:rsidR="004B0FC1" w:rsidRDefault="00A976D9">
            <w:pPr>
              <w:topLinePunct/>
              <w:jc w:val="center"/>
              <w:textAlignment w:val="center"/>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24"/>
                <w:szCs w:val="24"/>
              </w:rPr>
              <w:t>实际完成数</w:t>
            </w:r>
          </w:p>
        </w:tc>
        <w:tc>
          <w:tcPr>
            <w:tcW w:w="1439" w:type="dxa"/>
            <w:vMerge w:val="restart"/>
            <w:vAlign w:val="center"/>
          </w:tcPr>
          <w:p w:rsidR="004B0FC1" w:rsidRDefault="00A976D9">
            <w:pPr>
              <w:topLinePunct/>
              <w:jc w:val="center"/>
              <w:textAlignment w:val="center"/>
              <w:rPr>
                <w:rFonts w:ascii="方正仿宋_GB2312" w:eastAsia="方正仿宋_GB2312" w:hAnsi="方正仿宋_GB2312" w:cs="方正仿宋_GB2312"/>
                <w:bCs/>
                <w:sz w:val="24"/>
                <w:szCs w:val="24"/>
              </w:rPr>
            </w:pPr>
            <w:r>
              <w:rPr>
                <w:rFonts w:ascii="方正仿宋_GB2312" w:eastAsia="方正仿宋_GB2312" w:hAnsi="方正仿宋_GB2312" w:cs="方正仿宋_GB2312" w:hint="eastAsia"/>
                <w:bCs/>
                <w:sz w:val="24"/>
                <w:szCs w:val="24"/>
              </w:rPr>
              <w:t>完成率</w:t>
            </w:r>
          </w:p>
        </w:tc>
      </w:tr>
      <w:tr w:rsidR="004B0FC1">
        <w:trPr>
          <w:trHeight w:val="347"/>
        </w:trPr>
        <w:tc>
          <w:tcPr>
            <w:tcW w:w="4361" w:type="dxa"/>
            <w:vMerge/>
          </w:tcPr>
          <w:p w:rsidR="004B0FC1" w:rsidRDefault="004B0FC1">
            <w:pPr>
              <w:topLinePunct/>
              <w:rPr>
                <w:rFonts w:ascii="方正仿宋_GB2312" w:eastAsia="方正仿宋_GB2312" w:hAnsi="方正仿宋_GB2312" w:cs="方正仿宋_GB2312"/>
                <w:b/>
                <w:bCs/>
                <w:sz w:val="24"/>
                <w:szCs w:val="24"/>
              </w:rPr>
            </w:pPr>
          </w:p>
        </w:tc>
        <w:tc>
          <w:tcPr>
            <w:tcW w:w="1701" w:type="dxa"/>
            <w:vMerge/>
          </w:tcPr>
          <w:p w:rsidR="004B0FC1" w:rsidRDefault="004B0FC1">
            <w:pPr>
              <w:topLinePunct/>
              <w:rPr>
                <w:rFonts w:ascii="方正仿宋_GB2312" w:eastAsia="方正仿宋_GB2312" w:hAnsi="方正仿宋_GB2312" w:cs="方正仿宋_GB2312"/>
                <w:b/>
                <w:bCs/>
                <w:sz w:val="24"/>
                <w:szCs w:val="24"/>
              </w:rPr>
            </w:pPr>
          </w:p>
        </w:tc>
        <w:tc>
          <w:tcPr>
            <w:tcW w:w="1559" w:type="dxa"/>
            <w:vMerge/>
          </w:tcPr>
          <w:p w:rsidR="004B0FC1" w:rsidRDefault="004B0FC1">
            <w:pPr>
              <w:topLinePunct/>
              <w:rPr>
                <w:rFonts w:ascii="方正仿宋_GB2312" w:eastAsia="方正仿宋_GB2312" w:hAnsi="方正仿宋_GB2312" w:cs="方正仿宋_GB2312"/>
                <w:b/>
                <w:bCs/>
                <w:sz w:val="24"/>
                <w:szCs w:val="24"/>
              </w:rPr>
            </w:pPr>
          </w:p>
        </w:tc>
        <w:tc>
          <w:tcPr>
            <w:tcW w:w="1439" w:type="dxa"/>
            <w:vMerge/>
          </w:tcPr>
          <w:p w:rsidR="004B0FC1" w:rsidRDefault="004B0FC1">
            <w:pPr>
              <w:topLinePunct/>
              <w:rPr>
                <w:rFonts w:ascii="方正仿宋_GB2312" w:eastAsia="方正仿宋_GB2312" w:hAnsi="方正仿宋_GB2312" w:cs="方正仿宋_GB2312"/>
                <w:b/>
                <w:bCs/>
                <w:sz w:val="24"/>
                <w:szCs w:val="24"/>
              </w:rPr>
            </w:pPr>
          </w:p>
        </w:tc>
      </w:tr>
      <w:tr w:rsidR="004B0FC1">
        <w:trPr>
          <w:trHeight w:val="629"/>
        </w:trPr>
        <w:tc>
          <w:tcPr>
            <w:tcW w:w="4361" w:type="dxa"/>
            <w:vAlign w:val="center"/>
          </w:tcPr>
          <w:p w:rsidR="004B0FC1" w:rsidRDefault="00A976D9">
            <w:pPr>
              <w:topLinePunct/>
              <w:textAlignment w:val="center"/>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年均发布专利技术供需信息</w:t>
            </w:r>
          </w:p>
        </w:tc>
        <w:tc>
          <w:tcPr>
            <w:tcW w:w="1701" w:type="dxa"/>
            <w:vAlign w:val="center"/>
          </w:tcPr>
          <w:p w:rsidR="004B0FC1" w:rsidRDefault="00A976D9">
            <w:pPr>
              <w:topLinePunct/>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rPr>
              <w:t>50</w:t>
            </w:r>
            <w:r>
              <w:rPr>
                <w:rFonts w:ascii="Times New Roman" w:eastAsia="方正仿宋_GB2312" w:hAnsi="Times New Roman" w:cs="Times New Roman"/>
                <w:sz w:val="24"/>
                <w:szCs w:val="24"/>
              </w:rPr>
              <w:t>次</w:t>
            </w:r>
          </w:p>
        </w:tc>
        <w:tc>
          <w:tcPr>
            <w:tcW w:w="1559" w:type="dxa"/>
            <w:vAlign w:val="center"/>
          </w:tcPr>
          <w:p w:rsidR="004B0FC1" w:rsidRDefault="00A976D9">
            <w:pPr>
              <w:topLinePunct/>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rPr>
              <w:t>160</w:t>
            </w:r>
            <w:r>
              <w:rPr>
                <w:rFonts w:ascii="Times New Roman" w:eastAsia="方正仿宋_GB2312" w:hAnsi="Times New Roman" w:cs="Times New Roman"/>
                <w:sz w:val="24"/>
                <w:szCs w:val="24"/>
              </w:rPr>
              <w:t>次</w:t>
            </w:r>
          </w:p>
        </w:tc>
        <w:tc>
          <w:tcPr>
            <w:tcW w:w="1439" w:type="dxa"/>
            <w:vAlign w:val="center"/>
          </w:tcPr>
          <w:p w:rsidR="004B0FC1" w:rsidRDefault="00A976D9">
            <w:pPr>
              <w:topLinePunct/>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rPr>
              <w:t>320%</w:t>
            </w:r>
          </w:p>
        </w:tc>
      </w:tr>
      <w:tr w:rsidR="004B0FC1">
        <w:trPr>
          <w:trHeight w:val="465"/>
        </w:trPr>
        <w:tc>
          <w:tcPr>
            <w:tcW w:w="4361" w:type="dxa"/>
            <w:vAlign w:val="center"/>
          </w:tcPr>
          <w:p w:rsidR="004B0FC1" w:rsidRDefault="00A976D9">
            <w:pPr>
              <w:topLinePunct/>
              <w:textAlignment w:val="center"/>
              <w:rPr>
                <w:rFonts w:ascii="方正仿宋_GB2312" w:eastAsia="方正仿宋_GB2312" w:hAnsi="方正仿宋_GB2312" w:cs="方正仿宋_GB2312"/>
                <w:sz w:val="24"/>
                <w:szCs w:val="24"/>
              </w:rPr>
            </w:pPr>
            <w:r>
              <w:rPr>
                <w:rFonts w:ascii="方正仿宋_GB2312" w:eastAsia="方正仿宋_GB2312" w:hAnsi="方正仿宋_GB2312" w:cs="方正仿宋_GB2312" w:hint="eastAsia"/>
                <w:sz w:val="24"/>
                <w:szCs w:val="24"/>
              </w:rPr>
              <w:t>专利转化次数</w:t>
            </w:r>
          </w:p>
        </w:tc>
        <w:tc>
          <w:tcPr>
            <w:tcW w:w="1701" w:type="dxa"/>
            <w:vAlign w:val="center"/>
          </w:tcPr>
          <w:p w:rsidR="004B0FC1" w:rsidRDefault="00A976D9">
            <w:pPr>
              <w:topLinePunct/>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rPr>
              <w:t>104</w:t>
            </w:r>
            <w:r>
              <w:rPr>
                <w:rFonts w:ascii="Times New Roman" w:eastAsia="方正仿宋_GB2312" w:hAnsi="Times New Roman" w:cs="Times New Roman"/>
                <w:sz w:val="24"/>
                <w:szCs w:val="24"/>
              </w:rPr>
              <w:t>次</w:t>
            </w:r>
          </w:p>
        </w:tc>
        <w:tc>
          <w:tcPr>
            <w:tcW w:w="1559" w:type="dxa"/>
            <w:vAlign w:val="center"/>
          </w:tcPr>
          <w:p w:rsidR="004B0FC1" w:rsidRDefault="00A976D9">
            <w:pPr>
              <w:topLinePunct/>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rPr>
              <w:t>107</w:t>
            </w:r>
            <w:r>
              <w:rPr>
                <w:rFonts w:ascii="Times New Roman" w:eastAsia="方正仿宋_GB2312" w:hAnsi="Times New Roman" w:cs="Times New Roman"/>
                <w:sz w:val="24"/>
                <w:szCs w:val="24"/>
              </w:rPr>
              <w:t>次</w:t>
            </w:r>
          </w:p>
        </w:tc>
        <w:tc>
          <w:tcPr>
            <w:tcW w:w="1439" w:type="dxa"/>
            <w:vAlign w:val="center"/>
          </w:tcPr>
          <w:p w:rsidR="004B0FC1" w:rsidRDefault="00A976D9">
            <w:pPr>
              <w:topLinePunct/>
              <w:jc w:val="center"/>
              <w:textAlignment w:val="center"/>
              <w:rPr>
                <w:rFonts w:ascii="Times New Roman" w:eastAsia="方正仿宋_GB2312" w:hAnsi="Times New Roman" w:cs="Times New Roman"/>
                <w:color w:val="606266"/>
                <w:sz w:val="24"/>
                <w:szCs w:val="24"/>
              </w:rPr>
            </w:pPr>
            <w:r>
              <w:rPr>
                <w:rFonts w:ascii="Times New Roman" w:eastAsia="方正仿宋_GB2312" w:hAnsi="Times New Roman" w:cs="Times New Roman"/>
                <w:color w:val="606266"/>
                <w:sz w:val="24"/>
                <w:szCs w:val="24"/>
              </w:rPr>
              <w:t>102%</w:t>
            </w:r>
          </w:p>
        </w:tc>
      </w:tr>
      <w:tr w:rsidR="004B0FC1">
        <w:trPr>
          <w:trHeight w:val="465"/>
        </w:trPr>
        <w:tc>
          <w:tcPr>
            <w:tcW w:w="4361" w:type="dxa"/>
            <w:vAlign w:val="center"/>
          </w:tcPr>
          <w:p w:rsidR="004B0FC1" w:rsidRDefault="00A976D9">
            <w:pPr>
              <w:topLinePunct/>
              <w:textAlignment w:val="center"/>
              <w:rPr>
                <w:rFonts w:ascii="方正仿宋_GB2312" w:eastAsia="方正仿宋_GB2312" w:hAnsi="方正仿宋_GB2312" w:cs="方正仿宋_GB2312"/>
                <w:sz w:val="24"/>
                <w:szCs w:val="24"/>
              </w:rPr>
            </w:pPr>
            <w:r>
              <w:rPr>
                <w:rFonts w:ascii="方正仿宋_GB2312" w:eastAsia="方正仿宋_GB2312" w:hAnsi="方正仿宋_GB2312" w:cs="方正仿宋_GB2312" w:hint="eastAsia"/>
                <w:sz w:val="24"/>
                <w:szCs w:val="24"/>
              </w:rPr>
              <w:t>专利转化金额</w:t>
            </w:r>
          </w:p>
        </w:tc>
        <w:tc>
          <w:tcPr>
            <w:tcW w:w="1701" w:type="dxa"/>
            <w:vAlign w:val="center"/>
          </w:tcPr>
          <w:p w:rsidR="004B0FC1" w:rsidRDefault="00A976D9">
            <w:pPr>
              <w:topLinePunct/>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rPr>
              <w:t>253</w:t>
            </w:r>
            <w:r>
              <w:rPr>
                <w:rFonts w:ascii="Times New Roman" w:eastAsia="方正仿宋_GB2312" w:hAnsi="Times New Roman" w:cs="Times New Roman"/>
                <w:sz w:val="24"/>
                <w:szCs w:val="24"/>
              </w:rPr>
              <w:t>万元</w:t>
            </w:r>
          </w:p>
        </w:tc>
        <w:tc>
          <w:tcPr>
            <w:tcW w:w="1559" w:type="dxa"/>
            <w:vAlign w:val="center"/>
          </w:tcPr>
          <w:p w:rsidR="004B0FC1" w:rsidRDefault="00A976D9">
            <w:pPr>
              <w:topLinePunct/>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rPr>
              <w:t>526</w:t>
            </w:r>
            <w:r>
              <w:rPr>
                <w:rFonts w:ascii="Times New Roman" w:eastAsia="方正仿宋_GB2312" w:hAnsi="Times New Roman" w:cs="Times New Roman"/>
                <w:sz w:val="24"/>
                <w:szCs w:val="24"/>
              </w:rPr>
              <w:t>万元</w:t>
            </w:r>
          </w:p>
        </w:tc>
        <w:tc>
          <w:tcPr>
            <w:tcW w:w="1439" w:type="dxa"/>
            <w:vAlign w:val="center"/>
          </w:tcPr>
          <w:p w:rsidR="004B0FC1" w:rsidRDefault="00A976D9">
            <w:pPr>
              <w:topLinePunct/>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rPr>
              <w:t>207%</w:t>
            </w:r>
          </w:p>
        </w:tc>
      </w:tr>
      <w:tr w:rsidR="004B0FC1">
        <w:trPr>
          <w:trHeight w:val="465"/>
        </w:trPr>
        <w:tc>
          <w:tcPr>
            <w:tcW w:w="4361" w:type="dxa"/>
            <w:vAlign w:val="center"/>
          </w:tcPr>
          <w:p w:rsidR="004B0FC1" w:rsidRDefault="00A976D9">
            <w:pPr>
              <w:topLinePunct/>
              <w:textAlignment w:val="center"/>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建设服务于本地成都知识产权交易中心攀枝花服务中心</w:t>
            </w:r>
          </w:p>
        </w:tc>
        <w:tc>
          <w:tcPr>
            <w:tcW w:w="1701" w:type="dxa"/>
            <w:vAlign w:val="center"/>
          </w:tcPr>
          <w:p w:rsidR="004B0FC1" w:rsidRDefault="00A976D9">
            <w:pPr>
              <w:topLinePunct/>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rPr>
              <w:t>1</w:t>
            </w:r>
          </w:p>
        </w:tc>
        <w:tc>
          <w:tcPr>
            <w:tcW w:w="1559" w:type="dxa"/>
            <w:vAlign w:val="center"/>
          </w:tcPr>
          <w:p w:rsidR="004B0FC1" w:rsidRDefault="00A976D9">
            <w:pPr>
              <w:topLinePunct/>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rPr>
              <w:t>1</w:t>
            </w:r>
          </w:p>
        </w:tc>
        <w:tc>
          <w:tcPr>
            <w:tcW w:w="1439" w:type="dxa"/>
            <w:vAlign w:val="center"/>
          </w:tcPr>
          <w:p w:rsidR="004B0FC1" w:rsidRDefault="00A976D9">
            <w:pPr>
              <w:topLinePunct/>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rPr>
              <w:t>100%</w:t>
            </w:r>
          </w:p>
        </w:tc>
      </w:tr>
      <w:tr w:rsidR="004B0FC1">
        <w:trPr>
          <w:trHeight w:val="465"/>
        </w:trPr>
        <w:tc>
          <w:tcPr>
            <w:tcW w:w="4361" w:type="dxa"/>
            <w:vAlign w:val="center"/>
          </w:tcPr>
          <w:p w:rsidR="004B0FC1" w:rsidRDefault="00A976D9">
            <w:pPr>
              <w:topLinePunct/>
              <w:textAlignment w:val="center"/>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完成区域知识产权运营中心建设项目</w:t>
            </w:r>
          </w:p>
        </w:tc>
        <w:tc>
          <w:tcPr>
            <w:tcW w:w="1701" w:type="dxa"/>
            <w:vAlign w:val="center"/>
          </w:tcPr>
          <w:p w:rsidR="004B0FC1" w:rsidRDefault="00A976D9">
            <w:pPr>
              <w:topLinePunct/>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rPr>
              <w:t>1</w:t>
            </w:r>
            <w:r>
              <w:rPr>
                <w:rFonts w:ascii="Times New Roman" w:eastAsia="方正仿宋_GB2312" w:hAnsi="Times New Roman" w:cs="Times New Roman"/>
                <w:sz w:val="24"/>
                <w:szCs w:val="24"/>
              </w:rPr>
              <w:t>个</w:t>
            </w:r>
          </w:p>
        </w:tc>
        <w:tc>
          <w:tcPr>
            <w:tcW w:w="1559" w:type="dxa"/>
            <w:vAlign w:val="center"/>
          </w:tcPr>
          <w:p w:rsidR="004B0FC1" w:rsidRDefault="00A976D9">
            <w:pPr>
              <w:topLinePunct/>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rPr>
              <w:t>1</w:t>
            </w:r>
          </w:p>
        </w:tc>
        <w:tc>
          <w:tcPr>
            <w:tcW w:w="1439" w:type="dxa"/>
            <w:vAlign w:val="center"/>
          </w:tcPr>
          <w:p w:rsidR="004B0FC1" w:rsidRDefault="00A976D9">
            <w:pPr>
              <w:topLinePunct/>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rPr>
              <w:t>100%</w:t>
            </w:r>
          </w:p>
        </w:tc>
      </w:tr>
      <w:tr w:rsidR="004B0FC1">
        <w:trPr>
          <w:trHeight w:val="465"/>
        </w:trPr>
        <w:tc>
          <w:tcPr>
            <w:tcW w:w="4361" w:type="dxa"/>
            <w:vAlign w:val="center"/>
          </w:tcPr>
          <w:p w:rsidR="004B0FC1" w:rsidRDefault="00A976D9">
            <w:pPr>
              <w:topLinePunct/>
              <w:textAlignment w:val="center"/>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检索软件账户配制数量</w:t>
            </w:r>
          </w:p>
        </w:tc>
        <w:tc>
          <w:tcPr>
            <w:tcW w:w="1701" w:type="dxa"/>
            <w:vAlign w:val="center"/>
          </w:tcPr>
          <w:p w:rsidR="004B0FC1" w:rsidRDefault="00A976D9">
            <w:pPr>
              <w:topLinePunct/>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rPr>
              <w:t>≥3</w:t>
            </w:r>
          </w:p>
        </w:tc>
        <w:tc>
          <w:tcPr>
            <w:tcW w:w="1559" w:type="dxa"/>
            <w:vAlign w:val="center"/>
          </w:tcPr>
          <w:p w:rsidR="004B0FC1" w:rsidRDefault="00A976D9">
            <w:pPr>
              <w:topLinePunct/>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rPr>
              <w:t>3</w:t>
            </w:r>
          </w:p>
        </w:tc>
        <w:tc>
          <w:tcPr>
            <w:tcW w:w="1439" w:type="dxa"/>
            <w:vAlign w:val="center"/>
          </w:tcPr>
          <w:p w:rsidR="004B0FC1" w:rsidRDefault="00A976D9">
            <w:pPr>
              <w:topLinePunct/>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rPr>
              <w:t>100%</w:t>
            </w:r>
          </w:p>
        </w:tc>
      </w:tr>
      <w:tr w:rsidR="004B0FC1">
        <w:trPr>
          <w:trHeight w:val="460"/>
        </w:trPr>
        <w:tc>
          <w:tcPr>
            <w:tcW w:w="4361" w:type="dxa"/>
            <w:vAlign w:val="center"/>
          </w:tcPr>
          <w:p w:rsidR="004B0FC1" w:rsidRDefault="00A976D9">
            <w:pPr>
              <w:topLinePunct/>
              <w:textAlignment w:val="center"/>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服务中小</w:t>
            </w:r>
            <w:proofErr w:type="gramStart"/>
            <w:r>
              <w:rPr>
                <w:rFonts w:ascii="方正仿宋_GB2312" w:eastAsia="方正仿宋_GB2312" w:hAnsi="方正仿宋_GB2312" w:cs="方正仿宋_GB2312" w:hint="eastAsia"/>
                <w:sz w:val="24"/>
                <w:szCs w:val="24"/>
                <w:lang w:eastAsia="zh-CN"/>
              </w:rPr>
              <w:t>微企业</w:t>
            </w:r>
            <w:proofErr w:type="gramEnd"/>
            <w:r>
              <w:rPr>
                <w:rFonts w:ascii="方正仿宋_GB2312" w:eastAsia="方正仿宋_GB2312" w:hAnsi="方正仿宋_GB2312" w:cs="方正仿宋_GB2312" w:hint="eastAsia"/>
                <w:sz w:val="24"/>
                <w:szCs w:val="24"/>
                <w:lang w:eastAsia="zh-CN"/>
              </w:rPr>
              <w:t>数量占比</w:t>
            </w:r>
          </w:p>
        </w:tc>
        <w:tc>
          <w:tcPr>
            <w:tcW w:w="1701" w:type="dxa"/>
            <w:vAlign w:val="center"/>
          </w:tcPr>
          <w:p w:rsidR="004B0FC1" w:rsidRDefault="00A976D9">
            <w:pPr>
              <w:topLinePunct/>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rPr>
              <w:t>≥50%</w:t>
            </w:r>
          </w:p>
        </w:tc>
        <w:tc>
          <w:tcPr>
            <w:tcW w:w="1559" w:type="dxa"/>
            <w:vAlign w:val="center"/>
          </w:tcPr>
          <w:p w:rsidR="004B0FC1" w:rsidRDefault="00A976D9">
            <w:pPr>
              <w:topLinePunct/>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rPr>
              <w:t>53.8%</w:t>
            </w:r>
          </w:p>
        </w:tc>
        <w:tc>
          <w:tcPr>
            <w:tcW w:w="1439" w:type="dxa"/>
            <w:vAlign w:val="center"/>
          </w:tcPr>
          <w:p w:rsidR="004B0FC1" w:rsidRDefault="00A976D9">
            <w:pPr>
              <w:topLinePunct/>
              <w:jc w:val="center"/>
              <w:textAlignment w:val="center"/>
              <w:rPr>
                <w:rFonts w:ascii="Times New Roman" w:eastAsia="方正仿宋_GB2312" w:hAnsi="Times New Roman" w:cs="Times New Roman"/>
                <w:sz w:val="24"/>
                <w:szCs w:val="24"/>
              </w:rPr>
            </w:pPr>
            <w:r>
              <w:rPr>
                <w:rFonts w:ascii="Times New Roman" w:eastAsia="方正仿宋_GB2312" w:hAnsi="Times New Roman" w:cs="Times New Roman"/>
                <w:sz w:val="24"/>
                <w:szCs w:val="24"/>
              </w:rPr>
              <w:t>100%</w:t>
            </w:r>
          </w:p>
        </w:tc>
      </w:tr>
    </w:tbl>
    <w:p w:rsidR="004B0FC1" w:rsidRDefault="00A976D9">
      <w:pPr>
        <w:topLinePunct/>
        <w:ind w:firstLineChars="200" w:firstLine="420"/>
        <w:rPr>
          <w:rFonts w:ascii="方正仿宋_GB2312" w:eastAsia="方正仿宋_GB2312" w:hAnsi="方正仿宋_GB2312" w:cs="方正仿宋_GB2312"/>
          <w:lang w:eastAsia="zh-CN"/>
        </w:rPr>
      </w:pPr>
      <w:r>
        <w:rPr>
          <w:rFonts w:ascii="方正仿宋_GB2312" w:eastAsia="方正仿宋_GB2312" w:hAnsi="方正仿宋_GB2312" w:cs="方正仿宋_GB2312" w:hint="eastAsia"/>
          <w:lang w:eastAsia="zh-CN"/>
        </w:rPr>
        <w:t>2025年12月，《四川省知识产权运营中心攀枝花分中心》建设整体项目基本通过了省市场监管局组织的专家验收。</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（二）项目效益情况。</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区域知识产权运营和专利转让许可服务能力得到进一步提升。区域知识产权创造、运用、保护、管理和服务能力持续增强，区域知识产权转化意识和途径持续提高。</w:t>
      </w:r>
    </w:p>
    <w:p w:rsidR="004B0FC1" w:rsidRDefault="00A976D9">
      <w:pPr>
        <w:widowControl w:val="0"/>
        <w:kinsoku/>
        <w:autoSpaceDE/>
        <w:autoSpaceDN/>
        <w:spacing w:line="578" w:lineRule="exact"/>
        <w:ind w:firstLineChars="200" w:firstLine="640"/>
        <w:jc w:val="both"/>
        <w:textAlignment w:val="auto"/>
        <w:rPr>
          <w:rFonts w:ascii="Times New Roman" w:eastAsia="黑体" w:hAnsi="Times New Roman" w:cs="Times New Roman"/>
          <w:snapToGrid/>
          <w:color w:val="auto"/>
          <w:kern w:val="2"/>
          <w:sz w:val="32"/>
          <w:szCs w:val="32"/>
          <w:lang w:eastAsia="zh-CN"/>
        </w:rPr>
      </w:pPr>
      <w:r>
        <w:rPr>
          <w:rFonts w:ascii="Times New Roman" w:eastAsia="黑体" w:hAnsi="Times New Roman" w:cs="Times New Roman" w:hint="eastAsia"/>
          <w:snapToGrid/>
          <w:color w:val="auto"/>
          <w:kern w:val="2"/>
          <w:sz w:val="32"/>
          <w:szCs w:val="32"/>
          <w:lang w:eastAsia="zh-CN"/>
        </w:rPr>
        <w:t>五、评价结论及建议</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（一）评价结论。</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项目通过四川省知识产权运营中心攀枝花中心的在服务条件、专利转移转化能力、服务队伍水平提升等多方面建设，初步构建攀枝花</w:t>
      </w:r>
      <w:proofErr w:type="gramStart"/>
      <w:r>
        <w:rPr>
          <w:rFonts w:ascii="Times New Roman" w:eastAsia="仿宋_GB2312" w:hAnsi="Times New Roman" w:cs="仿宋_GB2312" w:hint="eastAsia"/>
          <w:snapToGrid/>
          <w:sz w:val="32"/>
          <w:szCs w:val="32"/>
          <w:lang w:val="zh-CN" w:eastAsia="zh-CN"/>
        </w:rPr>
        <w:t>市区域</w:t>
      </w:r>
      <w:proofErr w:type="gramEnd"/>
      <w:r>
        <w:rPr>
          <w:rFonts w:ascii="Times New Roman" w:eastAsia="仿宋_GB2312" w:hAnsi="Times New Roman" w:cs="仿宋_GB2312" w:hint="eastAsia"/>
          <w:snapToGrid/>
          <w:sz w:val="32"/>
          <w:szCs w:val="32"/>
          <w:lang w:val="zh-CN" w:eastAsia="zh-CN"/>
        </w:rPr>
        <w:t>的知识产权运营公共服务能力，实现了各项考核指标。</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lastRenderedPageBreak/>
        <w:t>总体评价认为：本项目立项依据充分、绩效目标合理可行，项目组织管理规范，资金使用合</w:t>
      </w:r>
      <w:proofErr w:type="gramStart"/>
      <w:r>
        <w:rPr>
          <w:rFonts w:ascii="Times New Roman" w:eastAsia="仿宋_GB2312" w:hAnsi="Times New Roman" w:cs="仿宋_GB2312" w:hint="eastAsia"/>
          <w:snapToGrid/>
          <w:sz w:val="32"/>
          <w:szCs w:val="32"/>
          <w:lang w:val="zh-CN" w:eastAsia="zh-CN"/>
        </w:rPr>
        <w:t>规</w:t>
      </w:r>
      <w:proofErr w:type="gramEnd"/>
      <w:r>
        <w:rPr>
          <w:rFonts w:ascii="Times New Roman" w:eastAsia="仿宋_GB2312" w:hAnsi="Times New Roman" w:cs="仿宋_GB2312" w:hint="eastAsia"/>
          <w:snapToGrid/>
          <w:sz w:val="32"/>
          <w:szCs w:val="32"/>
          <w:lang w:val="zh-CN" w:eastAsia="zh-CN"/>
        </w:rPr>
        <w:t>高效，财务制度健全，会计核算规范。项目按计划完成各项任务，实现了预期产出与社会效益，达到了专项项目支出的既定绩效目标，绩效评价结果总体良好。</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（二）存在的问题。</w:t>
      </w:r>
    </w:p>
    <w:p w:rsidR="004B0FC1" w:rsidRDefault="00A976D9">
      <w:pPr>
        <w:pStyle w:val="a5"/>
        <w:topLinePunct/>
        <w:spacing w:line="600" w:lineRule="exact"/>
        <w:ind w:firstLine="720"/>
        <w:jc w:val="both"/>
        <w:rPr>
          <w:rFonts w:ascii="Times New Roman" w:eastAsia="仿宋_GB2312" w:hAnsi="Times New Roman" w:cs="Times New Roman"/>
          <w:snapToGrid/>
          <w:kern w:val="2"/>
          <w:sz w:val="32"/>
          <w:szCs w:val="32"/>
          <w:lang w:val="zh-CN" w:eastAsia="zh-CN"/>
        </w:rPr>
      </w:pPr>
      <w:r>
        <w:rPr>
          <w:rFonts w:ascii="Times New Roman" w:eastAsia="仿宋_GB2312" w:hAnsi="Times New Roman" w:cs="仿宋_GB2312" w:hint="eastAsia"/>
          <w:snapToGrid/>
          <w:sz w:val="32"/>
          <w:szCs w:val="32"/>
          <w:lang w:val="zh-CN" w:eastAsia="zh-CN"/>
        </w:rPr>
        <w:t>在整个项目实施中，“攀枝花市重点产业专利专题数据库建设”和“攀枝花市知识产权预警监测与价值运营服务”</w:t>
      </w:r>
      <w:r>
        <w:rPr>
          <w:rFonts w:ascii="Times New Roman" w:eastAsia="仿宋_GB2312" w:hAnsi="Times New Roman" w:cs="仿宋_GB2312" w:hint="eastAsia"/>
          <w:snapToGrid/>
          <w:sz w:val="32"/>
          <w:szCs w:val="32"/>
          <w:lang w:val="zh-CN" w:eastAsia="zh-CN"/>
        </w:rPr>
        <w:t>2</w:t>
      </w:r>
      <w:r>
        <w:rPr>
          <w:rFonts w:ascii="Times New Roman" w:eastAsia="仿宋_GB2312" w:hAnsi="Times New Roman" w:cs="仿宋_GB2312" w:hint="eastAsia"/>
          <w:snapToGrid/>
          <w:sz w:val="32"/>
          <w:szCs w:val="32"/>
          <w:lang w:val="zh-CN" w:eastAsia="zh-CN"/>
        </w:rPr>
        <w:t>个子项目还需持续推进。整个项目的结余资金还需用于知识产权运营工作中。</w:t>
      </w:r>
    </w:p>
    <w:p w:rsidR="004B0FC1" w:rsidRDefault="00A976D9">
      <w:pPr>
        <w:widowControl w:val="0"/>
        <w:kinsoku/>
        <w:autoSpaceDE/>
        <w:autoSpaceDN/>
        <w:spacing w:line="600" w:lineRule="exact"/>
        <w:ind w:firstLine="720"/>
        <w:jc w:val="both"/>
        <w:textAlignment w:val="auto"/>
        <w:rPr>
          <w:rFonts w:ascii="Times New Roman" w:eastAsia="楷体_GB2312" w:hAnsi="Times New Roman" w:cs="Times New Roman"/>
          <w:b/>
          <w:snapToGrid/>
          <w:kern w:val="2"/>
          <w:sz w:val="32"/>
          <w:szCs w:val="32"/>
          <w:lang w:val="zh-CN" w:eastAsia="zh-CN"/>
        </w:rPr>
      </w:pPr>
      <w:r>
        <w:rPr>
          <w:rFonts w:ascii="Times New Roman" w:eastAsia="楷体_GB2312" w:hAnsi="Times New Roman" w:cs="Times New Roman"/>
          <w:b/>
          <w:snapToGrid/>
          <w:kern w:val="2"/>
          <w:sz w:val="32"/>
          <w:szCs w:val="32"/>
          <w:lang w:val="zh-CN" w:eastAsia="zh-CN"/>
        </w:rPr>
        <w:t>（三）相关建议。</w:t>
      </w:r>
    </w:p>
    <w:p w:rsidR="004B0FC1" w:rsidRDefault="00A976D9">
      <w:pPr>
        <w:widowControl w:val="0"/>
        <w:kinsoku/>
        <w:autoSpaceDE/>
        <w:autoSpaceDN/>
        <w:adjustRightInd/>
        <w:snapToGrid/>
        <w:spacing w:line="578" w:lineRule="exact"/>
        <w:ind w:firstLine="640"/>
        <w:jc w:val="both"/>
        <w:textAlignment w:val="auto"/>
        <w:rPr>
          <w:rFonts w:ascii="Times New Roman" w:eastAsia="仿宋_GB2312" w:hAnsi="Times New Roman" w:cs="仿宋_GB2312"/>
          <w:snapToGrid/>
          <w:sz w:val="32"/>
          <w:szCs w:val="32"/>
          <w:lang w:val="zh-CN" w:eastAsia="zh-CN"/>
        </w:rPr>
      </w:pPr>
      <w:r>
        <w:rPr>
          <w:rFonts w:ascii="Times New Roman" w:eastAsia="仿宋_GB2312" w:hAnsi="Times New Roman" w:cs="仿宋_GB2312" w:hint="eastAsia"/>
          <w:snapToGrid/>
          <w:sz w:val="32"/>
          <w:szCs w:val="32"/>
          <w:lang w:val="zh-CN" w:eastAsia="zh-CN"/>
        </w:rPr>
        <w:t>为保障该项目后续工作持续稳定开展，巩固项目实施成效，更好发挥资金使用效益，恳请对该项目</w:t>
      </w:r>
      <w:r>
        <w:rPr>
          <w:rFonts w:ascii="Times New Roman" w:eastAsia="仿宋_GB2312" w:hAnsi="Times New Roman" w:cs="仿宋_GB2312" w:hint="eastAsia"/>
          <w:snapToGrid/>
          <w:sz w:val="32"/>
          <w:szCs w:val="32"/>
          <w:lang w:val="zh-CN" w:eastAsia="zh-CN"/>
        </w:rPr>
        <w:t>54.65</w:t>
      </w:r>
      <w:r>
        <w:rPr>
          <w:rFonts w:ascii="Times New Roman" w:eastAsia="仿宋_GB2312" w:hAnsi="Times New Roman" w:cs="仿宋_GB2312" w:hint="eastAsia"/>
          <w:snapToGrid/>
          <w:sz w:val="32"/>
          <w:szCs w:val="32"/>
          <w:lang w:val="zh-CN" w:eastAsia="zh-CN"/>
        </w:rPr>
        <w:t>万元资金在后续相关工作推进中继续给予积极支持，确保项目长效运行、提质增效。</w:t>
      </w:r>
    </w:p>
    <w:p w:rsidR="004B0FC1" w:rsidRDefault="004B0FC1">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pPr>
    </w:p>
    <w:p w:rsidR="004B0FC1" w:rsidRDefault="004B0FC1">
      <w:pPr>
        <w:widowControl w:val="0"/>
        <w:kinsoku/>
        <w:autoSpaceDE/>
        <w:autoSpaceDN/>
        <w:spacing w:line="600" w:lineRule="exact"/>
        <w:ind w:firstLine="720"/>
        <w:jc w:val="both"/>
        <w:textAlignment w:val="auto"/>
        <w:rPr>
          <w:rFonts w:ascii="Times New Roman" w:eastAsia="仿宋_GB2312" w:hAnsi="Times New Roman" w:cs="Times New Roman"/>
          <w:snapToGrid/>
          <w:kern w:val="2"/>
          <w:sz w:val="32"/>
          <w:szCs w:val="32"/>
          <w:lang w:val="zh-CN" w:eastAsia="zh-CN"/>
        </w:rPr>
        <w:sectPr w:rsidR="004B0FC1">
          <w:pgSz w:w="11906" w:h="16838"/>
          <w:pgMar w:top="400" w:right="1386" w:bottom="1435" w:left="1598" w:header="0" w:footer="1159" w:gutter="0"/>
          <w:cols w:space="720"/>
        </w:sectPr>
      </w:pPr>
    </w:p>
    <w:p w:rsidR="004B0FC1" w:rsidRDefault="004B0FC1">
      <w:pPr>
        <w:jc w:val="center"/>
        <w:outlineLvl w:val="0"/>
        <w:rPr>
          <w:rFonts w:eastAsia="黑体"/>
          <w:sz w:val="44"/>
          <w:szCs w:val="44"/>
          <w:lang w:eastAsia="zh-CN"/>
        </w:rPr>
      </w:pPr>
      <w:bookmarkStart w:id="74" w:name="bookmark41"/>
      <w:bookmarkEnd w:id="74"/>
    </w:p>
    <w:p w:rsidR="004B0FC1" w:rsidRDefault="00A976D9">
      <w:pPr>
        <w:jc w:val="center"/>
        <w:outlineLvl w:val="0"/>
        <w:rPr>
          <w:rFonts w:eastAsia="仿宋"/>
          <w:lang w:eastAsia="zh-CN"/>
        </w:rPr>
      </w:pPr>
      <w:bookmarkStart w:id="75" w:name="_Toc2874"/>
      <w:r>
        <w:rPr>
          <w:rFonts w:eastAsia="黑体" w:hint="eastAsia"/>
          <w:sz w:val="44"/>
          <w:szCs w:val="44"/>
          <w:lang w:eastAsia="zh-CN"/>
        </w:rPr>
        <w:t>第</w:t>
      </w:r>
      <w:r>
        <w:rPr>
          <w:rStyle w:val="1Char"/>
          <w:rFonts w:eastAsia="黑体" w:hint="eastAsia"/>
          <w:b w:val="0"/>
          <w:lang w:eastAsia="zh-CN"/>
        </w:rPr>
        <w:t>五部分</w:t>
      </w:r>
      <w:r>
        <w:rPr>
          <w:rStyle w:val="1Char"/>
          <w:rFonts w:eastAsia="黑体" w:hint="eastAsia"/>
          <w:b w:val="0"/>
          <w:lang w:eastAsia="zh-CN"/>
        </w:rPr>
        <w:t xml:space="preserve">  </w:t>
      </w:r>
      <w:r>
        <w:rPr>
          <w:rStyle w:val="1Char"/>
          <w:rFonts w:eastAsia="黑体" w:hint="eastAsia"/>
          <w:b w:val="0"/>
          <w:lang w:eastAsia="zh-CN"/>
        </w:rPr>
        <w:t>附表</w:t>
      </w:r>
      <w:bookmarkStart w:id="76" w:name="_Toc15396619"/>
      <w:bookmarkEnd w:id="75"/>
    </w:p>
    <w:p w:rsidR="004B0FC1" w:rsidRDefault="004B0FC1">
      <w:pPr>
        <w:pStyle w:val="21"/>
        <w:spacing w:line="560" w:lineRule="exact"/>
        <w:rPr>
          <w:rFonts w:eastAsia="仿宋_GB2312" w:cs="仿宋_GB2312"/>
          <w:sz w:val="32"/>
          <w:szCs w:val="32"/>
          <w:lang w:eastAsia="zh-CN"/>
        </w:rPr>
      </w:pPr>
    </w:p>
    <w:p w:rsidR="004B0FC1" w:rsidRDefault="00A976D9">
      <w:pPr>
        <w:pStyle w:val="21"/>
        <w:spacing w:line="560" w:lineRule="exact"/>
        <w:outlineLvl w:val="1"/>
        <w:rPr>
          <w:rFonts w:eastAsia="仿宋_GB2312" w:cs="仿宋_GB2312"/>
          <w:sz w:val="32"/>
          <w:szCs w:val="32"/>
          <w:lang w:eastAsia="zh-CN"/>
        </w:rPr>
      </w:pPr>
      <w:bookmarkStart w:id="77" w:name="_Toc2020"/>
      <w:r>
        <w:rPr>
          <w:rFonts w:eastAsia="仿宋_GB2312" w:cs="仿宋_GB2312" w:hint="eastAsia"/>
          <w:sz w:val="32"/>
          <w:szCs w:val="32"/>
          <w:lang w:eastAsia="zh-CN"/>
        </w:rPr>
        <w:t>一、收入支出决算总表</w:t>
      </w:r>
      <w:bookmarkEnd w:id="76"/>
      <w:bookmarkEnd w:id="77"/>
    </w:p>
    <w:p w:rsidR="004B0FC1" w:rsidRDefault="00A976D9">
      <w:pPr>
        <w:pStyle w:val="21"/>
        <w:spacing w:line="560" w:lineRule="exact"/>
        <w:outlineLvl w:val="1"/>
        <w:rPr>
          <w:rFonts w:eastAsia="仿宋_GB2312" w:cs="仿宋_GB2312"/>
          <w:sz w:val="32"/>
          <w:szCs w:val="32"/>
          <w:lang w:eastAsia="zh-CN"/>
        </w:rPr>
      </w:pPr>
      <w:bookmarkStart w:id="78" w:name="_Toc3013"/>
      <w:bookmarkStart w:id="79" w:name="_Toc15396620"/>
      <w:r>
        <w:rPr>
          <w:rFonts w:eastAsia="仿宋_GB2312" w:cs="仿宋_GB2312" w:hint="eastAsia"/>
          <w:sz w:val="32"/>
          <w:szCs w:val="32"/>
          <w:lang w:eastAsia="zh-CN"/>
        </w:rPr>
        <w:t>二、收入决算表</w:t>
      </w:r>
      <w:bookmarkEnd w:id="78"/>
      <w:bookmarkEnd w:id="79"/>
    </w:p>
    <w:p w:rsidR="004B0FC1" w:rsidRDefault="00A976D9">
      <w:pPr>
        <w:pStyle w:val="21"/>
        <w:spacing w:line="560" w:lineRule="exact"/>
        <w:outlineLvl w:val="1"/>
        <w:rPr>
          <w:rFonts w:eastAsia="仿宋_GB2312" w:cs="仿宋_GB2312"/>
          <w:sz w:val="32"/>
          <w:szCs w:val="32"/>
          <w:lang w:eastAsia="zh-CN"/>
        </w:rPr>
      </w:pPr>
      <w:bookmarkStart w:id="80" w:name="_Toc15396621"/>
      <w:bookmarkStart w:id="81" w:name="_Toc30777"/>
      <w:r>
        <w:rPr>
          <w:rFonts w:eastAsia="仿宋_GB2312" w:cs="仿宋_GB2312" w:hint="eastAsia"/>
          <w:sz w:val="32"/>
          <w:szCs w:val="32"/>
          <w:lang w:eastAsia="zh-CN"/>
        </w:rPr>
        <w:t>三、支出决算表</w:t>
      </w:r>
      <w:bookmarkEnd w:id="80"/>
      <w:bookmarkEnd w:id="81"/>
    </w:p>
    <w:p w:rsidR="004B0FC1" w:rsidRDefault="00A976D9">
      <w:pPr>
        <w:pStyle w:val="21"/>
        <w:spacing w:line="560" w:lineRule="exact"/>
        <w:outlineLvl w:val="1"/>
        <w:rPr>
          <w:rFonts w:eastAsia="仿宋_GB2312" w:cs="仿宋_GB2312"/>
          <w:sz w:val="32"/>
          <w:szCs w:val="32"/>
          <w:lang w:eastAsia="zh-CN"/>
        </w:rPr>
      </w:pPr>
      <w:bookmarkStart w:id="82" w:name="_Toc15396622"/>
      <w:bookmarkStart w:id="83" w:name="_Toc22918"/>
      <w:r>
        <w:rPr>
          <w:rFonts w:eastAsia="仿宋_GB2312" w:cs="仿宋_GB2312" w:hint="eastAsia"/>
          <w:sz w:val="32"/>
          <w:szCs w:val="32"/>
          <w:lang w:eastAsia="zh-CN"/>
        </w:rPr>
        <w:t>四、财政拨款收入支出决算总表</w:t>
      </w:r>
      <w:bookmarkEnd w:id="82"/>
      <w:bookmarkEnd w:id="83"/>
    </w:p>
    <w:p w:rsidR="004B0FC1" w:rsidRDefault="00A976D9">
      <w:pPr>
        <w:pStyle w:val="21"/>
        <w:spacing w:line="560" w:lineRule="exact"/>
        <w:outlineLvl w:val="1"/>
        <w:rPr>
          <w:rFonts w:eastAsia="仿宋_GB2312" w:cs="仿宋_GB2312"/>
          <w:sz w:val="32"/>
          <w:szCs w:val="32"/>
          <w:lang w:eastAsia="zh-CN"/>
        </w:rPr>
      </w:pPr>
      <w:bookmarkStart w:id="84" w:name="_Toc21710"/>
      <w:bookmarkStart w:id="85" w:name="_Toc15396623"/>
      <w:r>
        <w:rPr>
          <w:rFonts w:eastAsia="仿宋_GB2312" w:cs="仿宋_GB2312" w:hint="eastAsia"/>
          <w:sz w:val="32"/>
          <w:szCs w:val="32"/>
          <w:lang w:eastAsia="zh-CN"/>
        </w:rPr>
        <w:t>五、财政拨款支出决算明细表</w:t>
      </w:r>
      <w:bookmarkStart w:id="86" w:name="_Toc15396624"/>
      <w:bookmarkEnd w:id="84"/>
      <w:bookmarkEnd w:id="85"/>
    </w:p>
    <w:p w:rsidR="004B0FC1" w:rsidRDefault="00A976D9">
      <w:pPr>
        <w:pStyle w:val="21"/>
        <w:spacing w:line="560" w:lineRule="exact"/>
        <w:outlineLvl w:val="1"/>
        <w:rPr>
          <w:rFonts w:eastAsia="仿宋_GB2312" w:cs="仿宋_GB2312"/>
          <w:sz w:val="32"/>
          <w:szCs w:val="32"/>
          <w:lang w:eastAsia="zh-CN"/>
        </w:rPr>
      </w:pPr>
      <w:bookmarkStart w:id="87" w:name="_Toc3033"/>
      <w:r>
        <w:rPr>
          <w:rFonts w:eastAsia="仿宋_GB2312" w:cs="仿宋_GB2312" w:hint="eastAsia"/>
          <w:sz w:val="32"/>
          <w:szCs w:val="32"/>
          <w:lang w:eastAsia="zh-CN"/>
        </w:rPr>
        <w:t>六、一般公共预算财政拨款支出决算表</w:t>
      </w:r>
      <w:bookmarkEnd w:id="86"/>
      <w:bookmarkEnd w:id="87"/>
    </w:p>
    <w:p w:rsidR="004B0FC1" w:rsidRDefault="00A976D9">
      <w:pPr>
        <w:pStyle w:val="21"/>
        <w:spacing w:line="560" w:lineRule="exact"/>
        <w:outlineLvl w:val="1"/>
        <w:rPr>
          <w:rFonts w:eastAsia="仿宋_GB2312" w:cs="仿宋_GB2312"/>
          <w:sz w:val="32"/>
          <w:szCs w:val="32"/>
          <w:lang w:eastAsia="zh-CN"/>
        </w:rPr>
      </w:pPr>
      <w:bookmarkStart w:id="88" w:name="_Toc6334"/>
      <w:bookmarkStart w:id="89" w:name="_Toc15396625"/>
      <w:r>
        <w:rPr>
          <w:rFonts w:eastAsia="仿宋_GB2312" w:cs="仿宋_GB2312" w:hint="eastAsia"/>
          <w:sz w:val="32"/>
          <w:szCs w:val="32"/>
          <w:lang w:eastAsia="zh-CN"/>
        </w:rPr>
        <w:t>七、一般公共预算财政拨款支出决算明细表</w:t>
      </w:r>
      <w:bookmarkEnd w:id="88"/>
      <w:bookmarkEnd w:id="89"/>
    </w:p>
    <w:p w:rsidR="004B0FC1" w:rsidRDefault="00A976D9">
      <w:pPr>
        <w:pStyle w:val="21"/>
        <w:spacing w:line="560" w:lineRule="exact"/>
        <w:outlineLvl w:val="1"/>
        <w:rPr>
          <w:rFonts w:eastAsia="仿宋_GB2312" w:cs="仿宋_GB2312"/>
          <w:sz w:val="32"/>
          <w:szCs w:val="32"/>
          <w:lang w:eastAsia="zh-CN"/>
        </w:rPr>
      </w:pPr>
      <w:bookmarkStart w:id="90" w:name="_Toc15396626"/>
      <w:bookmarkStart w:id="91" w:name="_Toc5614"/>
      <w:r>
        <w:rPr>
          <w:rFonts w:eastAsia="仿宋_GB2312" w:cs="仿宋_GB2312" w:hint="eastAsia"/>
          <w:sz w:val="32"/>
          <w:szCs w:val="32"/>
          <w:lang w:eastAsia="zh-CN"/>
        </w:rPr>
        <w:t>八、一般公共预算财政拨款基本支出决算表</w:t>
      </w:r>
      <w:bookmarkEnd w:id="90"/>
      <w:bookmarkEnd w:id="91"/>
    </w:p>
    <w:p w:rsidR="004B0FC1" w:rsidRDefault="00A976D9">
      <w:pPr>
        <w:pStyle w:val="21"/>
        <w:spacing w:line="560" w:lineRule="exact"/>
        <w:outlineLvl w:val="1"/>
        <w:rPr>
          <w:rFonts w:eastAsia="仿宋_GB2312" w:cs="仿宋_GB2312"/>
          <w:sz w:val="32"/>
          <w:szCs w:val="32"/>
          <w:lang w:eastAsia="zh-CN"/>
        </w:rPr>
      </w:pPr>
      <w:bookmarkStart w:id="92" w:name="_Toc15396627"/>
      <w:bookmarkStart w:id="93" w:name="_Toc17650"/>
      <w:r>
        <w:rPr>
          <w:rFonts w:eastAsia="仿宋_GB2312" w:cs="仿宋_GB2312" w:hint="eastAsia"/>
          <w:sz w:val="32"/>
          <w:szCs w:val="32"/>
          <w:lang w:eastAsia="zh-CN"/>
        </w:rPr>
        <w:t>九、一般公共预算财政拨款项目支出决算表</w:t>
      </w:r>
      <w:bookmarkEnd w:id="92"/>
      <w:bookmarkEnd w:id="93"/>
    </w:p>
    <w:p w:rsidR="004B0FC1" w:rsidRDefault="00A976D9">
      <w:pPr>
        <w:pStyle w:val="21"/>
        <w:spacing w:line="560" w:lineRule="exact"/>
        <w:outlineLvl w:val="1"/>
        <w:rPr>
          <w:rFonts w:eastAsia="仿宋_GB2312" w:cs="仿宋_GB2312"/>
          <w:sz w:val="32"/>
          <w:szCs w:val="32"/>
          <w:lang w:eastAsia="zh-CN"/>
        </w:rPr>
      </w:pPr>
      <w:bookmarkStart w:id="94" w:name="_Toc15396628"/>
      <w:bookmarkStart w:id="95" w:name="_Toc19868"/>
      <w:r>
        <w:rPr>
          <w:rFonts w:eastAsia="仿宋_GB2312" w:cs="仿宋_GB2312" w:hint="eastAsia"/>
          <w:sz w:val="32"/>
          <w:szCs w:val="32"/>
          <w:lang w:eastAsia="zh-CN"/>
        </w:rPr>
        <w:t>十、</w:t>
      </w:r>
      <w:bookmarkEnd w:id="94"/>
      <w:r>
        <w:rPr>
          <w:rFonts w:eastAsia="仿宋_GB2312" w:cs="仿宋_GB2312" w:hint="eastAsia"/>
          <w:sz w:val="32"/>
          <w:szCs w:val="32"/>
          <w:lang w:eastAsia="zh-CN"/>
        </w:rPr>
        <w:t>政府性基金预算财政拨款收入支出决算表</w:t>
      </w:r>
      <w:bookmarkEnd w:id="95"/>
    </w:p>
    <w:p w:rsidR="004B0FC1" w:rsidRDefault="00A976D9">
      <w:pPr>
        <w:pStyle w:val="21"/>
        <w:spacing w:line="560" w:lineRule="exact"/>
        <w:outlineLvl w:val="1"/>
        <w:rPr>
          <w:rFonts w:eastAsia="仿宋_GB2312" w:cs="仿宋_GB2312"/>
          <w:sz w:val="32"/>
          <w:szCs w:val="32"/>
          <w:lang w:eastAsia="zh-CN"/>
        </w:rPr>
      </w:pPr>
      <w:bookmarkStart w:id="96" w:name="_Toc15396629"/>
      <w:bookmarkStart w:id="97" w:name="_Toc5678"/>
      <w:r>
        <w:rPr>
          <w:rFonts w:eastAsia="仿宋_GB2312" w:cs="仿宋_GB2312" w:hint="eastAsia"/>
          <w:sz w:val="32"/>
          <w:szCs w:val="32"/>
          <w:lang w:eastAsia="zh-CN"/>
        </w:rPr>
        <w:t>十一、</w:t>
      </w:r>
      <w:bookmarkEnd w:id="96"/>
      <w:r>
        <w:rPr>
          <w:rFonts w:eastAsia="仿宋_GB2312" w:cs="仿宋_GB2312" w:hint="eastAsia"/>
          <w:sz w:val="32"/>
          <w:szCs w:val="32"/>
          <w:lang w:eastAsia="zh-CN"/>
        </w:rPr>
        <w:t>国有资本经营预算财政拨款收入支出决算表</w:t>
      </w:r>
      <w:bookmarkEnd w:id="97"/>
    </w:p>
    <w:p w:rsidR="004B0FC1" w:rsidRDefault="00A976D9">
      <w:pPr>
        <w:pStyle w:val="21"/>
        <w:spacing w:line="560" w:lineRule="exact"/>
        <w:outlineLvl w:val="1"/>
        <w:rPr>
          <w:rFonts w:eastAsia="仿宋_GB2312" w:cs="仿宋_GB2312"/>
          <w:sz w:val="32"/>
          <w:szCs w:val="32"/>
          <w:lang w:eastAsia="zh-CN"/>
        </w:rPr>
      </w:pPr>
      <w:bookmarkStart w:id="98" w:name="_Toc15396630"/>
      <w:bookmarkStart w:id="99" w:name="_Toc27062"/>
      <w:r>
        <w:rPr>
          <w:rFonts w:eastAsia="仿宋_GB2312" w:cs="仿宋_GB2312" w:hint="eastAsia"/>
          <w:sz w:val="32"/>
          <w:szCs w:val="32"/>
          <w:lang w:eastAsia="zh-CN"/>
        </w:rPr>
        <w:t>十二、</w:t>
      </w:r>
      <w:bookmarkEnd w:id="98"/>
      <w:r>
        <w:rPr>
          <w:rFonts w:eastAsia="仿宋_GB2312" w:cs="仿宋_GB2312" w:hint="eastAsia"/>
          <w:sz w:val="32"/>
          <w:szCs w:val="32"/>
          <w:lang w:eastAsia="zh-CN"/>
        </w:rPr>
        <w:t>国有资本经营预算财政拨款支出决算表</w:t>
      </w:r>
      <w:bookmarkEnd w:id="99"/>
    </w:p>
    <w:p w:rsidR="004B0FC1" w:rsidRDefault="00A976D9">
      <w:pPr>
        <w:pStyle w:val="21"/>
        <w:spacing w:line="560" w:lineRule="exact"/>
        <w:outlineLvl w:val="1"/>
        <w:rPr>
          <w:rFonts w:eastAsia="仿宋_GB2312" w:cs="仿宋_GB2312"/>
          <w:sz w:val="32"/>
          <w:szCs w:val="32"/>
          <w:lang w:eastAsia="zh-CN"/>
        </w:rPr>
      </w:pPr>
      <w:bookmarkStart w:id="100" w:name="_Toc15396631"/>
      <w:bookmarkStart w:id="101" w:name="_Toc10387"/>
      <w:r>
        <w:rPr>
          <w:rFonts w:eastAsia="仿宋_GB2312" w:cs="仿宋_GB2312" w:hint="eastAsia"/>
          <w:sz w:val="32"/>
          <w:szCs w:val="32"/>
          <w:lang w:eastAsia="zh-CN"/>
        </w:rPr>
        <w:t>十三、</w:t>
      </w:r>
      <w:bookmarkEnd w:id="100"/>
      <w:r>
        <w:rPr>
          <w:rFonts w:eastAsia="仿宋_GB2312" w:cs="仿宋_GB2312" w:hint="eastAsia"/>
          <w:sz w:val="32"/>
          <w:szCs w:val="32"/>
          <w:lang w:eastAsia="zh-CN"/>
        </w:rPr>
        <w:t>财政拨款“三公”经费支出决算表</w:t>
      </w:r>
      <w:bookmarkEnd w:id="101"/>
    </w:p>
    <w:p w:rsidR="004B0FC1" w:rsidRDefault="004B0FC1">
      <w:pPr>
        <w:pStyle w:val="a5"/>
        <w:spacing w:before="101" w:line="360" w:lineRule="auto"/>
        <w:ind w:left="9"/>
        <w:outlineLvl w:val="1"/>
        <w:rPr>
          <w:lang w:eastAsia="zh-CN"/>
        </w:rPr>
      </w:pPr>
    </w:p>
    <w:sectPr w:rsidR="004B0FC1">
      <w:footerReference w:type="default" r:id="rId26"/>
      <w:pgSz w:w="11906" w:h="16838"/>
      <w:pgMar w:top="400" w:right="1785" w:bottom="1435" w:left="1609" w:header="0" w:footer="115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3BFE" w:rsidRDefault="00573BFE">
      <w:r>
        <w:separator/>
      </w:r>
    </w:p>
  </w:endnote>
  <w:endnote w:type="continuationSeparator" w:id="0">
    <w:p w:rsidR="00573BFE" w:rsidRDefault="00573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embedRegular r:id="rId1" w:subsetted="1" w:fontKey="{53784D22-E17F-45FB-B5B8-48E573E66CB9}"/>
    <w:embedBold r:id="rId2" w:subsetted="1" w:fontKey="{658D7009-107B-4A47-9A81-067BACF7246C}"/>
  </w:font>
  <w:font w:name="仿宋">
    <w:panose1 w:val="02010609060101010101"/>
    <w:charset w:val="86"/>
    <w:family w:val="modern"/>
    <w:pitch w:val="fixed"/>
    <w:sig w:usb0="800002BF" w:usb1="38CF7CFA" w:usb2="00000016" w:usb3="00000000" w:csb0="00040001" w:csb1="00000000"/>
    <w:embedRegular r:id="rId3" w:subsetted="1" w:fontKey="{3AE985FB-14C4-4479-897C-53BACE4BF8CE}"/>
  </w:font>
  <w:font w:name="黑体">
    <w:altName w:val="SimHei"/>
    <w:panose1 w:val="02010609060101010101"/>
    <w:charset w:val="86"/>
    <w:family w:val="modern"/>
    <w:pitch w:val="fixed"/>
    <w:sig w:usb0="800002BF" w:usb1="38CF7CFA" w:usb2="00000016" w:usb3="00000000" w:csb0="00040001" w:csb1="00000000"/>
    <w:embedRegular r:id="rId4" w:subsetted="1" w:fontKey="{9C317017-C003-4930-9B21-DFF15904681B}"/>
  </w:font>
  <w:font w:name="Calibri">
    <w:panose1 w:val="020F0502020204030204"/>
    <w:charset w:val="00"/>
    <w:family w:val="swiss"/>
    <w:pitch w:val="variable"/>
    <w:sig w:usb0="E00002FF" w:usb1="4000ACFF" w:usb2="00000001" w:usb3="00000000" w:csb0="0000019F" w:csb1="00000000"/>
    <w:embedRegular r:id="rId5" w:subsetted="1" w:fontKey="{042D58A3-CB17-450B-98F0-FB7A1231741B}"/>
  </w:font>
  <w:font w:name="方正仿宋简体">
    <w:panose1 w:val="03000509000000000000"/>
    <w:charset w:val="86"/>
    <w:family w:val="script"/>
    <w:pitch w:val="default"/>
    <w:sig w:usb0="00000001" w:usb1="080E0000" w:usb2="00000000" w:usb3="00000000" w:csb0="00040000" w:csb1="00000000"/>
  </w:font>
  <w:font w:name="??">
    <w:altName w:val="Segoe Print"/>
    <w:charset w:val="00"/>
    <w:family w:val="roman"/>
    <w:pitch w:val="default"/>
  </w:font>
  <w:font w:name="方正小标宋简体">
    <w:panose1 w:val="03000509000000000000"/>
    <w:charset w:val="86"/>
    <w:family w:val="script"/>
    <w:pitch w:val="fixed"/>
    <w:sig w:usb0="00000001" w:usb1="080E0000" w:usb2="00000010" w:usb3="00000000" w:csb0="00040000" w:csb1="00000000"/>
    <w:embedRegular r:id="rId6" w:subsetted="1" w:fontKey="{286B3AA4-8088-4C75-8BA5-A2465535E5DB}"/>
  </w:font>
  <w:font w:name="楷体_GB2312">
    <w:altName w:val="楷体"/>
    <w:charset w:val="86"/>
    <w:family w:val="modern"/>
    <w:pitch w:val="default"/>
    <w:sig w:usb0="00000000" w:usb1="00000000" w:usb2="00000010" w:usb3="00000000" w:csb0="00040000" w:csb1="00000000"/>
    <w:embedBold r:id="rId7" w:subsetted="1" w:fontKey="{F3F72B88-25D8-443E-96FE-1D6AD4713B85}"/>
  </w:font>
  <w:font w:name="楷体">
    <w:panose1 w:val="02010609060101010101"/>
    <w:charset w:val="86"/>
    <w:family w:val="modern"/>
    <w:pitch w:val="fixed"/>
    <w:sig w:usb0="800002BF" w:usb1="38CF7CFA" w:usb2="00000016" w:usb3="00000000" w:csb0="00040001" w:csb1="00000000"/>
    <w:embedRegular r:id="rId8" w:subsetted="1" w:fontKey="{163136A8-0F21-48D8-B2A6-76952DACC8ED}"/>
  </w:font>
  <w:font w:name="华文楷体">
    <w:panose1 w:val="02010600040101010101"/>
    <w:charset w:val="86"/>
    <w:family w:val="auto"/>
    <w:pitch w:val="variable"/>
    <w:sig w:usb0="00000287" w:usb1="080F0000" w:usb2="00000010" w:usb3="00000000" w:csb0="0004009F" w:csb1="00000000"/>
  </w:font>
  <w:font w:name="方正黑体简体">
    <w:panose1 w:val="03000509000000000000"/>
    <w:charset w:val="86"/>
    <w:family w:val="script"/>
    <w:pitch w:val="fixed"/>
    <w:sig w:usb0="00000001" w:usb1="080E0000" w:usb2="00000010" w:usb3="00000000" w:csb0="00040000" w:csb1="00000000"/>
    <w:embedRegular r:id="rId9" w:subsetted="1" w:fontKey="{2CD1F312-FFEC-41F8-93F8-21308E8F7799}"/>
  </w:font>
  <w:font w:name="方正仿宋_GBK">
    <w:panose1 w:val="03000509000000000000"/>
    <w:charset w:val="86"/>
    <w:family w:val="script"/>
    <w:pitch w:val="fixed"/>
    <w:sig w:usb0="00000001" w:usb1="080E0000" w:usb2="00000010" w:usb3="00000000" w:csb0="00040000" w:csb1="00000000"/>
    <w:embedRegular r:id="rId10" w:subsetted="1" w:fontKey="{445FBFFA-E546-4DB0-8B29-FAB34E758DE6}"/>
  </w:font>
  <w:font w:name="方正小标宋_GBK">
    <w:panose1 w:val="03000509000000000000"/>
    <w:charset w:val="86"/>
    <w:family w:val="script"/>
    <w:pitch w:val="fixed"/>
    <w:sig w:usb0="00000001" w:usb1="080E0000" w:usb2="00000010" w:usb3="00000000" w:csb0="00040000" w:csb1="00000000"/>
    <w:embedRegular r:id="rId11" w:subsetted="1" w:fontKey="{4FD53AB1-CC0E-4953-8332-A3452D132E83}"/>
  </w:font>
  <w:font w:name="方正仿宋_GB2312">
    <w:charset w:val="86"/>
    <w:family w:val="auto"/>
    <w:pitch w:val="default"/>
    <w:sig w:usb0="A00002BF" w:usb1="184F6CFA" w:usb2="00000012" w:usb3="00000000" w:csb0="00040001" w:csb1="00000000"/>
    <w:embedRegular r:id="rId12" w:subsetted="1" w:fontKey="{A8A3C5DF-7B90-4692-8AD7-1DBBB4904E8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FC1" w:rsidRDefault="00A976D9">
    <w:pPr>
      <w:spacing w:line="265" w:lineRule="exact"/>
      <w:ind w:left="4187"/>
      <w:rPr>
        <w:rFonts w:ascii="Calibri" w:eastAsia="Calibri" w:hAnsi="Calibri" w:cs="Calibri"/>
        <w:sz w:val="18"/>
        <w:szCs w:val="18"/>
      </w:rPr>
    </w:pPr>
    <w:r>
      <w:rPr>
        <w:rFonts w:ascii="Calibri" w:eastAsia="Calibri" w:hAnsi="Calibri" w:cs="Calibri"/>
        <w:position w:val="2"/>
        <w:sz w:val="18"/>
        <w:szCs w:val="18"/>
      </w:rPr>
      <w:t>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FC1" w:rsidRDefault="00A976D9">
    <w:pPr>
      <w:tabs>
        <w:tab w:val="left" w:pos="4716"/>
      </w:tabs>
      <w:spacing w:line="266" w:lineRule="exact"/>
      <w:ind w:left="4369"/>
      <w:rPr>
        <w:rFonts w:ascii="Calibri" w:eastAsia="Calibri" w:hAnsi="Calibri" w:cs="Calibri"/>
        <w:sz w:val="18"/>
        <w:szCs w:val="18"/>
      </w:rPr>
    </w:pPr>
    <w:r>
      <w:rPr>
        <w:noProof/>
        <w:sz w:val="18"/>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B0FC1" w:rsidRDefault="00A976D9">
                          <w:pPr>
                            <w:pStyle w:val="a8"/>
                          </w:pPr>
                          <w:r>
                            <w:fldChar w:fldCharType="begin"/>
                          </w:r>
                          <w:r>
                            <w:instrText xml:space="preserve"> PAGE  \* MERGEFORMAT </w:instrText>
                          </w:r>
                          <w:r>
                            <w:fldChar w:fldCharType="separate"/>
                          </w:r>
                          <w:r w:rsidR="0066466D">
                            <w:rPr>
                              <w:noProof/>
                            </w:rP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8"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PLeYgIAAAw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BVBPLeYgIAAAwFAAAOAAAAAAAAAAAAAAAAAC4CAABkcnMvZTJvRG9jLnht&#10;bFBLAQItABQABgAIAAAAIQBxqtG51wAAAAUBAAAPAAAAAAAAAAAAAAAAALwEAABkcnMvZG93bnJl&#10;di54bWxQSwUGAAAAAAQABADzAAAAwAUAAAAA&#10;" filled="f" stroked="f" strokeweight=".5pt">
              <v:textbox style="mso-fit-shape-to-text:t" inset="0,0,0,0">
                <w:txbxContent>
                  <w:p w:rsidR="004B0FC1" w:rsidRDefault="00A976D9">
                    <w:pPr>
                      <w:pStyle w:val="a8"/>
                    </w:pPr>
                    <w:r>
                      <w:fldChar w:fldCharType="begin"/>
                    </w:r>
                    <w:r>
                      <w:instrText xml:space="preserve"> PAGE  \* MERGEFORMAT </w:instrText>
                    </w:r>
                    <w:r>
                      <w:fldChar w:fldCharType="separate"/>
                    </w:r>
                    <w:r w:rsidR="0066466D">
                      <w:rPr>
                        <w:noProof/>
                      </w:rPr>
                      <w:t>4</w:t>
                    </w:r>
                    <w: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FC1" w:rsidRDefault="00A976D9">
    <w:pPr>
      <w:spacing w:line="265" w:lineRule="exact"/>
      <w:ind w:left="4376"/>
      <w:rPr>
        <w:rFonts w:ascii="Calibri" w:eastAsia="Calibri" w:hAnsi="Calibri" w:cs="Calibri"/>
        <w:sz w:val="18"/>
        <w:szCs w:val="18"/>
      </w:rPr>
    </w:pPr>
    <w:r>
      <w:rPr>
        <w:noProof/>
        <w:sz w:val="18"/>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B0FC1" w:rsidRDefault="00A976D9">
                          <w:pPr>
                            <w:pStyle w:val="a8"/>
                          </w:pPr>
                          <w:r>
                            <w:fldChar w:fldCharType="begin"/>
                          </w:r>
                          <w:r>
                            <w:instrText xml:space="preserve"> PAGE  \* MERGEFORMAT </w:instrText>
                          </w:r>
                          <w:r>
                            <w:fldChar w:fldCharType="separate"/>
                          </w:r>
                          <w:r w:rsidR="0066466D">
                            <w:rPr>
                              <w:noProof/>
                            </w:rP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9"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qadcNZQIAABMFAAAOAAAAAAAAAAAAAAAAAC4CAABkcnMvZTJvRG9j&#10;LnhtbFBLAQItABQABgAIAAAAIQBxqtG51wAAAAUBAAAPAAAAAAAAAAAAAAAAAL8EAABkcnMvZG93&#10;bnJldi54bWxQSwUGAAAAAAQABADzAAAAwwUAAAAA&#10;" filled="f" stroked="f" strokeweight=".5pt">
              <v:textbox style="mso-fit-shape-to-text:t" inset="0,0,0,0">
                <w:txbxContent>
                  <w:p w:rsidR="004B0FC1" w:rsidRDefault="00A976D9">
                    <w:pPr>
                      <w:pStyle w:val="a8"/>
                    </w:pPr>
                    <w:r>
                      <w:fldChar w:fldCharType="begin"/>
                    </w:r>
                    <w:r>
                      <w:instrText xml:space="preserve"> PAGE  \* MERGEFORMAT </w:instrText>
                    </w:r>
                    <w:r>
                      <w:fldChar w:fldCharType="separate"/>
                    </w:r>
                    <w:r w:rsidR="0066466D">
                      <w:rPr>
                        <w:noProof/>
                      </w:rPr>
                      <w:t>5</w:t>
                    </w:r>
                    <w: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FC1" w:rsidRDefault="00A976D9">
    <w:pPr>
      <w:spacing w:line="266" w:lineRule="exact"/>
      <w:ind w:left="4375"/>
      <w:rPr>
        <w:rFonts w:ascii="Calibri" w:eastAsia="Calibri" w:hAnsi="Calibri" w:cs="Calibri"/>
        <w:sz w:val="18"/>
        <w:szCs w:val="18"/>
      </w:rPr>
    </w:pPr>
    <w:r>
      <w:rPr>
        <w:noProof/>
        <w:sz w:val="18"/>
        <w:lang w:eastAsia="zh-CN"/>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B0FC1" w:rsidRDefault="00A976D9">
                          <w:pPr>
                            <w:pStyle w:val="a8"/>
                          </w:pPr>
                          <w:r>
                            <w:fldChar w:fldCharType="begin"/>
                          </w:r>
                          <w:r>
                            <w:instrText xml:space="preserve"> PAGE  \* MERGEFORMAT </w:instrText>
                          </w:r>
                          <w:r>
                            <w:fldChar w:fldCharType="separate"/>
                          </w:r>
                          <w:r w:rsidR="0066466D">
                            <w:rPr>
                              <w:noProof/>
                            </w:rP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0" o:spid="_x0000_s1028"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YF6mZZQIAABMFAAAOAAAAAAAAAAAAAAAAAC4CAABkcnMvZTJvRG9j&#10;LnhtbFBLAQItABQABgAIAAAAIQBxqtG51wAAAAUBAAAPAAAAAAAAAAAAAAAAAL8EAABkcnMvZG93&#10;bnJldi54bWxQSwUGAAAAAAQABADzAAAAwwUAAAAA&#10;" filled="f" stroked="f" strokeweight=".5pt">
              <v:textbox style="mso-fit-shape-to-text:t" inset="0,0,0,0">
                <w:txbxContent>
                  <w:p w:rsidR="004B0FC1" w:rsidRDefault="00A976D9">
                    <w:pPr>
                      <w:pStyle w:val="a8"/>
                    </w:pPr>
                    <w:r>
                      <w:fldChar w:fldCharType="begin"/>
                    </w:r>
                    <w:r>
                      <w:instrText xml:space="preserve"> PAGE  \* MERGEFORMAT </w:instrText>
                    </w:r>
                    <w:r>
                      <w:fldChar w:fldCharType="separate"/>
                    </w:r>
                    <w:r w:rsidR="0066466D">
                      <w:rPr>
                        <w:noProof/>
                      </w:rPr>
                      <w:t>7</w:t>
                    </w:r>
                    <w: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FC1" w:rsidRDefault="00A976D9">
    <w:pPr>
      <w:spacing w:line="266" w:lineRule="exact"/>
      <w:ind w:left="4337"/>
      <w:rPr>
        <w:rFonts w:ascii="Calibri" w:eastAsia="Calibri" w:hAnsi="Calibri" w:cs="Calibri"/>
        <w:sz w:val="18"/>
        <w:szCs w:val="18"/>
      </w:rPr>
    </w:pPr>
    <w:r>
      <w:rPr>
        <w:noProof/>
        <w:sz w:val="18"/>
        <w:lang w:eastAsia="zh-CN"/>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B0FC1" w:rsidRDefault="00A976D9">
                          <w:pPr>
                            <w:pStyle w:val="a8"/>
                          </w:pPr>
                          <w:r>
                            <w:fldChar w:fldCharType="begin"/>
                          </w:r>
                          <w:r>
                            <w:instrText xml:space="preserve"> PAGE  \* MERGEFORMAT </w:instrText>
                          </w:r>
                          <w:r>
                            <w:fldChar w:fldCharType="separate"/>
                          </w:r>
                          <w:r w:rsidR="0066466D">
                            <w:rPr>
                              <w:noProof/>
                            </w:rP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1" o:spid="_x0000_s1029"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" filled="f" stroked="f" strokeweight=".5pt">
              <v:textbox style="mso-fit-shape-to-text:t" inset="0,0,0,0">
                <w:txbxContent>
                  <w:p w:rsidR="004B0FC1" w:rsidRDefault="00A976D9">
                    <w:pPr>
                      <w:pStyle w:val="a8"/>
                    </w:pPr>
                    <w:r>
                      <w:fldChar w:fldCharType="begin"/>
                    </w:r>
                    <w:r>
                      <w:instrText xml:space="preserve"> PAGE  \* MERGEFORMAT </w:instrText>
                    </w:r>
                    <w:r>
                      <w:fldChar w:fldCharType="separate"/>
                    </w:r>
                    <w:r w:rsidR="0066466D">
                      <w:rPr>
                        <w:noProof/>
                      </w:rPr>
                      <w:t>16</w:t>
                    </w:r>
                    <w: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FC1" w:rsidRDefault="00A976D9">
    <w:pPr>
      <w:spacing w:line="265" w:lineRule="exact"/>
      <w:ind w:left="4332"/>
      <w:rPr>
        <w:rFonts w:ascii="Calibri" w:eastAsia="Calibri" w:hAnsi="Calibri" w:cs="Calibri"/>
        <w:sz w:val="18"/>
        <w:szCs w:val="18"/>
      </w:rPr>
    </w:pPr>
    <w:r>
      <w:rPr>
        <w:noProof/>
        <w:sz w:val="18"/>
        <w:lang w:eastAsia="zh-CN"/>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B0FC1" w:rsidRDefault="00A976D9">
                          <w:pPr>
                            <w:pStyle w:val="a8"/>
                          </w:pPr>
                          <w:r>
                            <w:fldChar w:fldCharType="begin"/>
                          </w:r>
                          <w:r>
                            <w:instrText xml:space="preserve"> PAGE  \* MERGEFORMAT </w:instrText>
                          </w:r>
                          <w:r>
                            <w:fldChar w:fldCharType="separate"/>
                          </w:r>
                          <w:r w:rsidR="0066466D">
                            <w:rPr>
                              <w:noProof/>
                            </w:rP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2" o:spid="_x0000_s1030"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B7y7P5ZQIAABMFAAAOAAAAAAAAAAAAAAAAAC4CAABkcnMvZTJvRG9j&#10;LnhtbFBLAQItABQABgAIAAAAIQBxqtG51wAAAAUBAAAPAAAAAAAAAAAAAAAAAL8EAABkcnMvZG93&#10;bnJldi54bWxQSwUGAAAAAAQABADzAAAAwwUAAAAA&#10;" filled="f" stroked="f" strokeweight=".5pt">
              <v:textbox style="mso-fit-shape-to-text:t" inset="0,0,0,0">
                <w:txbxContent>
                  <w:p w:rsidR="004B0FC1" w:rsidRDefault="00A976D9">
                    <w:pPr>
                      <w:pStyle w:val="a8"/>
                    </w:pPr>
                    <w:r>
                      <w:fldChar w:fldCharType="begin"/>
                    </w:r>
                    <w:r>
                      <w:instrText xml:space="preserve"> PAGE  \* MERGEFORMAT </w:instrText>
                    </w:r>
                    <w:r>
                      <w:fldChar w:fldCharType="separate"/>
                    </w:r>
                    <w:r w:rsidR="0066466D">
                      <w:rPr>
                        <w:noProof/>
                      </w:rPr>
                      <w:t>21</w:t>
                    </w:r>
                    <w:r>
                      <w:fldChar w:fldCharType="end"/>
                    </w:r>
                  </w:p>
                </w:txbxContent>
              </v:textbox>
              <w10:wrap anchorx="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FC1" w:rsidRDefault="00A976D9">
    <w:pPr>
      <w:spacing w:line="265" w:lineRule="exact"/>
      <w:ind w:left="4367"/>
      <w:rPr>
        <w:rFonts w:ascii="Calibri" w:eastAsia="Calibri" w:hAnsi="Calibri" w:cs="Calibri"/>
        <w:sz w:val="18"/>
        <w:szCs w:val="18"/>
      </w:rPr>
    </w:pPr>
    <w:r>
      <w:rPr>
        <w:noProof/>
        <w:sz w:val="18"/>
        <w:lang w:eastAsia="zh-CN"/>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B0FC1" w:rsidRDefault="00A976D9">
                          <w:pPr>
                            <w:pStyle w:val="a8"/>
                          </w:pPr>
                          <w:r>
                            <w:fldChar w:fldCharType="begin"/>
                          </w:r>
                          <w:r>
                            <w:instrText xml:space="preserve"> PAGE  \* MERGEFORMAT </w:instrText>
                          </w:r>
                          <w:r>
                            <w:fldChar w:fldCharType="separate"/>
                          </w:r>
                          <w:r w:rsidR="0066466D">
                            <w:rPr>
                              <w:noProof/>
                            </w:rPr>
                            <w:t>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3" o:spid="_x0000_s1031"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LLvgIZQIAABMFAAAOAAAAAAAAAAAAAAAAAC4CAABkcnMvZTJvRG9j&#10;LnhtbFBLAQItABQABgAIAAAAIQBxqtG51wAAAAUBAAAPAAAAAAAAAAAAAAAAAL8EAABkcnMvZG93&#10;bnJldi54bWxQSwUGAAAAAAQABADzAAAAwwUAAAAA&#10;" filled="f" stroked="f" strokeweight=".5pt">
              <v:textbox style="mso-fit-shape-to-text:t" inset="0,0,0,0">
                <w:txbxContent>
                  <w:p w:rsidR="004B0FC1" w:rsidRDefault="00A976D9">
                    <w:pPr>
                      <w:pStyle w:val="a8"/>
                    </w:pPr>
                    <w:r>
                      <w:fldChar w:fldCharType="begin"/>
                    </w:r>
                    <w:r>
                      <w:instrText xml:space="preserve"> PAGE  \* MERGEFORMAT </w:instrText>
                    </w:r>
                    <w:r>
                      <w:fldChar w:fldCharType="separate"/>
                    </w:r>
                    <w:r w:rsidR="0066466D">
                      <w:rPr>
                        <w:noProof/>
                      </w:rPr>
                      <w:t>29</w:t>
                    </w:r>
                    <w:r>
                      <w:fldChar w:fldCharType="end"/>
                    </w:r>
                  </w:p>
                </w:txbxContent>
              </v:textbox>
              <w10:wrap anchorx="margin"/>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FC1" w:rsidRDefault="00A976D9">
    <w:pPr>
      <w:pStyle w:val="a8"/>
    </w:pPr>
    <w:r>
      <w:rPr>
        <w:noProof/>
        <w:lang w:eastAsia="zh-CN"/>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B0FC1" w:rsidRDefault="00A976D9">
                          <w:pPr>
                            <w:pStyle w:val="a8"/>
                          </w:pPr>
                          <w:r>
                            <w:fldChar w:fldCharType="begin"/>
                          </w:r>
                          <w:r>
                            <w:instrText xml:space="preserve"> PAGE  \* MERGEFORMAT </w:instrText>
                          </w:r>
                          <w:r>
                            <w:fldChar w:fldCharType="separate"/>
                          </w:r>
                          <w:r w:rsidR="0066466D">
                            <w:rPr>
                              <w:noProof/>
                            </w:rPr>
                            <w:t>98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4" o:spid="_x0000_s1032" type="#_x0000_t202" style="position:absolute;margin-left:0;margin-top:0;width:2in;height:2in;z-index:2516654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CajWTqZQIAABMFAAAOAAAAAAAAAAAAAAAAAC4CAABkcnMvZTJvRG9j&#10;LnhtbFBLAQItABQABgAIAAAAIQBxqtG51wAAAAUBAAAPAAAAAAAAAAAAAAAAAL8EAABkcnMvZG93&#10;bnJldi54bWxQSwUGAAAAAAQABADzAAAAwwUAAAAA&#10;" filled="f" stroked="f" strokeweight=".5pt">
              <v:textbox style="mso-fit-shape-to-text:t" inset="0,0,0,0">
                <w:txbxContent>
                  <w:p w:rsidR="004B0FC1" w:rsidRDefault="00A976D9">
                    <w:pPr>
                      <w:pStyle w:val="a8"/>
                    </w:pPr>
                    <w:r>
                      <w:fldChar w:fldCharType="begin"/>
                    </w:r>
                    <w:r>
                      <w:instrText xml:space="preserve"> PAGE  \* MERGEFORMAT </w:instrText>
                    </w:r>
                    <w:r>
                      <w:fldChar w:fldCharType="separate"/>
                    </w:r>
                    <w:r w:rsidR="0066466D">
                      <w:rPr>
                        <w:noProof/>
                      </w:rPr>
                      <w:t>98</w:t>
                    </w:r>
                    <w:r>
                      <w:fldChar w:fldCharType="end"/>
                    </w:r>
                  </w:p>
                </w:txbxContent>
              </v:textbox>
              <w10:wrap anchorx="margin"/>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FC1" w:rsidRDefault="00A976D9">
    <w:pPr>
      <w:spacing w:line="265" w:lineRule="exact"/>
      <w:ind w:left="4328"/>
      <w:rPr>
        <w:rFonts w:ascii="Calibri" w:eastAsia="Calibri" w:hAnsi="Calibri" w:cs="Calibri"/>
        <w:sz w:val="18"/>
        <w:szCs w:val="18"/>
      </w:rPr>
    </w:pPr>
    <w:r>
      <w:rPr>
        <w:noProof/>
        <w:sz w:val="18"/>
        <w:lang w:eastAsia="zh-CN"/>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B0FC1" w:rsidRDefault="00A976D9">
                          <w:pPr>
                            <w:pStyle w:val="a8"/>
                          </w:pPr>
                          <w:r>
                            <w:fldChar w:fldCharType="begin"/>
                          </w:r>
                          <w:r>
                            <w:instrText xml:space="preserve"> PAGE  \* MERGEFORMAT </w:instrText>
                          </w:r>
                          <w:r>
                            <w:fldChar w:fldCharType="separate"/>
                          </w:r>
                          <w:r w:rsidR="0066466D">
                            <w:rPr>
                              <w:noProof/>
                            </w:rPr>
                            <w:t>99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5" o:spid="_x0000_s1033" type="#_x0000_t202" style="position:absolute;left:0;text-align:left;margin-left:0;margin-top:0;width:2in;height:2in;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AqaC8bZQIAABMFAAAOAAAAAAAAAAAAAAAAAC4CAABkcnMvZTJvRG9j&#10;LnhtbFBLAQItABQABgAIAAAAIQBxqtG51wAAAAUBAAAPAAAAAAAAAAAAAAAAAL8EAABkcnMvZG93&#10;bnJldi54bWxQSwUGAAAAAAQABADzAAAAwwUAAAAA&#10;" filled="f" stroked="f" strokeweight=".5pt">
              <v:textbox style="mso-fit-shape-to-text:t" inset="0,0,0,0">
                <w:txbxContent>
                  <w:p w:rsidR="004B0FC1" w:rsidRDefault="00A976D9">
                    <w:pPr>
                      <w:pStyle w:val="a8"/>
                    </w:pPr>
                    <w:r>
                      <w:fldChar w:fldCharType="begin"/>
                    </w:r>
                    <w:r>
                      <w:instrText xml:space="preserve"> PAGE  \* MERGEFORMAT </w:instrText>
                    </w:r>
                    <w:r>
                      <w:fldChar w:fldCharType="separate"/>
                    </w:r>
                    <w:r w:rsidR="0066466D">
                      <w:rPr>
                        <w:noProof/>
                      </w:rPr>
                      <w:t>99</w:t>
                    </w:r>
                    <w:r>
                      <w:fldChar w:fldCharType="end"/>
                    </w:r>
                  </w:p>
                </w:txbxContent>
              </v:textbox>
              <w10:wrap anchorx="margin"/>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FC1" w:rsidRDefault="00A976D9">
    <w:pPr>
      <w:spacing w:line="265" w:lineRule="exact"/>
      <w:ind w:left="4316"/>
      <w:rPr>
        <w:rFonts w:ascii="Calibri" w:eastAsia="Calibri" w:hAnsi="Calibri" w:cs="Calibri"/>
        <w:sz w:val="18"/>
        <w:szCs w:val="18"/>
      </w:rPr>
    </w:pPr>
    <w:r>
      <w:rPr>
        <w:noProof/>
        <w:sz w:val="18"/>
        <w:lang w:eastAsia="zh-CN"/>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B0FC1" w:rsidRDefault="00A976D9">
                          <w:pPr>
                            <w:pStyle w:val="a8"/>
                          </w:pPr>
                          <w:r>
                            <w:fldChar w:fldCharType="begin"/>
                          </w:r>
                          <w:r>
                            <w:instrText xml:space="preserve"> PAGE  \* MERGEFORMAT </w:instrText>
                          </w:r>
                          <w:r>
                            <w:fldChar w:fldCharType="separate"/>
                          </w:r>
                          <w:r w:rsidR="0066466D">
                            <w:rPr>
                              <w:noProof/>
                            </w:rPr>
                            <w:t>112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6" o:spid="_x0000_s1034" type="#_x0000_t202" style="position:absolute;left:0;text-align:left;margin-left:0;margin-top:0;width:2in;height:2in;z-index:25166745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A9coY5ZQIAABMFAAAOAAAAAAAAAAAAAAAAAC4CAABkcnMvZTJvRG9j&#10;LnhtbFBLAQItABQABgAIAAAAIQBxqtG51wAAAAUBAAAPAAAAAAAAAAAAAAAAAL8EAABkcnMvZG93&#10;bnJldi54bWxQSwUGAAAAAAQABADzAAAAwwUAAAAA&#10;" filled="f" stroked="f" strokeweight=".5pt">
              <v:textbox style="mso-fit-shape-to-text:t" inset="0,0,0,0">
                <w:txbxContent>
                  <w:p w:rsidR="004B0FC1" w:rsidRDefault="00A976D9">
                    <w:pPr>
                      <w:pStyle w:val="a8"/>
                    </w:pPr>
                    <w:r>
                      <w:fldChar w:fldCharType="begin"/>
                    </w:r>
                    <w:r>
                      <w:instrText xml:space="preserve"> PAGE  \* MERGEFORMAT </w:instrText>
                    </w:r>
                    <w:r>
                      <w:fldChar w:fldCharType="separate"/>
                    </w:r>
                    <w:r w:rsidR="0066466D">
                      <w:rPr>
                        <w:noProof/>
                      </w:rPr>
                      <w:t>112</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3BFE" w:rsidRDefault="00573BFE">
      <w:r>
        <w:separator/>
      </w:r>
    </w:p>
  </w:footnote>
  <w:footnote w:type="continuationSeparator" w:id="0">
    <w:p w:rsidR="00573BFE" w:rsidRDefault="00573B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FC1" w:rsidRDefault="004B0FC1">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isplayBackgroundShape/>
  <w:embedTrueTypeFonts/>
  <w:saveSubsetFonts/>
  <w:bordersDoNotSurroundHeader/>
  <w:bordersDoNotSurroundFooter/>
  <w:proofState w:grammar="clean"/>
  <w:defaultTabStop w:val="420"/>
  <w:characterSpacingControl w:val="doNotCompress"/>
  <w:footnotePr>
    <w:footnote w:id="-1"/>
    <w:footnote w:id="0"/>
  </w:footnotePr>
  <w:endnotePr>
    <w:endnote w:id="-1"/>
    <w:endnote w:id="0"/>
  </w:endnotePr>
  <w:compat>
    <w:spaceForUL/>
    <w:ulTrailSpace/>
    <w:useFELayout/>
    <w:compatSetting w:name="compatibilityMode" w:uri="http://schemas.microsoft.com/office/word" w:val="14"/>
  </w:compat>
  <w:rsids>
    <w:rsidRoot w:val="00EE61CF"/>
    <w:rsid w:val="002571A7"/>
    <w:rsid w:val="002B5D0D"/>
    <w:rsid w:val="003B0253"/>
    <w:rsid w:val="004B0FC1"/>
    <w:rsid w:val="00573BFE"/>
    <w:rsid w:val="0061664C"/>
    <w:rsid w:val="0066466D"/>
    <w:rsid w:val="00814B69"/>
    <w:rsid w:val="00A976D9"/>
    <w:rsid w:val="00AB21B0"/>
    <w:rsid w:val="00BC5D14"/>
    <w:rsid w:val="00BE3FF9"/>
    <w:rsid w:val="00EC7EFD"/>
    <w:rsid w:val="00EE61CF"/>
    <w:rsid w:val="00EF105A"/>
    <w:rsid w:val="00F25B73"/>
    <w:rsid w:val="00FC4166"/>
    <w:rsid w:val="027B01B1"/>
    <w:rsid w:val="05A14141"/>
    <w:rsid w:val="05BE6B16"/>
    <w:rsid w:val="07D77390"/>
    <w:rsid w:val="09010447"/>
    <w:rsid w:val="09AB63DF"/>
    <w:rsid w:val="0B7861D6"/>
    <w:rsid w:val="0C0369A6"/>
    <w:rsid w:val="0D4C0A39"/>
    <w:rsid w:val="10BC5375"/>
    <w:rsid w:val="194D74B2"/>
    <w:rsid w:val="1C876837"/>
    <w:rsid w:val="1E360515"/>
    <w:rsid w:val="1E4F5A7B"/>
    <w:rsid w:val="1FBC7A1F"/>
    <w:rsid w:val="24613E12"/>
    <w:rsid w:val="2C1314D6"/>
    <w:rsid w:val="2D731B04"/>
    <w:rsid w:val="3014442E"/>
    <w:rsid w:val="313F372D"/>
    <w:rsid w:val="32AF58C4"/>
    <w:rsid w:val="379C641E"/>
    <w:rsid w:val="3A1B62FD"/>
    <w:rsid w:val="3DA066E9"/>
    <w:rsid w:val="3F900278"/>
    <w:rsid w:val="40884808"/>
    <w:rsid w:val="42DD22F7"/>
    <w:rsid w:val="45357EA7"/>
    <w:rsid w:val="496128C3"/>
    <w:rsid w:val="4A840496"/>
    <w:rsid w:val="4C281F10"/>
    <w:rsid w:val="4DC737DB"/>
    <w:rsid w:val="4FB8672C"/>
    <w:rsid w:val="537373F1"/>
    <w:rsid w:val="53C01A33"/>
    <w:rsid w:val="56101068"/>
    <w:rsid w:val="57D17435"/>
    <w:rsid w:val="5E9860A7"/>
    <w:rsid w:val="5F5C6417"/>
    <w:rsid w:val="606633BF"/>
    <w:rsid w:val="609A473C"/>
    <w:rsid w:val="61B60901"/>
    <w:rsid w:val="6604085D"/>
    <w:rsid w:val="677C1920"/>
    <w:rsid w:val="6B4849B1"/>
    <w:rsid w:val="6BEC4054"/>
    <w:rsid w:val="6D114824"/>
    <w:rsid w:val="6FF95662"/>
    <w:rsid w:val="724F1D16"/>
    <w:rsid w:val="7566134B"/>
    <w:rsid w:val="78C7785D"/>
    <w:rsid w:val="79715A3D"/>
    <w:rsid w:val="79AB3863"/>
    <w:rsid w:val="7BC1532A"/>
    <w:rsid w:val="7BC167E5"/>
    <w:rsid w:val="7CB225D2"/>
    <w:rsid w:val="7E5F40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267">
    <w:lsdException w:name="Normal" w:semiHidden="1"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5" w:qFormat="1"/>
    <w:lsdException w:name="toc 1" w:uiPriority="39" w:unhideWhenUsed="1" w:qFormat="1"/>
    <w:lsdException w:name="toc 2" w:uiPriority="39" w:unhideWhenUsed="1" w:qFormat="1"/>
    <w:lsdException w:name="footnote text" w:semiHidden="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Body Text Indent" w:qFormat="1"/>
    <w:lsdException w:name="Subtitle" w:qFormat="1"/>
    <w:lsdException w:name="Date" w:qFormat="1"/>
    <w:lsdException w:name="Body Text First Indent 2" w:uiPriority="99" w:unhideWhenUsed="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semiHidden/>
    <w:qFormat/>
    <w:pPr>
      <w:kinsoku w:val="0"/>
      <w:autoSpaceDE w:val="0"/>
      <w:autoSpaceDN w:val="0"/>
      <w:adjustRightInd w:val="0"/>
      <w:snapToGrid w:val="0"/>
      <w:textAlignment w:val="baseline"/>
    </w:pPr>
    <w:rPr>
      <w:rFonts w:eastAsia="Arial"/>
      <w:snapToGrid w:val="0"/>
      <w:color w:val="000000"/>
      <w:sz w:val="21"/>
      <w:szCs w:val="21"/>
      <w:lang w:eastAsia="en-US"/>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pPr>
      <w:widowControl w:val="0"/>
      <w:spacing w:before="260" w:after="260" w:line="416" w:lineRule="auto"/>
      <w:jc w:val="both"/>
      <w:outlineLvl w:val="1"/>
    </w:pPr>
    <w:rPr>
      <w:rFonts w:ascii="Cambria" w:eastAsia="宋体" w:hAnsi="Cambria" w:cs="Times New Roman"/>
      <w:b/>
      <w:bCs/>
      <w:kern w:val="2"/>
      <w:sz w:val="32"/>
      <w:szCs w:val="32"/>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rPr>
      <w:sz w:val="18"/>
      <w:szCs w:val="18"/>
    </w:rPr>
  </w:style>
  <w:style w:type="paragraph" w:styleId="20">
    <w:name w:val="Body Text First Indent 2"/>
    <w:basedOn w:val="a4"/>
    <w:next w:val="a"/>
    <w:uiPriority w:val="99"/>
    <w:unhideWhenUsed/>
    <w:qFormat/>
    <w:pPr>
      <w:ind w:firstLineChars="200" w:firstLine="420"/>
    </w:pPr>
  </w:style>
  <w:style w:type="paragraph" w:styleId="a4">
    <w:name w:val="Body Text Indent"/>
    <w:basedOn w:val="a"/>
    <w:next w:val="20"/>
    <w:qFormat/>
    <w:pPr>
      <w:spacing w:after="120"/>
      <w:ind w:leftChars="200" w:left="200"/>
    </w:pPr>
    <w:rPr>
      <w:rFonts w:ascii="仿宋_GB2312"/>
      <w:szCs w:val="32"/>
    </w:rPr>
  </w:style>
  <w:style w:type="paragraph" w:styleId="5">
    <w:name w:val="index 5"/>
    <w:basedOn w:val="a"/>
    <w:next w:val="a"/>
    <w:qFormat/>
    <w:pPr>
      <w:ind w:firstLineChars="200" w:firstLine="640"/>
    </w:pPr>
    <w:rPr>
      <w:rFonts w:ascii="仿宋" w:eastAsia="仿宋" w:hAnsi="仿宋"/>
      <w:szCs w:val="32"/>
    </w:rPr>
  </w:style>
  <w:style w:type="paragraph" w:styleId="a5">
    <w:name w:val="Body Text"/>
    <w:basedOn w:val="a"/>
    <w:semiHidden/>
    <w:qFormat/>
    <w:rPr>
      <w:rFonts w:ascii="仿宋" w:eastAsia="仿宋" w:hAnsi="仿宋" w:cs="仿宋"/>
      <w:sz w:val="31"/>
      <w:szCs w:val="31"/>
    </w:rPr>
  </w:style>
  <w:style w:type="paragraph" w:styleId="a6">
    <w:name w:val="Date"/>
    <w:next w:val="a"/>
    <w:qFormat/>
    <w:pPr>
      <w:widowControl w:val="0"/>
      <w:jc w:val="both"/>
    </w:pPr>
    <w:rPr>
      <w:rFonts w:ascii="仿宋_GB2312" w:eastAsia="仿宋_GB2312" w:hAnsi="Times New Roman" w:cs="Times New Roman"/>
      <w:kern w:val="2"/>
      <w:sz w:val="32"/>
      <w:szCs w:val="32"/>
    </w:rPr>
  </w:style>
  <w:style w:type="paragraph" w:styleId="a7">
    <w:name w:val="Balloon Text"/>
    <w:basedOn w:val="a"/>
    <w:link w:val="Char"/>
    <w:qFormat/>
    <w:rPr>
      <w:sz w:val="18"/>
      <w:szCs w:val="18"/>
    </w:rPr>
  </w:style>
  <w:style w:type="paragraph" w:styleId="a8">
    <w:name w:val="footer"/>
    <w:basedOn w:val="a"/>
    <w:qFormat/>
    <w:pPr>
      <w:tabs>
        <w:tab w:val="center" w:pos="4153"/>
        <w:tab w:val="right" w:pos="8306"/>
      </w:tabs>
    </w:pPr>
    <w:rPr>
      <w:sz w:val="18"/>
    </w:rPr>
  </w:style>
  <w:style w:type="paragraph" w:styleId="a9">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pPr>
      <w:tabs>
        <w:tab w:val="right" w:leader="dot" w:pos="8296"/>
      </w:tabs>
      <w:ind w:leftChars="200" w:left="420"/>
    </w:pPr>
  </w:style>
  <w:style w:type="character" w:styleId="aa">
    <w:name w:val="Strong"/>
    <w:basedOn w:val="a1"/>
    <w:uiPriority w:val="22"/>
    <w:qFormat/>
    <w:rPr>
      <w:b/>
      <w:bCs/>
    </w:rPr>
  </w:style>
  <w:style w:type="paragraph" w:customStyle="1" w:styleId="50">
    <w:name w:val="标题 5（有编号）（绿盟科技）"/>
    <w:next w:val="a"/>
    <w:qFormat/>
    <w:pPr>
      <w:keepNext/>
      <w:keepLines/>
      <w:widowControl w:val="0"/>
      <w:spacing w:before="280" w:after="156" w:line="377" w:lineRule="auto"/>
      <w:outlineLvl w:val="4"/>
    </w:pPr>
    <w:rPr>
      <w:rFonts w:eastAsia="黑体"/>
      <w:b/>
      <w:kern w:val="2"/>
      <w:sz w:val="24"/>
      <w:szCs w:val="28"/>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Times New Roman" w:eastAsia="Times New Roman" w:hAnsi="Times New Roman" w:cs="Times New Roman"/>
    </w:rPr>
  </w:style>
  <w:style w:type="paragraph" w:customStyle="1" w:styleId="NewNew">
    <w:name w:val="正文 New New"/>
    <w:qFormat/>
    <w:pPr>
      <w:widowControl w:val="0"/>
      <w:jc w:val="both"/>
    </w:pPr>
    <w:rPr>
      <w:rFonts w:ascii="Calibri" w:eastAsia="宋体" w:hAnsi="Calibri" w:cs="Times New Roman"/>
      <w:kern w:val="2"/>
      <w:sz w:val="21"/>
      <w:szCs w:val="24"/>
    </w:rPr>
  </w:style>
  <w:style w:type="paragraph" w:customStyle="1" w:styleId="DefaultNewNew">
    <w:name w:val="Default New New"/>
    <w:next w:val="5"/>
    <w:qFormat/>
    <w:pPr>
      <w:widowControl w:val="0"/>
      <w:autoSpaceDE w:val="0"/>
      <w:autoSpaceDN w:val="0"/>
      <w:adjustRightInd w:val="0"/>
    </w:pPr>
    <w:rPr>
      <w:rFonts w:ascii="Calibri" w:eastAsia="宋体" w:hAnsi="Calibri" w:cs="Calibri"/>
      <w:color w:val="000000"/>
      <w:sz w:val="24"/>
      <w:szCs w:val="24"/>
    </w:rPr>
  </w:style>
  <w:style w:type="paragraph" w:customStyle="1" w:styleId="NewNewNewNewNewNewNewNewNew">
    <w:name w:val="正文 New New New New New New New New New"/>
    <w:qFormat/>
    <w:pPr>
      <w:widowControl w:val="0"/>
      <w:jc w:val="both"/>
    </w:pPr>
    <w:rPr>
      <w:rFonts w:ascii="Calibri" w:eastAsia="宋体" w:hAnsi="Calibri" w:cs="黑体"/>
      <w:kern w:val="2"/>
      <w:sz w:val="21"/>
      <w:szCs w:val="22"/>
    </w:rPr>
  </w:style>
  <w:style w:type="paragraph" w:customStyle="1" w:styleId="DefaultNewNewNewNewNewNewNewNew">
    <w:name w:val="Default New New New New New New New New"/>
    <w:next w:val="5"/>
    <w:qFormat/>
    <w:pPr>
      <w:widowControl w:val="0"/>
      <w:autoSpaceDE w:val="0"/>
      <w:autoSpaceDN w:val="0"/>
      <w:adjustRightInd w:val="0"/>
    </w:pPr>
    <w:rPr>
      <w:rFonts w:ascii="Calibri" w:eastAsia="宋体" w:hAnsi="Calibri" w:cs="Calibri"/>
      <w:color w:val="000000"/>
      <w:sz w:val="24"/>
      <w:szCs w:val="24"/>
    </w:rPr>
  </w:style>
  <w:style w:type="paragraph" w:customStyle="1" w:styleId="NewNewNew">
    <w:name w:val="正文 New New New"/>
    <w:qFormat/>
    <w:pPr>
      <w:widowControl w:val="0"/>
      <w:jc w:val="both"/>
    </w:pPr>
    <w:rPr>
      <w:rFonts w:ascii="Times New Roman" w:eastAsia="仿宋_GB2312" w:hAnsi="Times New Roman" w:cs="Times New Roman"/>
      <w:kern w:val="2"/>
      <w:sz w:val="32"/>
      <w:szCs w:val="32"/>
    </w:rPr>
  </w:style>
  <w:style w:type="paragraph" w:customStyle="1" w:styleId="NewNewNewNew">
    <w:name w:val="正文 New New New New"/>
    <w:qFormat/>
    <w:pPr>
      <w:widowControl w:val="0"/>
      <w:jc w:val="both"/>
    </w:pPr>
    <w:rPr>
      <w:rFonts w:ascii="Times New Roman" w:eastAsia="宋体" w:hAnsi="Times New Roman" w:cs="Times New Roman"/>
      <w:kern w:val="2"/>
      <w:sz w:val="21"/>
    </w:rPr>
  </w:style>
  <w:style w:type="paragraph" w:customStyle="1" w:styleId="p0">
    <w:name w:val="p0"/>
    <w:qFormat/>
    <w:pPr>
      <w:jc w:val="both"/>
    </w:pPr>
    <w:rPr>
      <w:rFonts w:ascii="Calibri" w:eastAsia="宋体" w:hAnsi="Calibri" w:cs="宋体"/>
      <w:sz w:val="21"/>
      <w:szCs w:val="21"/>
    </w:rPr>
  </w:style>
  <w:style w:type="paragraph" w:customStyle="1" w:styleId="NewNewNewNewNewNewNew">
    <w:name w:val="正文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
    <w:name w:val="正文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NewNew">
    <w:name w:val="正文 New New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NewNewNewNewNewNewNewNewNewNew">
    <w:name w:val="正文 New New New New New New New New New New New New New New New New New New"/>
    <w:next w:val="DefaultNewNewNewNewNewNewNewNewNewNewNewNewNewNewNew"/>
    <w:qFormat/>
    <w:pPr>
      <w:widowControl w:val="0"/>
      <w:jc w:val="both"/>
    </w:pPr>
    <w:rPr>
      <w:rFonts w:ascii="Times New Roman" w:eastAsia="方正仿宋简体" w:hAnsi="Times New Roman" w:cs="Times New Roman"/>
      <w:sz w:val="32"/>
      <w:szCs w:val="24"/>
    </w:rPr>
  </w:style>
  <w:style w:type="paragraph" w:customStyle="1" w:styleId="DefaultNewNewNewNewNewNewNewNewNewNewNewNewNewNewNew">
    <w:name w:val="Default New New New New New New New New New New New New New New New"/>
    <w:next w:val="5"/>
    <w:qFormat/>
    <w:pPr>
      <w:widowControl w:val="0"/>
      <w:autoSpaceDE w:val="0"/>
      <w:autoSpaceDN w:val="0"/>
      <w:adjustRightInd w:val="0"/>
    </w:pPr>
    <w:rPr>
      <w:rFonts w:ascii="Calibri" w:eastAsia="宋体" w:hAnsi="Calibri" w:cs="Calibri"/>
      <w:color w:val="000000"/>
      <w:sz w:val="24"/>
      <w:szCs w:val="24"/>
    </w:rPr>
  </w:style>
  <w:style w:type="paragraph" w:customStyle="1" w:styleId="NewNewNewNewNewNewNewNewNewNewNewNewNewNewNewNewNewNewNewNewNew">
    <w:name w:val="正文 New New New New New New New New New New New New New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NewNewNewNew">
    <w:name w:val="正文 New New New New New New New New New New New New"/>
    <w:qFormat/>
    <w:pPr>
      <w:widowControl w:val="0"/>
      <w:jc w:val="both"/>
    </w:pPr>
    <w:rPr>
      <w:rFonts w:ascii="Times New Roman" w:eastAsia="宋体" w:hAnsi="Times New Roman" w:cs="Times New Roman"/>
      <w:kern w:val="2"/>
      <w:sz w:val="21"/>
    </w:rPr>
  </w:style>
  <w:style w:type="paragraph" w:customStyle="1" w:styleId="NewNewNewNewNewNewNewNewNewNewNewNewNew">
    <w:name w:val="正文 New New New New New New New New New New New New New"/>
    <w:qFormat/>
    <w:pPr>
      <w:widowControl w:val="0"/>
      <w:jc w:val="both"/>
    </w:pPr>
    <w:rPr>
      <w:rFonts w:ascii="Times New Roman" w:eastAsia="宋体" w:hAnsi="Times New Roman" w:cs="Times New Roman"/>
      <w:kern w:val="2"/>
      <w:sz w:val="21"/>
    </w:rPr>
  </w:style>
  <w:style w:type="paragraph" w:customStyle="1" w:styleId="NewNewNewNewNewNewNewNewNewNewNewNewNewNewNewNewNewNewNewNewNewNew">
    <w:name w:val="正文 New New New New New New New New New New New New New New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NewNewNewNewNewNewNewNewNewNewNewNewNewNewNew">
    <w:name w:val="正文 New New New New New New New New New New New New New New New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NewNewNewNewNewNewNewNewNewNewNewNewNewNewNewNew">
    <w:name w:val="正文 New New New New New New New New New New New New New New New New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NewNewNewNewNewNewNewNewNewNewNewNewNewNewNewNewNew">
    <w:name w:val="正文 New New New New New New New New New New New New New New New New New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NewNewNewNewNewNewNewNewNewNewNewNewNewNewNewNewNewNew">
    <w:name w:val="正文 New New New New New New New New New New New New New New New New New New New New New New New New New New"/>
    <w:qFormat/>
    <w:pPr>
      <w:widowControl w:val="0"/>
      <w:jc w:val="both"/>
    </w:pPr>
    <w:rPr>
      <w:rFonts w:ascii="Times New Roman" w:eastAsia="方正仿宋简体" w:hAnsi="Times New Roman" w:cs="Times New Roman"/>
      <w:sz w:val="32"/>
      <w:szCs w:val="24"/>
    </w:rPr>
  </w:style>
  <w:style w:type="paragraph" w:customStyle="1" w:styleId="p17">
    <w:name w:val="p17"/>
    <w:qFormat/>
    <w:pPr>
      <w:spacing w:before="100" w:after="100"/>
    </w:pPr>
    <w:rPr>
      <w:rFonts w:ascii="宋体" w:eastAsia="宋体" w:hAnsi="宋体" w:cs="宋体"/>
      <w:sz w:val="24"/>
      <w:szCs w:val="24"/>
    </w:rPr>
  </w:style>
  <w:style w:type="paragraph" w:customStyle="1" w:styleId="NewNewNewNewNewNewNewNewNewNewNewNewNewNewNewNewNewNewNewNewNewNewNewNewNewNewNewNewNew">
    <w:name w:val="正文 New New New New New New New New New New New New New New New New New New New New New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NewNewNewNewNewNewNewNewNewNewNewNewNewNewNewNewNewNewNewNewNewNew">
    <w:name w:val="正文 New New New New New New New New New New New New New New New New New New New New New New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NewNewNewNewNewNewNewNewNewNewNewNewNewNewNewNewNewNewNewNewNewNewNew">
    <w:name w:val="正文 New New New New New New New New New New New New New New New New New New New New New New New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NewNewNewNewNewNewNewNewNewNewNewNewNewNewNewNewNewNewNewNewNewNewNewNew">
    <w:name w:val="正文 New New New New New New New New New New New New New New New New New New New New New New New New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NewNewNewNewNewNewNewNewNewNewNewNewNewNewNewNewNewNewNewNewNewNewNewNewNew">
    <w:name w:val="正文 New New New New New New New New New New New New New New New New New New New New New New New New New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
    <w:name w:val="正文 New New New New New"/>
    <w:qFormat/>
    <w:pPr>
      <w:widowControl w:val="0"/>
      <w:jc w:val="both"/>
    </w:pPr>
    <w:rPr>
      <w:rFonts w:ascii="Calibri" w:eastAsia="宋体" w:hAnsi="Calibri" w:cs="Times New Roman"/>
      <w:kern w:val="2"/>
      <w:sz w:val="21"/>
      <w:szCs w:val="24"/>
    </w:rPr>
  </w:style>
  <w:style w:type="paragraph" w:customStyle="1" w:styleId="New">
    <w:name w:val="脚注文本 New"/>
    <w:basedOn w:val="NewNewNewNewNewNew"/>
    <w:next w:val="20"/>
    <w:qFormat/>
    <w:pPr>
      <w:suppressAutoHyphens/>
      <w:snapToGrid w:val="0"/>
      <w:jc w:val="left"/>
    </w:pPr>
    <w:rPr>
      <w:rFonts w:cs="Times New Roman"/>
      <w:sz w:val="18"/>
      <w:szCs w:val="18"/>
    </w:rPr>
  </w:style>
  <w:style w:type="paragraph" w:customStyle="1" w:styleId="NewNewNewNewNewNew">
    <w:name w:val="正文 New New New New New New"/>
    <w:next w:val="DefaultNewNewNewNewNewNew"/>
    <w:qFormat/>
    <w:pPr>
      <w:widowControl w:val="0"/>
      <w:jc w:val="both"/>
    </w:pPr>
    <w:rPr>
      <w:rFonts w:ascii="Calibri" w:eastAsia="宋体" w:hAnsi="Calibri" w:cs="黑体"/>
      <w:kern w:val="2"/>
      <w:sz w:val="21"/>
      <w:szCs w:val="22"/>
    </w:rPr>
  </w:style>
  <w:style w:type="paragraph" w:customStyle="1" w:styleId="DefaultNewNewNewNewNewNew">
    <w:name w:val="Default New New New New New New"/>
    <w:next w:val="5"/>
    <w:qFormat/>
    <w:pPr>
      <w:widowControl w:val="0"/>
      <w:autoSpaceDE w:val="0"/>
      <w:autoSpaceDN w:val="0"/>
      <w:adjustRightInd w:val="0"/>
    </w:pPr>
    <w:rPr>
      <w:rFonts w:ascii="Calibri" w:eastAsia="宋体" w:hAnsi="Calibri" w:cs="Calibri"/>
      <w:color w:val="000000"/>
      <w:sz w:val="24"/>
      <w:szCs w:val="24"/>
    </w:rPr>
  </w:style>
  <w:style w:type="paragraph" w:customStyle="1" w:styleId="210">
    <w:name w:val="正文首行缩进 21"/>
    <w:qFormat/>
    <w:pPr>
      <w:widowControl w:val="0"/>
      <w:spacing w:after="120"/>
      <w:ind w:leftChars="200" w:left="420" w:firstLineChars="200" w:firstLine="420"/>
      <w:jc w:val="both"/>
    </w:pPr>
    <w:rPr>
      <w:rFonts w:ascii="Calibri" w:eastAsia="宋体" w:hAnsi="Calibri" w:cs="黑体"/>
      <w:kern w:val="2"/>
      <w:sz w:val="21"/>
      <w:szCs w:val="22"/>
    </w:rPr>
  </w:style>
  <w:style w:type="paragraph" w:customStyle="1" w:styleId="11">
    <w:name w:val="正文文本缩进1"/>
    <w:qFormat/>
    <w:pPr>
      <w:widowControl w:val="0"/>
      <w:spacing w:after="120"/>
      <w:ind w:leftChars="200" w:left="420"/>
      <w:jc w:val="both"/>
    </w:pPr>
    <w:rPr>
      <w:rFonts w:ascii="Calibri" w:eastAsia="宋体" w:hAnsi="Calibri" w:cs="黑体"/>
      <w:kern w:val="2"/>
      <w:sz w:val="21"/>
      <w:szCs w:val="22"/>
    </w:rPr>
  </w:style>
  <w:style w:type="paragraph" w:customStyle="1" w:styleId="12">
    <w:name w:val="列出段落1"/>
    <w:basedOn w:val="a"/>
    <w:qFormat/>
    <w:pPr>
      <w:widowControl w:val="0"/>
      <w:ind w:firstLineChars="200" w:firstLine="420"/>
      <w:jc w:val="both"/>
    </w:pPr>
    <w:rPr>
      <w:rFonts w:ascii="Times New Roman" w:eastAsia="宋体" w:hAnsi="Times New Roman" w:cs="Times New Roman"/>
      <w:kern w:val="2"/>
      <w:szCs w:val="24"/>
      <w:lang w:eastAsia="zh-CN"/>
    </w:rPr>
  </w:style>
  <w:style w:type="paragraph" w:customStyle="1" w:styleId="NewNew0">
    <w:name w:val="脚注文本 New New"/>
    <w:next w:val="20"/>
    <w:qFormat/>
    <w:pPr>
      <w:widowControl w:val="0"/>
      <w:suppressAutoHyphens/>
      <w:snapToGrid w:val="0"/>
    </w:pPr>
    <w:rPr>
      <w:rFonts w:ascii="Calibri" w:eastAsia="宋体" w:hAnsi="Calibri" w:cs="Times New Roman"/>
      <w:kern w:val="2"/>
      <w:sz w:val="18"/>
      <w:szCs w:val="18"/>
    </w:rPr>
  </w:style>
  <w:style w:type="paragraph" w:customStyle="1" w:styleId="NewNewNew0">
    <w:name w:val="脚注文本 New New New"/>
    <w:next w:val="210"/>
    <w:qFormat/>
    <w:pPr>
      <w:widowControl w:val="0"/>
      <w:suppressAutoHyphens/>
      <w:snapToGrid w:val="0"/>
    </w:pPr>
    <w:rPr>
      <w:rFonts w:ascii="Calibri" w:eastAsia="宋体" w:hAnsi="Calibri" w:cs="Times New Roman"/>
      <w:kern w:val="2"/>
      <w:sz w:val="18"/>
      <w:szCs w:val="18"/>
    </w:rPr>
  </w:style>
  <w:style w:type="paragraph" w:customStyle="1" w:styleId="NewNewNewNew0">
    <w:name w:val="脚注文本 New New New New"/>
    <w:next w:val="210"/>
    <w:qFormat/>
    <w:pPr>
      <w:widowControl w:val="0"/>
      <w:suppressAutoHyphens/>
      <w:snapToGrid w:val="0"/>
    </w:pPr>
    <w:rPr>
      <w:rFonts w:ascii="Calibri" w:eastAsia="宋体" w:hAnsi="Calibri" w:cs="Times New Roman"/>
      <w:kern w:val="2"/>
      <w:sz w:val="18"/>
      <w:szCs w:val="18"/>
    </w:rPr>
  </w:style>
  <w:style w:type="paragraph" w:customStyle="1" w:styleId="NewNewNewNewNewNewNewNewNewNewNew">
    <w:name w:val="正文 New New New New New New New New New New New"/>
    <w:qFormat/>
    <w:pPr>
      <w:widowControl w:val="0"/>
      <w:jc w:val="both"/>
    </w:pPr>
    <w:rPr>
      <w:rFonts w:ascii="Calibri" w:eastAsia="宋体" w:hAnsi="Calibri" w:cs="黑体"/>
      <w:kern w:val="2"/>
      <w:sz w:val="21"/>
      <w:szCs w:val="22"/>
    </w:rPr>
  </w:style>
  <w:style w:type="paragraph" w:customStyle="1" w:styleId="NewNewNewNewNew0">
    <w:name w:val="脚注文本 New New New New New"/>
    <w:next w:val="210"/>
    <w:qFormat/>
    <w:pPr>
      <w:widowControl w:val="0"/>
      <w:suppressAutoHyphens/>
      <w:snapToGrid w:val="0"/>
    </w:pPr>
    <w:rPr>
      <w:rFonts w:ascii="Calibri" w:eastAsia="宋体" w:hAnsi="Calibri" w:cs="Times New Roman"/>
      <w:kern w:val="2"/>
      <w:sz w:val="18"/>
      <w:szCs w:val="18"/>
    </w:rPr>
  </w:style>
  <w:style w:type="paragraph" w:customStyle="1" w:styleId="NewNewNewNewNewNew0">
    <w:name w:val="脚注文本 New New New New New New"/>
    <w:next w:val="210"/>
    <w:qFormat/>
    <w:pPr>
      <w:widowControl w:val="0"/>
      <w:suppressAutoHyphens/>
      <w:snapToGrid w:val="0"/>
    </w:pPr>
    <w:rPr>
      <w:rFonts w:ascii="Calibri" w:eastAsia="宋体" w:hAnsi="Calibri" w:cs="Times New Roman"/>
      <w:kern w:val="2"/>
      <w:sz w:val="18"/>
      <w:szCs w:val="18"/>
    </w:rPr>
  </w:style>
  <w:style w:type="paragraph" w:customStyle="1" w:styleId="NewNewNewNewNewNewNewNewNewNewNewNewNewNew">
    <w:name w:val="正文 New New New New New New New New New New New New New New"/>
    <w:next w:val="DefaultNewNewNewNewNewNewNewNewNewNewNew"/>
    <w:qFormat/>
    <w:pPr>
      <w:widowControl w:val="0"/>
      <w:jc w:val="both"/>
    </w:pPr>
    <w:rPr>
      <w:rFonts w:ascii="Calibri" w:eastAsia="宋体" w:hAnsi="Calibri" w:cs="黑体"/>
      <w:kern w:val="2"/>
      <w:sz w:val="21"/>
      <w:szCs w:val="22"/>
    </w:rPr>
  </w:style>
  <w:style w:type="paragraph" w:customStyle="1" w:styleId="DefaultNewNewNewNewNewNewNewNewNewNewNew">
    <w:name w:val="Default New New New New New New New New New New New"/>
    <w:next w:val="5"/>
    <w:qFormat/>
    <w:pPr>
      <w:widowControl w:val="0"/>
      <w:autoSpaceDE w:val="0"/>
      <w:autoSpaceDN w:val="0"/>
      <w:adjustRightInd w:val="0"/>
    </w:pPr>
    <w:rPr>
      <w:rFonts w:ascii="Calibri" w:eastAsia="宋体" w:hAnsi="Calibri" w:cs="Calibri"/>
      <w:color w:val="000000"/>
      <w:sz w:val="24"/>
      <w:szCs w:val="24"/>
    </w:rPr>
  </w:style>
  <w:style w:type="paragraph" w:customStyle="1" w:styleId="NewNewNewNewNewNewNewNewNewNewNewNewNewNewNewNew">
    <w:name w:val="正文 New New New New New New New New New New New New New New New New"/>
    <w:next w:val="DefaultNewNewNewNewNewNewNewNewNewNewNewNewNew"/>
    <w:qFormat/>
    <w:pPr>
      <w:widowControl w:val="0"/>
      <w:jc w:val="both"/>
    </w:pPr>
    <w:rPr>
      <w:rFonts w:ascii="Calibri" w:eastAsia="宋体" w:hAnsi="Calibri" w:cs="黑体"/>
      <w:kern w:val="2"/>
      <w:sz w:val="21"/>
      <w:szCs w:val="22"/>
    </w:rPr>
  </w:style>
  <w:style w:type="paragraph" w:customStyle="1" w:styleId="DefaultNewNewNewNewNewNewNewNewNewNewNewNewNew">
    <w:name w:val="Default New New New New New New New New New New New New New"/>
    <w:next w:val="5"/>
    <w:qFormat/>
    <w:pPr>
      <w:widowControl w:val="0"/>
      <w:autoSpaceDE w:val="0"/>
      <w:autoSpaceDN w:val="0"/>
      <w:adjustRightInd w:val="0"/>
    </w:pPr>
    <w:rPr>
      <w:rFonts w:ascii="Calibri" w:eastAsia="宋体" w:hAnsi="Calibri" w:cs="Calibri"/>
      <w:color w:val="000000"/>
      <w:sz w:val="24"/>
      <w:szCs w:val="24"/>
    </w:rPr>
  </w:style>
  <w:style w:type="paragraph" w:customStyle="1" w:styleId="NewNewNewNewNewNewNewNewNewNewNewNewNewNewNewNewNewNewNewNewNewNewNewNewNewNewNewNew">
    <w:name w:val="正文 New New New New New New New New New New New New New New New New New New New New New New New New New New New New"/>
    <w:qFormat/>
    <w:pPr>
      <w:widowControl w:val="0"/>
      <w:jc w:val="both"/>
    </w:pPr>
    <w:rPr>
      <w:rFonts w:ascii="Calibri" w:eastAsia="宋体" w:hAnsi="Calibri" w:cs="黑体"/>
      <w:kern w:val="2"/>
      <w:sz w:val="21"/>
      <w:szCs w:val="22"/>
    </w:rPr>
  </w:style>
  <w:style w:type="paragraph" w:customStyle="1" w:styleId="ab">
    <w:name w:val="四号正文"/>
    <w:basedOn w:val="a"/>
    <w:qFormat/>
    <w:pPr>
      <w:spacing w:line="360" w:lineRule="auto"/>
    </w:pPr>
    <w:rPr>
      <w:rFonts w:ascii="??" w:eastAsia="宋体" w:hAnsi="??"/>
      <w:sz w:val="28"/>
      <w:lang w:val="zh-CN" w:eastAsia="zh-CN"/>
    </w:rPr>
  </w:style>
  <w:style w:type="paragraph" w:customStyle="1" w:styleId="Default">
    <w:name w:val="Default"/>
    <w:qFormat/>
    <w:pPr>
      <w:widowControl w:val="0"/>
      <w:autoSpaceDE w:val="0"/>
      <w:autoSpaceDN w:val="0"/>
      <w:adjustRightInd w:val="0"/>
    </w:pPr>
    <w:rPr>
      <w:rFonts w:ascii="Calibri" w:eastAsia="宋体" w:hAnsi="Calibri" w:cs="Calibri"/>
      <w:color w:val="000000"/>
      <w:sz w:val="24"/>
      <w:szCs w:val="24"/>
    </w:rPr>
  </w:style>
  <w:style w:type="paragraph" w:customStyle="1" w:styleId="DefaultNewNewNew">
    <w:name w:val="Default New New New"/>
    <w:next w:val="5"/>
    <w:qFormat/>
    <w:pPr>
      <w:widowControl w:val="0"/>
      <w:autoSpaceDE w:val="0"/>
      <w:autoSpaceDN w:val="0"/>
      <w:adjustRightInd w:val="0"/>
    </w:pPr>
    <w:rPr>
      <w:rFonts w:ascii="Calibri" w:eastAsia="宋体" w:hAnsi="Calibri" w:cs="Calibri"/>
      <w:color w:val="000000"/>
      <w:sz w:val="24"/>
      <w:szCs w:val="24"/>
    </w:rPr>
  </w:style>
  <w:style w:type="paragraph" w:customStyle="1" w:styleId="p15">
    <w:name w:val="p15"/>
    <w:basedOn w:val="NewNewNewNewNewNewNewNewNewNewNewNewNewNew"/>
    <w:qFormat/>
    <w:pPr>
      <w:widowControl/>
      <w:ind w:firstLineChars="200" w:firstLine="200"/>
    </w:pPr>
    <w:rPr>
      <w:rFonts w:ascii="宋体" w:cs="宋体"/>
      <w:kern w:val="0"/>
      <w:szCs w:val="21"/>
    </w:rPr>
  </w:style>
  <w:style w:type="paragraph" w:customStyle="1" w:styleId="NewNewNewNewNewNewNewNewNewNewNewNewNewNewNew">
    <w:name w:val="正文 New New New New New New New New New New New New New New New"/>
    <w:next w:val="DefaultNewNewNewNewNewNewNewNewNewNewNewNew"/>
    <w:qFormat/>
    <w:pPr>
      <w:widowControl w:val="0"/>
      <w:jc w:val="both"/>
    </w:pPr>
    <w:rPr>
      <w:rFonts w:ascii="Times New Roman" w:eastAsia="仿宋_GB2312" w:hAnsi="Times New Roman" w:cs="Times New Roman"/>
      <w:kern w:val="2"/>
      <w:sz w:val="32"/>
      <w:szCs w:val="32"/>
    </w:rPr>
  </w:style>
  <w:style w:type="paragraph" w:customStyle="1" w:styleId="DefaultNewNewNewNewNewNewNewNewNewNewNewNew">
    <w:name w:val="Default New New New New New New New New New New New New"/>
    <w:next w:val="5"/>
    <w:qFormat/>
    <w:pPr>
      <w:widowControl w:val="0"/>
      <w:autoSpaceDE w:val="0"/>
      <w:autoSpaceDN w:val="0"/>
      <w:adjustRightInd w:val="0"/>
    </w:pPr>
    <w:rPr>
      <w:rFonts w:ascii="Calibri" w:eastAsia="宋体" w:hAnsi="Calibri" w:cs="Calibri"/>
      <w:color w:val="000000"/>
      <w:sz w:val="24"/>
      <w:szCs w:val="24"/>
    </w:rPr>
  </w:style>
  <w:style w:type="paragraph" w:customStyle="1" w:styleId="NewNewNewNewNewNewNewNewNewNewNewNewNewNewNewNewNew">
    <w:name w:val="正文 New New New New New New New New New New New New New New New New New"/>
    <w:next w:val="DefaultNewNewNewNewNewNewNewNewNewNewNewNewNewNew"/>
    <w:qFormat/>
    <w:pPr>
      <w:widowControl w:val="0"/>
      <w:jc w:val="both"/>
    </w:pPr>
    <w:rPr>
      <w:rFonts w:ascii="Times New Roman" w:eastAsia="仿宋_GB2312" w:hAnsi="Times New Roman" w:cs="Times New Roman"/>
      <w:kern w:val="2"/>
      <w:sz w:val="32"/>
      <w:szCs w:val="32"/>
    </w:rPr>
  </w:style>
  <w:style w:type="paragraph" w:customStyle="1" w:styleId="DefaultNewNewNewNewNewNewNewNewNewNewNewNewNewNew">
    <w:name w:val="Default New New New New New New New New New New New New New New"/>
    <w:next w:val="5"/>
    <w:qFormat/>
    <w:pPr>
      <w:widowControl w:val="0"/>
      <w:autoSpaceDE w:val="0"/>
      <w:autoSpaceDN w:val="0"/>
      <w:adjustRightInd w:val="0"/>
    </w:pPr>
    <w:rPr>
      <w:rFonts w:ascii="Calibri" w:eastAsia="宋体" w:hAnsi="Calibri" w:cs="Calibri"/>
      <w:color w:val="000000"/>
      <w:sz w:val="24"/>
      <w:szCs w:val="24"/>
    </w:rPr>
  </w:style>
  <w:style w:type="paragraph" w:customStyle="1" w:styleId="NewNewNewNew1">
    <w:name w:val="正文文本 New New New New"/>
    <w:basedOn w:val="a"/>
    <w:next w:val="a"/>
    <w:qFormat/>
    <w:pPr>
      <w:spacing w:after="140" w:line="276" w:lineRule="auto"/>
    </w:pPr>
  </w:style>
  <w:style w:type="paragraph" w:customStyle="1" w:styleId="110">
    <w:name w:val="列出段落11"/>
    <w:basedOn w:val="a"/>
    <w:qFormat/>
    <w:pPr>
      <w:ind w:firstLineChars="200" w:firstLine="420"/>
    </w:pPr>
    <w:rPr>
      <w:rFonts w:ascii="Calibri" w:eastAsia="宋体" w:hAnsi="Calibri" w:cs="黑体"/>
      <w:szCs w:val="22"/>
    </w:rPr>
  </w:style>
  <w:style w:type="character" w:customStyle="1" w:styleId="1Char">
    <w:name w:val="标题 1 Char"/>
    <w:basedOn w:val="a1"/>
    <w:link w:val="1"/>
    <w:uiPriority w:val="9"/>
    <w:qFormat/>
    <w:rPr>
      <w:b/>
      <w:bCs/>
      <w:kern w:val="44"/>
      <w:sz w:val="44"/>
      <w:szCs w:val="44"/>
    </w:rPr>
  </w:style>
  <w:style w:type="character" w:customStyle="1" w:styleId="2Char">
    <w:name w:val="标题 2 Char"/>
    <w:basedOn w:val="a1"/>
    <w:link w:val="2"/>
    <w:uiPriority w:val="9"/>
    <w:qFormat/>
    <w:rPr>
      <w:rFonts w:ascii="Cambria" w:eastAsia="宋体" w:hAnsi="Cambria" w:cs="Times New Roman"/>
      <w:b/>
      <w:bCs/>
      <w:kern w:val="2"/>
      <w:sz w:val="32"/>
      <w:szCs w:val="32"/>
      <w:lang w:val="en-US" w:eastAsia="zh-CN" w:bidi="ar-SA"/>
    </w:rPr>
  </w:style>
  <w:style w:type="character" w:customStyle="1" w:styleId="Char">
    <w:name w:val="批注框文本 Char"/>
    <w:basedOn w:val="a1"/>
    <w:link w:val="a7"/>
    <w:qFormat/>
    <w:rPr>
      <w:rFonts w:eastAsia="Arial"/>
      <w:snapToGrid w:val="0"/>
      <w:color w:val="000000"/>
      <w:sz w:val="18"/>
      <w:szCs w:val="18"/>
      <w:lang w:eastAsia="en-US"/>
    </w:rPr>
  </w:style>
  <w:style w:type="paragraph" w:styleId="ac">
    <w:name w:val="List Paragraph"/>
    <w:basedOn w:val="a"/>
    <w:uiPriority w:val="34"/>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267">
    <w:lsdException w:name="Normal" w:semiHidden="1"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5" w:qFormat="1"/>
    <w:lsdException w:name="toc 1" w:uiPriority="39" w:unhideWhenUsed="1" w:qFormat="1"/>
    <w:lsdException w:name="toc 2" w:uiPriority="39" w:unhideWhenUsed="1" w:qFormat="1"/>
    <w:lsdException w:name="footnote text" w:semiHidden="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Body Text Indent" w:qFormat="1"/>
    <w:lsdException w:name="Subtitle" w:qFormat="1"/>
    <w:lsdException w:name="Date" w:qFormat="1"/>
    <w:lsdException w:name="Body Text First Indent 2" w:uiPriority="99" w:unhideWhenUsed="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semiHidden/>
    <w:qFormat/>
    <w:pPr>
      <w:kinsoku w:val="0"/>
      <w:autoSpaceDE w:val="0"/>
      <w:autoSpaceDN w:val="0"/>
      <w:adjustRightInd w:val="0"/>
      <w:snapToGrid w:val="0"/>
      <w:textAlignment w:val="baseline"/>
    </w:pPr>
    <w:rPr>
      <w:rFonts w:eastAsia="Arial"/>
      <w:snapToGrid w:val="0"/>
      <w:color w:val="000000"/>
      <w:sz w:val="21"/>
      <w:szCs w:val="21"/>
      <w:lang w:eastAsia="en-US"/>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pPr>
      <w:widowControl w:val="0"/>
      <w:spacing w:before="260" w:after="260" w:line="416" w:lineRule="auto"/>
      <w:jc w:val="both"/>
      <w:outlineLvl w:val="1"/>
    </w:pPr>
    <w:rPr>
      <w:rFonts w:ascii="Cambria" w:eastAsia="宋体" w:hAnsi="Cambria" w:cs="Times New Roman"/>
      <w:b/>
      <w:bCs/>
      <w:kern w:val="2"/>
      <w:sz w:val="32"/>
      <w:szCs w:val="32"/>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rPr>
      <w:sz w:val="18"/>
      <w:szCs w:val="18"/>
    </w:rPr>
  </w:style>
  <w:style w:type="paragraph" w:styleId="20">
    <w:name w:val="Body Text First Indent 2"/>
    <w:basedOn w:val="a4"/>
    <w:next w:val="a"/>
    <w:uiPriority w:val="99"/>
    <w:unhideWhenUsed/>
    <w:qFormat/>
    <w:pPr>
      <w:ind w:firstLineChars="200" w:firstLine="420"/>
    </w:pPr>
  </w:style>
  <w:style w:type="paragraph" w:styleId="a4">
    <w:name w:val="Body Text Indent"/>
    <w:basedOn w:val="a"/>
    <w:next w:val="20"/>
    <w:qFormat/>
    <w:pPr>
      <w:spacing w:after="120"/>
      <w:ind w:leftChars="200" w:left="200"/>
    </w:pPr>
    <w:rPr>
      <w:rFonts w:ascii="仿宋_GB2312"/>
      <w:szCs w:val="32"/>
    </w:rPr>
  </w:style>
  <w:style w:type="paragraph" w:styleId="5">
    <w:name w:val="index 5"/>
    <w:basedOn w:val="a"/>
    <w:next w:val="a"/>
    <w:qFormat/>
    <w:pPr>
      <w:ind w:firstLineChars="200" w:firstLine="640"/>
    </w:pPr>
    <w:rPr>
      <w:rFonts w:ascii="仿宋" w:eastAsia="仿宋" w:hAnsi="仿宋"/>
      <w:szCs w:val="32"/>
    </w:rPr>
  </w:style>
  <w:style w:type="paragraph" w:styleId="a5">
    <w:name w:val="Body Text"/>
    <w:basedOn w:val="a"/>
    <w:semiHidden/>
    <w:qFormat/>
    <w:rPr>
      <w:rFonts w:ascii="仿宋" w:eastAsia="仿宋" w:hAnsi="仿宋" w:cs="仿宋"/>
      <w:sz w:val="31"/>
      <w:szCs w:val="31"/>
    </w:rPr>
  </w:style>
  <w:style w:type="paragraph" w:styleId="a6">
    <w:name w:val="Date"/>
    <w:next w:val="a"/>
    <w:qFormat/>
    <w:pPr>
      <w:widowControl w:val="0"/>
      <w:jc w:val="both"/>
    </w:pPr>
    <w:rPr>
      <w:rFonts w:ascii="仿宋_GB2312" w:eastAsia="仿宋_GB2312" w:hAnsi="Times New Roman" w:cs="Times New Roman"/>
      <w:kern w:val="2"/>
      <w:sz w:val="32"/>
      <w:szCs w:val="32"/>
    </w:rPr>
  </w:style>
  <w:style w:type="paragraph" w:styleId="a7">
    <w:name w:val="Balloon Text"/>
    <w:basedOn w:val="a"/>
    <w:link w:val="Char"/>
    <w:qFormat/>
    <w:rPr>
      <w:sz w:val="18"/>
      <w:szCs w:val="18"/>
    </w:rPr>
  </w:style>
  <w:style w:type="paragraph" w:styleId="a8">
    <w:name w:val="footer"/>
    <w:basedOn w:val="a"/>
    <w:qFormat/>
    <w:pPr>
      <w:tabs>
        <w:tab w:val="center" w:pos="4153"/>
        <w:tab w:val="right" w:pos="8306"/>
      </w:tabs>
    </w:pPr>
    <w:rPr>
      <w:sz w:val="18"/>
    </w:rPr>
  </w:style>
  <w:style w:type="paragraph" w:styleId="a9">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pPr>
      <w:tabs>
        <w:tab w:val="right" w:leader="dot" w:pos="8296"/>
      </w:tabs>
      <w:ind w:leftChars="200" w:left="420"/>
    </w:pPr>
  </w:style>
  <w:style w:type="character" w:styleId="aa">
    <w:name w:val="Strong"/>
    <w:basedOn w:val="a1"/>
    <w:uiPriority w:val="22"/>
    <w:qFormat/>
    <w:rPr>
      <w:b/>
      <w:bCs/>
    </w:rPr>
  </w:style>
  <w:style w:type="paragraph" w:customStyle="1" w:styleId="50">
    <w:name w:val="标题 5（有编号）（绿盟科技）"/>
    <w:next w:val="a"/>
    <w:qFormat/>
    <w:pPr>
      <w:keepNext/>
      <w:keepLines/>
      <w:widowControl w:val="0"/>
      <w:spacing w:before="280" w:after="156" w:line="377" w:lineRule="auto"/>
      <w:outlineLvl w:val="4"/>
    </w:pPr>
    <w:rPr>
      <w:rFonts w:eastAsia="黑体"/>
      <w:b/>
      <w:kern w:val="2"/>
      <w:sz w:val="24"/>
      <w:szCs w:val="28"/>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Times New Roman" w:eastAsia="Times New Roman" w:hAnsi="Times New Roman" w:cs="Times New Roman"/>
    </w:rPr>
  </w:style>
  <w:style w:type="paragraph" w:customStyle="1" w:styleId="NewNew">
    <w:name w:val="正文 New New"/>
    <w:qFormat/>
    <w:pPr>
      <w:widowControl w:val="0"/>
      <w:jc w:val="both"/>
    </w:pPr>
    <w:rPr>
      <w:rFonts w:ascii="Calibri" w:eastAsia="宋体" w:hAnsi="Calibri" w:cs="Times New Roman"/>
      <w:kern w:val="2"/>
      <w:sz w:val="21"/>
      <w:szCs w:val="24"/>
    </w:rPr>
  </w:style>
  <w:style w:type="paragraph" w:customStyle="1" w:styleId="DefaultNewNew">
    <w:name w:val="Default New New"/>
    <w:next w:val="5"/>
    <w:qFormat/>
    <w:pPr>
      <w:widowControl w:val="0"/>
      <w:autoSpaceDE w:val="0"/>
      <w:autoSpaceDN w:val="0"/>
      <w:adjustRightInd w:val="0"/>
    </w:pPr>
    <w:rPr>
      <w:rFonts w:ascii="Calibri" w:eastAsia="宋体" w:hAnsi="Calibri" w:cs="Calibri"/>
      <w:color w:val="000000"/>
      <w:sz w:val="24"/>
      <w:szCs w:val="24"/>
    </w:rPr>
  </w:style>
  <w:style w:type="paragraph" w:customStyle="1" w:styleId="NewNewNewNewNewNewNewNewNew">
    <w:name w:val="正文 New New New New New New New New New"/>
    <w:qFormat/>
    <w:pPr>
      <w:widowControl w:val="0"/>
      <w:jc w:val="both"/>
    </w:pPr>
    <w:rPr>
      <w:rFonts w:ascii="Calibri" w:eastAsia="宋体" w:hAnsi="Calibri" w:cs="黑体"/>
      <w:kern w:val="2"/>
      <w:sz w:val="21"/>
      <w:szCs w:val="22"/>
    </w:rPr>
  </w:style>
  <w:style w:type="paragraph" w:customStyle="1" w:styleId="DefaultNewNewNewNewNewNewNewNew">
    <w:name w:val="Default New New New New New New New New"/>
    <w:next w:val="5"/>
    <w:qFormat/>
    <w:pPr>
      <w:widowControl w:val="0"/>
      <w:autoSpaceDE w:val="0"/>
      <w:autoSpaceDN w:val="0"/>
      <w:adjustRightInd w:val="0"/>
    </w:pPr>
    <w:rPr>
      <w:rFonts w:ascii="Calibri" w:eastAsia="宋体" w:hAnsi="Calibri" w:cs="Calibri"/>
      <w:color w:val="000000"/>
      <w:sz w:val="24"/>
      <w:szCs w:val="24"/>
    </w:rPr>
  </w:style>
  <w:style w:type="paragraph" w:customStyle="1" w:styleId="NewNewNew">
    <w:name w:val="正文 New New New"/>
    <w:qFormat/>
    <w:pPr>
      <w:widowControl w:val="0"/>
      <w:jc w:val="both"/>
    </w:pPr>
    <w:rPr>
      <w:rFonts w:ascii="Times New Roman" w:eastAsia="仿宋_GB2312" w:hAnsi="Times New Roman" w:cs="Times New Roman"/>
      <w:kern w:val="2"/>
      <w:sz w:val="32"/>
      <w:szCs w:val="32"/>
    </w:rPr>
  </w:style>
  <w:style w:type="paragraph" w:customStyle="1" w:styleId="NewNewNewNew">
    <w:name w:val="正文 New New New New"/>
    <w:qFormat/>
    <w:pPr>
      <w:widowControl w:val="0"/>
      <w:jc w:val="both"/>
    </w:pPr>
    <w:rPr>
      <w:rFonts w:ascii="Times New Roman" w:eastAsia="宋体" w:hAnsi="Times New Roman" w:cs="Times New Roman"/>
      <w:kern w:val="2"/>
      <w:sz w:val="21"/>
    </w:rPr>
  </w:style>
  <w:style w:type="paragraph" w:customStyle="1" w:styleId="p0">
    <w:name w:val="p0"/>
    <w:qFormat/>
    <w:pPr>
      <w:jc w:val="both"/>
    </w:pPr>
    <w:rPr>
      <w:rFonts w:ascii="Calibri" w:eastAsia="宋体" w:hAnsi="Calibri" w:cs="宋体"/>
      <w:sz w:val="21"/>
      <w:szCs w:val="21"/>
    </w:rPr>
  </w:style>
  <w:style w:type="paragraph" w:customStyle="1" w:styleId="NewNewNewNewNewNewNew">
    <w:name w:val="正文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
    <w:name w:val="正文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NewNew">
    <w:name w:val="正文 New New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NewNewNewNewNewNewNewNewNewNew">
    <w:name w:val="正文 New New New New New New New New New New New New New New New New New New"/>
    <w:next w:val="DefaultNewNewNewNewNewNewNewNewNewNewNewNewNewNewNew"/>
    <w:qFormat/>
    <w:pPr>
      <w:widowControl w:val="0"/>
      <w:jc w:val="both"/>
    </w:pPr>
    <w:rPr>
      <w:rFonts w:ascii="Times New Roman" w:eastAsia="方正仿宋简体" w:hAnsi="Times New Roman" w:cs="Times New Roman"/>
      <w:sz w:val="32"/>
      <w:szCs w:val="24"/>
    </w:rPr>
  </w:style>
  <w:style w:type="paragraph" w:customStyle="1" w:styleId="DefaultNewNewNewNewNewNewNewNewNewNewNewNewNewNewNew">
    <w:name w:val="Default New New New New New New New New New New New New New New New"/>
    <w:next w:val="5"/>
    <w:qFormat/>
    <w:pPr>
      <w:widowControl w:val="0"/>
      <w:autoSpaceDE w:val="0"/>
      <w:autoSpaceDN w:val="0"/>
      <w:adjustRightInd w:val="0"/>
    </w:pPr>
    <w:rPr>
      <w:rFonts w:ascii="Calibri" w:eastAsia="宋体" w:hAnsi="Calibri" w:cs="Calibri"/>
      <w:color w:val="000000"/>
      <w:sz w:val="24"/>
      <w:szCs w:val="24"/>
    </w:rPr>
  </w:style>
  <w:style w:type="paragraph" w:customStyle="1" w:styleId="NewNewNewNewNewNewNewNewNewNewNewNewNewNewNewNewNewNewNewNewNew">
    <w:name w:val="正文 New New New New New New New New New New New New New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NewNewNewNew">
    <w:name w:val="正文 New New New New New New New New New New New New"/>
    <w:qFormat/>
    <w:pPr>
      <w:widowControl w:val="0"/>
      <w:jc w:val="both"/>
    </w:pPr>
    <w:rPr>
      <w:rFonts w:ascii="Times New Roman" w:eastAsia="宋体" w:hAnsi="Times New Roman" w:cs="Times New Roman"/>
      <w:kern w:val="2"/>
      <w:sz w:val="21"/>
    </w:rPr>
  </w:style>
  <w:style w:type="paragraph" w:customStyle="1" w:styleId="NewNewNewNewNewNewNewNewNewNewNewNewNew">
    <w:name w:val="正文 New New New New New New New New New New New New New"/>
    <w:qFormat/>
    <w:pPr>
      <w:widowControl w:val="0"/>
      <w:jc w:val="both"/>
    </w:pPr>
    <w:rPr>
      <w:rFonts w:ascii="Times New Roman" w:eastAsia="宋体" w:hAnsi="Times New Roman" w:cs="Times New Roman"/>
      <w:kern w:val="2"/>
      <w:sz w:val="21"/>
    </w:rPr>
  </w:style>
  <w:style w:type="paragraph" w:customStyle="1" w:styleId="NewNewNewNewNewNewNewNewNewNewNewNewNewNewNewNewNewNewNewNewNewNew">
    <w:name w:val="正文 New New New New New New New New New New New New New New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NewNewNewNewNewNewNewNewNewNewNewNewNewNewNew">
    <w:name w:val="正文 New New New New New New New New New New New New New New New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NewNewNewNewNewNewNewNewNewNewNewNewNewNewNewNew">
    <w:name w:val="正文 New New New New New New New New New New New New New New New New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NewNewNewNewNewNewNewNewNewNewNewNewNewNewNewNewNew">
    <w:name w:val="正文 New New New New New New New New New New New New New New New New New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NewNewNewNewNewNewNewNewNewNewNewNewNewNewNewNewNewNew">
    <w:name w:val="正文 New New New New New New New New New New New New New New New New New New New New New New New New New New"/>
    <w:qFormat/>
    <w:pPr>
      <w:widowControl w:val="0"/>
      <w:jc w:val="both"/>
    </w:pPr>
    <w:rPr>
      <w:rFonts w:ascii="Times New Roman" w:eastAsia="方正仿宋简体" w:hAnsi="Times New Roman" w:cs="Times New Roman"/>
      <w:sz w:val="32"/>
      <w:szCs w:val="24"/>
    </w:rPr>
  </w:style>
  <w:style w:type="paragraph" w:customStyle="1" w:styleId="p17">
    <w:name w:val="p17"/>
    <w:qFormat/>
    <w:pPr>
      <w:spacing w:before="100" w:after="100"/>
    </w:pPr>
    <w:rPr>
      <w:rFonts w:ascii="宋体" w:eastAsia="宋体" w:hAnsi="宋体" w:cs="宋体"/>
      <w:sz w:val="24"/>
      <w:szCs w:val="24"/>
    </w:rPr>
  </w:style>
  <w:style w:type="paragraph" w:customStyle="1" w:styleId="NewNewNewNewNewNewNewNewNewNewNewNewNewNewNewNewNewNewNewNewNewNewNewNewNewNewNewNewNew">
    <w:name w:val="正文 New New New New New New New New New New New New New New New New New New New New New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NewNewNewNewNewNewNewNewNewNewNewNewNewNewNewNewNewNewNewNewNewNew">
    <w:name w:val="正文 New New New New New New New New New New New New New New New New New New New New New New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NewNewNewNewNewNewNewNewNewNewNewNewNewNewNewNewNewNewNewNewNewNewNew">
    <w:name w:val="正文 New New New New New New New New New New New New New New New New New New New New New New New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NewNewNewNewNewNewNewNewNewNewNewNewNewNewNewNewNewNewNewNewNewNewNewNew">
    <w:name w:val="正文 New New New New New New New New New New New New New New New New New New New New New New New New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NewNewNewNewNewNewNewNewNewNewNewNewNewNewNewNewNewNewNewNewNewNewNewNewNewNewNewNew">
    <w:name w:val="正文 New New New New New New New New New New New New New New New New New New New New New New New New New New New New New New New New New"/>
    <w:qFormat/>
    <w:pPr>
      <w:widowControl w:val="0"/>
      <w:jc w:val="both"/>
    </w:pPr>
    <w:rPr>
      <w:rFonts w:ascii="Times New Roman" w:eastAsia="方正仿宋简体" w:hAnsi="Times New Roman" w:cs="Times New Roman"/>
      <w:sz w:val="32"/>
      <w:szCs w:val="24"/>
    </w:rPr>
  </w:style>
  <w:style w:type="paragraph" w:customStyle="1" w:styleId="NewNewNewNewNew">
    <w:name w:val="正文 New New New New New"/>
    <w:qFormat/>
    <w:pPr>
      <w:widowControl w:val="0"/>
      <w:jc w:val="both"/>
    </w:pPr>
    <w:rPr>
      <w:rFonts w:ascii="Calibri" w:eastAsia="宋体" w:hAnsi="Calibri" w:cs="Times New Roman"/>
      <w:kern w:val="2"/>
      <w:sz w:val="21"/>
      <w:szCs w:val="24"/>
    </w:rPr>
  </w:style>
  <w:style w:type="paragraph" w:customStyle="1" w:styleId="New">
    <w:name w:val="脚注文本 New"/>
    <w:basedOn w:val="NewNewNewNewNewNew"/>
    <w:next w:val="20"/>
    <w:qFormat/>
    <w:pPr>
      <w:suppressAutoHyphens/>
      <w:snapToGrid w:val="0"/>
      <w:jc w:val="left"/>
    </w:pPr>
    <w:rPr>
      <w:rFonts w:cs="Times New Roman"/>
      <w:sz w:val="18"/>
      <w:szCs w:val="18"/>
    </w:rPr>
  </w:style>
  <w:style w:type="paragraph" w:customStyle="1" w:styleId="NewNewNewNewNewNew">
    <w:name w:val="正文 New New New New New New"/>
    <w:next w:val="DefaultNewNewNewNewNewNew"/>
    <w:qFormat/>
    <w:pPr>
      <w:widowControl w:val="0"/>
      <w:jc w:val="both"/>
    </w:pPr>
    <w:rPr>
      <w:rFonts w:ascii="Calibri" w:eastAsia="宋体" w:hAnsi="Calibri" w:cs="黑体"/>
      <w:kern w:val="2"/>
      <w:sz w:val="21"/>
      <w:szCs w:val="22"/>
    </w:rPr>
  </w:style>
  <w:style w:type="paragraph" w:customStyle="1" w:styleId="DefaultNewNewNewNewNewNew">
    <w:name w:val="Default New New New New New New"/>
    <w:next w:val="5"/>
    <w:qFormat/>
    <w:pPr>
      <w:widowControl w:val="0"/>
      <w:autoSpaceDE w:val="0"/>
      <w:autoSpaceDN w:val="0"/>
      <w:adjustRightInd w:val="0"/>
    </w:pPr>
    <w:rPr>
      <w:rFonts w:ascii="Calibri" w:eastAsia="宋体" w:hAnsi="Calibri" w:cs="Calibri"/>
      <w:color w:val="000000"/>
      <w:sz w:val="24"/>
      <w:szCs w:val="24"/>
    </w:rPr>
  </w:style>
  <w:style w:type="paragraph" w:customStyle="1" w:styleId="210">
    <w:name w:val="正文首行缩进 21"/>
    <w:qFormat/>
    <w:pPr>
      <w:widowControl w:val="0"/>
      <w:spacing w:after="120"/>
      <w:ind w:leftChars="200" w:left="420" w:firstLineChars="200" w:firstLine="420"/>
      <w:jc w:val="both"/>
    </w:pPr>
    <w:rPr>
      <w:rFonts w:ascii="Calibri" w:eastAsia="宋体" w:hAnsi="Calibri" w:cs="黑体"/>
      <w:kern w:val="2"/>
      <w:sz w:val="21"/>
      <w:szCs w:val="22"/>
    </w:rPr>
  </w:style>
  <w:style w:type="paragraph" w:customStyle="1" w:styleId="11">
    <w:name w:val="正文文本缩进1"/>
    <w:qFormat/>
    <w:pPr>
      <w:widowControl w:val="0"/>
      <w:spacing w:after="120"/>
      <w:ind w:leftChars="200" w:left="420"/>
      <w:jc w:val="both"/>
    </w:pPr>
    <w:rPr>
      <w:rFonts w:ascii="Calibri" w:eastAsia="宋体" w:hAnsi="Calibri" w:cs="黑体"/>
      <w:kern w:val="2"/>
      <w:sz w:val="21"/>
      <w:szCs w:val="22"/>
    </w:rPr>
  </w:style>
  <w:style w:type="paragraph" w:customStyle="1" w:styleId="12">
    <w:name w:val="列出段落1"/>
    <w:basedOn w:val="a"/>
    <w:qFormat/>
    <w:pPr>
      <w:widowControl w:val="0"/>
      <w:ind w:firstLineChars="200" w:firstLine="420"/>
      <w:jc w:val="both"/>
    </w:pPr>
    <w:rPr>
      <w:rFonts w:ascii="Times New Roman" w:eastAsia="宋体" w:hAnsi="Times New Roman" w:cs="Times New Roman"/>
      <w:kern w:val="2"/>
      <w:szCs w:val="24"/>
      <w:lang w:eastAsia="zh-CN"/>
    </w:rPr>
  </w:style>
  <w:style w:type="paragraph" w:customStyle="1" w:styleId="NewNew0">
    <w:name w:val="脚注文本 New New"/>
    <w:next w:val="20"/>
    <w:qFormat/>
    <w:pPr>
      <w:widowControl w:val="0"/>
      <w:suppressAutoHyphens/>
      <w:snapToGrid w:val="0"/>
    </w:pPr>
    <w:rPr>
      <w:rFonts w:ascii="Calibri" w:eastAsia="宋体" w:hAnsi="Calibri" w:cs="Times New Roman"/>
      <w:kern w:val="2"/>
      <w:sz w:val="18"/>
      <w:szCs w:val="18"/>
    </w:rPr>
  </w:style>
  <w:style w:type="paragraph" w:customStyle="1" w:styleId="NewNewNew0">
    <w:name w:val="脚注文本 New New New"/>
    <w:next w:val="210"/>
    <w:qFormat/>
    <w:pPr>
      <w:widowControl w:val="0"/>
      <w:suppressAutoHyphens/>
      <w:snapToGrid w:val="0"/>
    </w:pPr>
    <w:rPr>
      <w:rFonts w:ascii="Calibri" w:eastAsia="宋体" w:hAnsi="Calibri" w:cs="Times New Roman"/>
      <w:kern w:val="2"/>
      <w:sz w:val="18"/>
      <w:szCs w:val="18"/>
    </w:rPr>
  </w:style>
  <w:style w:type="paragraph" w:customStyle="1" w:styleId="NewNewNewNew0">
    <w:name w:val="脚注文本 New New New New"/>
    <w:next w:val="210"/>
    <w:qFormat/>
    <w:pPr>
      <w:widowControl w:val="0"/>
      <w:suppressAutoHyphens/>
      <w:snapToGrid w:val="0"/>
    </w:pPr>
    <w:rPr>
      <w:rFonts w:ascii="Calibri" w:eastAsia="宋体" w:hAnsi="Calibri" w:cs="Times New Roman"/>
      <w:kern w:val="2"/>
      <w:sz w:val="18"/>
      <w:szCs w:val="18"/>
    </w:rPr>
  </w:style>
  <w:style w:type="paragraph" w:customStyle="1" w:styleId="NewNewNewNewNewNewNewNewNewNewNew">
    <w:name w:val="正文 New New New New New New New New New New New"/>
    <w:qFormat/>
    <w:pPr>
      <w:widowControl w:val="0"/>
      <w:jc w:val="both"/>
    </w:pPr>
    <w:rPr>
      <w:rFonts w:ascii="Calibri" w:eastAsia="宋体" w:hAnsi="Calibri" w:cs="黑体"/>
      <w:kern w:val="2"/>
      <w:sz w:val="21"/>
      <w:szCs w:val="22"/>
    </w:rPr>
  </w:style>
  <w:style w:type="paragraph" w:customStyle="1" w:styleId="NewNewNewNewNew0">
    <w:name w:val="脚注文本 New New New New New"/>
    <w:next w:val="210"/>
    <w:qFormat/>
    <w:pPr>
      <w:widowControl w:val="0"/>
      <w:suppressAutoHyphens/>
      <w:snapToGrid w:val="0"/>
    </w:pPr>
    <w:rPr>
      <w:rFonts w:ascii="Calibri" w:eastAsia="宋体" w:hAnsi="Calibri" w:cs="Times New Roman"/>
      <w:kern w:val="2"/>
      <w:sz w:val="18"/>
      <w:szCs w:val="18"/>
    </w:rPr>
  </w:style>
  <w:style w:type="paragraph" w:customStyle="1" w:styleId="NewNewNewNewNewNew0">
    <w:name w:val="脚注文本 New New New New New New"/>
    <w:next w:val="210"/>
    <w:qFormat/>
    <w:pPr>
      <w:widowControl w:val="0"/>
      <w:suppressAutoHyphens/>
      <w:snapToGrid w:val="0"/>
    </w:pPr>
    <w:rPr>
      <w:rFonts w:ascii="Calibri" w:eastAsia="宋体" w:hAnsi="Calibri" w:cs="Times New Roman"/>
      <w:kern w:val="2"/>
      <w:sz w:val="18"/>
      <w:szCs w:val="18"/>
    </w:rPr>
  </w:style>
  <w:style w:type="paragraph" w:customStyle="1" w:styleId="NewNewNewNewNewNewNewNewNewNewNewNewNewNew">
    <w:name w:val="正文 New New New New New New New New New New New New New New"/>
    <w:next w:val="DefaultNewNewNewNewNewNewNewNewNewNewNew"/>
    <w:qFormat/>
    <w:pPr>
      <w:widowControl w:val="0"/>
      <w:jc w:val="both"/>
    </w:pPr>
    <w:rPr>
      <w:rFonts w:ascii="Calibri" w:eastAsia="宋体" w:hAnsi="Calibri" w:cs="黑体"/>
      <w:kern w:val="2"/>
      <w:sz w:val="21"/>
      <w:szCs w:val="22"/>
    </w:rPr>
  </w:style>
  <w:style w:type="paragraph" w:customStyle="1" w:styleId="DefaultNewNewNewNewNewNewNewNewNewNewNew">
    <w:name w:val="Default New New New New New New New New New New New"/>
    <w:next w:val="5"/>
    <w:qFormat/>
    <w:pPr>
      <w:widowControl w:val="0"/>
      <w:autoSpaceDE w:val="0"/>
      <w:autoSpaceDN w:val="0"/>
      <w:adjustRightInd w:val="0"/>
    </w:pPr>
    <w:rPr>
      <w:rFonts w:ascii="Calibri" w:eastAsia="宋体" w:hAnsi="Calibri" w:cs="Calibri"/>
      <w:color w:val="000000"/>
      <w:sz w:val="24"/>
      <w:szCs w:val="24"/>
    </w:rPr>
  </w:style>
  <w:style w:type="paragraph" w:customStyle="1" w:styleId="NewNewNewNewNewNewNewNewNewNewNewNewNewNewNewNew">
    <w:name w:val="正文 New New New New New New New New New New New New New New New New"/>
    <w:next w:val="DefaultNewNewNewNewNewNewNewNewNewNewNewNewNew"/>
    <w:qFormat/>
    <w:pPr>
      <w:widowControl w:val="0"/>
      <w:jc w:val="both"/>
    </w:pPr>
    <w:rPr>
      <w:rFonts w:ascii="Calibri" w:eastAsia="宋体" w:hAnsi="Calibri" w:cs="黑体"/>
      <w:kern w:val="2"/>
      <w:sz w:val="21"/>
      <w:szCs w:val="22"/>
    </w:rPr>
  </w:style>
  <w:style w:type="paragraph" w:customStyle="1" w:styleId="DefaultNewNewNewNewNewNewNewNewNewNewNewNewNew">
    <w:name w:val="Default New New New New New New New New New New New New New"/>
    <w:next w:val="5"/>
    <w:qFormat/>
    <w:pPr>
      <w:widowControl w:val="0"/>
      <w:autoSpaceDE w:val="0"/>
      <w:autoSpaceDN w:val="0"/>
      <w:adjustRightInd w:val="0"/>
    </w:pPr>
    <w:rPr>
      <w:rFonts w:ascii="Calibri" w:eastAsia="宋体" w:hAnsi="Calibri" w:cs="Calibri"/>
      <w:color w:val="000000"/>
      <w:sz w:val="24"/>
      <w:szCs w:val="24"/>
    </w:rPr>
  </w:style>
  <w:style w:type="paragraph" w:customStyle="1" w:styleId="NewNewNewNewNewNewNewNewNewNewNewNewNewNewNewNewNewNewNewNewNewNewNewNewNewNewNewNew">
    <w:name w:val="正文 New New New New New New New New New New New New New New New New New New New New New New New New New New New New"/>
    <w:qFormat/>
    <w:pPr>
      <w:widowControl w:val="0"/>
      <w:jc w:val="both"/>
    </w:pPr>
    <w:rPr>
      <w:rFonts w:ascii="Calibri" w:eastAsia="宋体" w:hAnsi="Calibri" w:cs="黑体"/>
      <w:kern w:val="2"/>
      <w:sz w:val="21"/>
      <w:szCs w:val="22"/>
    </w:rPr>
  </w:style>
  <w:style w:type="paragraph" w:customStyle="1" w:styleId="ab">
    <w:name w:val="四号正文"/>
    <w:basedOn w:val="a"/>
    <w:qFormat/>
    <w:pPr>
      <w:spacing w:line="360" w:lineRule="auto"/>
    </w:pPr>
    <w:rPr>
      <w:rFonts w:ascii="??" w:eastAsia="宋体" w:hAnsi="??"/>
      <w:sz w:val="28"/>
      <w:lang w:val="zh-CN" w:eastAsia="zh-CN"/>
    </w:rPr>
  </w:style>
  <w:style w:type="paragraph" w:customStyle="1" w:styleId="Default">
    <w:name w:val="Default"/>
    <w:qFormat/>
    <w:pPr>
      <w:widowControl w:val="0"/>
      <w:autoSpaceDE w:val="0"/>
      <w:autoSpaceDN w:val="0"/>
      <w:adjustRightInd w:val="0"/>
    </w:pPr>
    <w:rPr>
      <w:rFonts w:ascii="Calibri" w:eastAsia="宋体" w:hAnsi="Calibri" w:cs="Calibri"/>
      <w:color w:val="000000"/>
      <w:sz w:val="24"/>
      <w:szCs w:val="24"/>
    </w:rPr>
  </w:style>
  <w:style w:type="paragraph" w:customStyle="1" w:styleId="DefaultNewNewNew">
    <w:name w:val="Default New New New"/>
    <w:next w:val="5"/>
    <w:qFormat/>
    <w:pPr>
      <w:widowControl w:val="0"/>
      <w:autoSpaceDE w:val="0"/>
      <w:autoSpaceDN w:val="0"/>
      <w:adjustRightInd w:val="0"/>
    </w:pPr>
    <w:rPr>
      <w:rFonts w:ascii="Calibri" w:eastAsia="宋体" w:hAnsi="Calibri" w:cs="Calibri"/>
      <w:color w:val="000000"/>
      <w:sz w:val="24"/>
      <w:szCs w:val="24"/>
    </w:rPr>
  </w:style>
  <w:style w:type="paragraph" w:customStyle="1" w:styleId="p15">
    <w:name w:val="p15"/>
    <w:basedOn w:val="NewNewNewNewNewNewNewNewNewNewNewNewNewNew"/>
    <w:qFormat/>
    <w:pPr>
      <w:widowControl/>
      <w:ind w:firstLineChars="200" w:firstLine="200"/>
    </w:pPr>
    <w:rPr>
      <w:rFonts w:ascii="宋体" w:cs="宋体"/>
      <w:kern w:val="0"/>
      <w:szCs w:val="21"/>
    </w:rPr>
  </w:style>
  <w:style w:type="paragraph" w:customStyle="1" w:styleId="NewNewNewNewNewNewNewNewNewNewNewNewNewNewNew">
    <w:name w:val="正文 New New New New New New New New New New New New New New New"/>
    <w:next w:val="DefaultNewNewNewNewNewNewNewNewNewNewNewNew"/>
    <w:qFormat/>
    <w:pPr>
      <w:widowControl w:val="0"/>
      <w:jc w:val="both"/>
    </w:pPr>
    <w:rPr>
      <w:rFonts w:ascii="Times New Roman" w:eastAsia="仿宋_GB2312" w:hAnsi="Times New Roman" w:cs="Times New Roman"/>
      <w:kern w:val="2"/>
      <w:sz w:val="32"/>
      <w:szCs w:val="32"/>
    </w:rPr>
  </w:style>
  <w:style w:type="paragraph" w:customStyle="1" w:styleId="DefaultNewNewNewNewNewNewNewNewNewNewNewNew">
    <w:name w:val="Default New New New New New New New New New New New New"/>
    <w:next w:val="5"/>
    <w:qFormat/>
    <w:pPr>
      <w:widowControl w:val="0"/>
      <w:autoSpaceDE w:val="0"/>
      <w:autoSpaceDN w:val="0"/>
      <w:adjustRightInd w:val="0"/>
    </w:pPr>
    <w:rPr>
      <w:rFonts w:ascii="Calibri" w:eastAsia="宋体" w:hAnsi="Calibri" w:cs="Calibri"/>
      <w:color w:val="000000"/>
      <w:sz w:val="24"/>
      <w:szCs w:val="24"/>
    </w:rPr>
  </w:style>
  <w:style w:type="paragraph" w:customStyle="1" w:styleId="NewNewNewNewNewNewNewNewNewNewNewNewNewNewNewNewNew">
    <w:name w:val="正文 New New New New New New New New New New New New New New New New New"/>
    <w:next w:val="DefaultNewNewNewNewNewNewNewNewNewNewNewNewNewNew"/>
    <w:qFormat/>
    <w:pPr>
      <w:widowControl w:val="0"/>
      <w:jc w:val="both"/>
    </w:pPr>
    <w:rPr>
      <w:rFonts w:ascii="Times New Roman" w:eastAsia="仿宋_GB2312" w:hAnsi="Times New Roman" w:cs="Times New Roman"/>
      <w:kern w:val="2"/>
      <w:sz w:val="32"/>
      <w:szCs w:val="32"/>
    </w:rPr>
  </w:style>
  <w:style w:type="paragraph" w:customStyle="1" w:styleId="DefaultNewNewNewNewNewNewNewNewNewNewNewNewNewNew">
    <w:name w:val="Default New New New New New New New New New New New New New New"/>
    <w:next w:val="5"/>
    <w:qFormat/>
    <w:pPr>
      <w:widowControl w:val="0"/>
      <w:autoSpaceDE w:val="0"/>
      <w:autoSpaceDN w:val="0"/>
      <w:adjustRightInd w:val="0"/>
    </w:pPr>
    <w:rPr>
      <w:rFonts w:ascii="Calibri" w:eastAsia="宋体" w:hAnsi="Calibri" w:cs="Calibri"/>
      <w:color w:val="000000"/>
      <w:sz w:val="24"/>
      <w:szCs w:val="24"/>
    </w:rPr>
  </w:style>
  <w:style w:type="paragraph" w:customStyle="1" w:styleId="NewNewNewNew1">
    <w:name w:val="正文文本 New New New New"/>
    <w:basedOn w:val="a"/>
    <w:next w:val="a"/>
    <w:qFormat/>
    <w:pPr>
      <w:spacing w:after="140" w:line="276" w:lineRule="auto"/>
    </w:pPr>
  </w:style>
  <w:style w:type="paragraph" w:customStyle="1" w:styleId="110">
    <w:name w:val="列出段落11"/>
    <w:basedOn w:val="a"/>
    <w:qFormat/>
    <w:pPr>
      <w:ind w:firstLineChars="200" w:firstLine="420"/>
    </w:pPr>
    <w:rPr>
      <w:rFonts w:ascii="Calibri" w:eastAsia="宋体" w:hAnsi="Calibri" w:cs="黑体"/>
      <w:szCs w:val="22"/>
    </w:rPr>
  </w:style>
  <w:style w:type="character" w:customStyle="1" w:styleId="1Char">
    <w:name w:val="标题 1 Char"/>
    <w:basedOn w:val="a1"/>
    <w:link w:val="1"/>
    <w:uiPriority w:val="9"/>
    <w:qFormat/>
    <w:rPr>
      <w:b/>
      <w:bCs/>
      <w:kern w:val="44"/>
      <w:sz w:val="44"/>
      <w:szCs w:val="44"/>
    </w:rPr>
  </w:style>
  <w:style w:type="character" w:customStyle="1" w:styleId="2Char">
    <w:name w:val="标题 2 Char"/>
    <w:basedOn w:val="a1"/>
    <w:link w:val="2"/>
    <w:uiPriority w:val="9"/>
    <w:qFormat/>
    <w:rPr>
      <w:rFonts w:ascii="Cambria" w:eastAsia="宋体" w:hAnsi="Cambria" w:cs="Times New Roman"/>
      <w:b/>
      <w:bCs/>
      <w:kern w:val="2"/>
      <w:sz w:val="32"/>
      <w:szCs w:val="32"/>
      <w:lang w:val="en-US" w:eastAsia="zh-CN" w:bidi="ar-SA"/>
    </w:rPr>
  </w:style>
  <w:style w:type="character" w:customStyle="1" w:styleId="Char">
    <w:name w:val="批注框文本 Char"/>
    <w:basedOn w:val="a1"/>
    <w:link w:val="a7"/>
    <w:qFormat/>
    <w:rPr>
      <w:rFonts w:eastAsia="Arial"/>
      <w:snapToGrid w:val="0"/>
      <w:color w:val="000000"/>
      <w:sz w:val="18"/>
      <w:szCs w:val="18"/>
      <w:lang w:eastAsia="en-US"/>
    </w:rPr>
  </w:style>
  <w:style w:type="paragraph" w:styleId="ac">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3.xml"/><Relationship Id="rId18" Type="http://schemas.openxmlformats.org/officeDocument/2006/relationships/chart" Target="charts/chart7.xml"/><Relationship Id="rId26"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6.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chart" Target="charts/chart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1.emf"/><Relationship Id="rId28"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hart" Target="charts/chart4.xml"/><Relationship Id="rId22" Type="http://schemas.openxmlformats.org/officeDocument/2006/relationships/footer" Target="footer8.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__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___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___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___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___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___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___7.xlsx"/><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zh-CN" altLang="en-US"/>
              <a:t>收、支决算总计变动情况</a:t>
            </a:r>
          </a:p>
        </c:rich>
      </c:tx>
      <c:overlay val="0"/>
      <c:spPr>
        <a:noFill/>
        <a:ln>
          <a:noFill/>
        </a:ln>
        <a:effectLst/>
      </c:spPr>
    </c:title>
    <c:autoTitleDeleted val="0"/>
    <c:plotArea>
      <c:layout/>
      <c:barChart>
        <c:barDir val="col"/>
        <c:grouping val="clustered"/>
        <c:varyColors val="0"/>
        <c:ser>
          <c:idx val="0"/>
          <c:order val="0"/>
          <c:tx>
            <c:strRef>
              <c:f>Sheet1!$A$2</c:f>
              <c:strCache>
                <c:ptCount val="1"/>
                <c:pt idx="0">
                  <c:v>收、支总计（万元）</c:v>
                </c:pt>
              </c:strCache>
            </c:strRef>
          </c:tx>
          <c:spPr>
            <a:solidFill>
              <a:schemeClr val="accent1"/>
            </a:solidFill>
            <a:ln>
              <a:solidFill>
                <a:schemeClr val="bg1"/>
              </a:solidFill>
            </a:ln>
            <a:effectLst/>
          </c:spPr>
          <c:invertIfNegative val="0"/>
          <c:cat>
            <c:strRef>
              <c:f>Sheet1!$B$1:$C$1</c:f>
              <c:strCache>
                <c:ptCount val="2"/>
                <c:pt idx="0">
                  <c:v>2024年</c:v>
                </c:pt>
                <c:pt idx="1">
                  <c:v>2025年</c:v>
                </c:pt>
              </c:strCache>
            </c:strRef>
          </c:cat>
          <c:val>
            <c:numRef>
              <c:f>Sheet1!$B$2:$C$2</c:f>
              <c:numCache>
                <c:formatCode>General</c:formatCode>
                <c:ptCount val="2"/>
                <c:pt idx="0">
                  <c:v>14420.54</c:v>
                </c:pt>
                <c:pt idx="1">
                  <c:v>9811.7999999999993</c:v>
                </c:pt>
              </c:numCache>
            </c:numRef>
          </c:val>
        </c:ser>
        <c:dLbls>
          <c:showLegendKey val="0"/>
          <c:showVal val="0"/>
          <c:showCatName val="0"/>
          <c:showSerName val="0"/>
          <c:showPercent val="0"/>
          <c:showBubbleSize val="0"/>
        </c:dLbls>
        <c:gapWidth val="150"/>
        <c:axId val="165367808"/>
        <c:axId val="165369344"/>
      </c:barChart>
      <c:catAx>
        <c:axId val="16536780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crossAx val="165369344"/>
        <c:crosses val="autoZero"/>
        <c:auto val="1"/>
        <c:lblAlgn val="ctr"/>
        <c:lblOffset val="100"/>
        <c:noMultiLvlLbl val="0"/>
      </c:catAx>
      <c:valAx>
        <c:axId val="165369344"/>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out"/>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crossAx val="165367808"/>
        <c:crosses val="autoZero"/>
        <c:crossBetween val="between"/>
      </c:valAx>
      <c:spPr>
        <a:noFill/>
        <a:ln>
          <a:noFill/>
        </a:ln>
        <a:effectLst/>
      </c:spPr>
    </c:plotArea>
    <c:legend>
      <c:legendPos val="r"/>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legend>
    <c:plotVisOnly val="1"/>
    <c:dispBlanksAs val="gap"/>
    <c:showDLblsOverMax val="0"/>
    <c:extLst>
      <c:ext uri="{0b15fc19-7d7d-44ad-8c2d-2c3a37ce22c3}">
        <chartProps xmlns="https://web.wps.cn/et/2018/main" chartId="{4ef8dbac-2c71-4117-b860-d6e8fd099847}"/>
      </c:ext>
    </c:extLst>
  </c:chart>
  <c:spPr>
    <a:solidFill>
      <a:schemeClr val="bg1"/>
    </a:solidFill>
    <a:ln w="6350" cap="flat" cmpd="sng" algn="ctr">
      <a:solidFill>
        <a:schemeClr val="tx1">
          <a:lumMod val="50000"/>
          <a:lumOff val="50000"/>
          <a:alpha val="25000"/>
        </a:schemeClr>
      </a:solidFill>
      <a:prstDash val="solid"/>
      <a:round/>
    </a:ln>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zh-CN" altLang="en-US"/>
              <a:t>收入决算结构图</a:t>
            </a:r>
          </a:p>
        </c:rich>
      </c:tx>
      <c:overlay val="0"/>
      <c:spPr>
        <a:noFill/>
        <a:ln>
          <a:noFill/>
        </a:ln>
        <a:effectLst/>
      </c:spPr>
    </c:title>
    <c:autoTitleDeleted val="0"/>
    <c:plotArea>
      <c:layout/>
      <c:pieChart>
        <c:varyColors val="1"/>
        <c:ser>
          <c:idx val="0"/>
          <c:order val="0"/>
          <c:tx>
            <c:strRef>
              <c:f>Sheet1!$B$1</c:f>
              <c:strCache>
                <c:ptCount val="1"/>
                <c:pt idx="0">
                  <c:v>占比（%）</c:v>
                </c:pt>
              </c:strCache>
            </c:strRef>
          </c:tx>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cat>
            <c:strRef>
              <c:f>Sheet1!$A$2:$A$4</c:f>
              <c:strCache>
                <c:ptCount val="3"/>
                <c:pt idx="0">
                  <c:v>一般公共预算财政拨款收入</c:v>
                </c:pt>
                <c:pt idx="1">
                  <c:v>政府性基金预算财政拨款收入</c:v>
                </c:pt>
                <c:pt idx="2">
                  <c:v>经营收入</c:v>
                </c:pt>
              </c:strCache>
            </c:strRef>
          </c:cat>
          <c:val>
            <c:numRef>
              <c:f>Sheet1!$B$2:$B$4</c:f>
              <c:numCache>
                <c:formatCode>General</c:formatCode>
                <c:ptCount val="3"/>
                <c:pt idx="0">
                  <c:v>72.37</c:v>
                </c:pt>
                <c:pt idx="1">
                  <c:v>5.84</c:v>
                </c:pt>
                <c:pt idx="2">
                  <c:v>21.79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legend>
    <c:plotVisOnly val="1"/>
    <c:dispBlanksAs val="gap"/>
    <c:showDLblsOverMax val="0"/>
    <c:extLst>
      <c:ext uri="{0b15fc19-7d7d-44ad-8c2d-2c3a37ce22c3}">
        <chartProps xmlns="https://web.wps.cn/et/2018/main" chartId="{c672ac57-ad5a-44a0-9592-71745b37419d}"/>
      </c:ext>
    </c:extLst>
  </c:chart>
  <c:spPr>
    <a:solidFill>
      <a:schemeClr val="bg1"/>
    </a:solidFill>
    <a:ln w="6350" cap="flat" cmpd="sng" algn="ctr">
      <a:solidFill>
        <a:schemeClr val="tx1">
          <a:lumMod val="50000"/>
          <a:lumOff val="50000"/>
          <a:alpha val="25000"/>
        </a:schemeClr>
      </a:solidFill>
      <a:prstDash val="solid"/>
      <a:round/>
    </a:ln>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zh-CN" altLang="en-US"/>
              <a:t>支出决算结构图</a:t>
            </a:r>
          </a:p>
        </c:rich>
      </c:tx>
      <c:overlay val="0"/>
      <c:spPr>
        <a:noFill/>
        <a:ln>
          <a:noFill/>
        </a:ln>
        <a:effectLst/>
      </c:spPr>
    </c:title>
    <c:autoTitleDeleted val="0"/>
    <c:plotArea>
      <c:layout/>
      <c:pieChart>
        <c:varyColors val="1"/>
        <c:ser>
          <c:idx val="0"/>
          <c:order val="0"/>
          <c:tx>
            <c:strRef>
              <c:f>Sheet1!$B$1</c:f>
              <c:strCache>
                <c:ptCount val="1"/>
                <c:pt idx="0">
                  <c:v>占比（%）</c:v>
                </c:pt>
              </c:strCache>
            </c:strRef>
          </c:tx>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Sheet1!$A$2:$A$4</c:f>
              <c:strCache>
                <c:ptCount val="3"/>
                <c:pt idx="0">
                  <c:v>基本支出</c:v>
                </c:pt>
                <c:pt idx="1">
                  <c:v>项目支出</c:v>
                </c:pt>
                <c:pt idx="2">
                  <c:v>经营支出</c:v>
                </c:pt>
              </c:strCache>
            </c:strRef>
          </c:cat>
          <c:val>
            <c:numRef>
              <c:f>Sheet1!$B$2:$B$4</c:f>
              <c:numCache>
                <c:formatCode>General</c:formatCode>
                <c:ptCount val="3"/>
                <c:pt idx="0">
                  <c:v>64.42</c:v>
                </c:pt>
                <c:pt idx="1">
                  <c:v>13.69</c:v>
                </c:pt>
                <c:pt idx="2">
                  <c:v>21.88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legend>
    <c:plotVisOnly val="1"/>
    <c:dispBlanksAs val="gap"/>
    <c:showDLblsOverMax val="0"/>
    <c:extLst>
      <c:ext uri="{0b15fc19-7d7d-44ad-8c2d-2c3a37ce22c3}">
        <chartProps xmlns="https://web.wps.cn/et/2018/main" chartId="{31f1e757-bf5c-4136-9448-a893c00cacc9}"/>
      </c:ext>
    </c:extLst>
  </c:chart>
  <c:spPr>
    <a:solidFill>
      <a:schemeClr val="bg1"/>
    </a:solidFill>
    <a:ln w="6350" cap="flat" cmpd="sng" algn="ctr">
      <a:solidFill>
        <a:schemeClr val="tx1">
          <a:lumMod val="50000"/>
          <a:lumOff val="50000"/>
          <a:alpha val="25000"/>
        </a:schemeClr>
      </a:solidFill>
      <a:prstDash val="solid"/>
      <a:round/>
    </a:ln>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zh-CN" altLang="en-US"/>
              <a:t>财政拨款收、支决算总结变动情况</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a:outerShdw blurRad="50800" dist="25400" dir="2700000" algn="tl" rotWithShape="0">
                <a:schemeClr val="accent1">
                  <a:lumMod val="75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c:f>
              <c:strCache>
                <c:ptCount val="1"/>
                <c:pt idx="0">
                  <c:v>财政拨款收、支决算总计（万元）</c:v>
                </c:pt>
              </c:strCache>
            </c:strRef>
          </c:cat>
          <c:val>
            <c:numRef>
              <c:f>Sheet1!$B$2</c:f>
              <c:numCache>
                <c:formatCode>General</c:formatCode>
                <c:ptCount val="1"/>
                <c:pt idx="0">
                  <c:v>12382.8</c:v>
                </c:pt>
              </c:numCache>
            </c:numRef>
          </c:val>
        </c:ser>
        <c:ser>
          <c:idx val="1"/>
          <c:order val="1"/>
          <c:tx>
            <c:strRef>
              <c:f>Sheet1!$C$1</c:f>
              <c:strCache>
                <c:ptCount val="1"/>
                <c:pt idx="0">
                  <c:v>2025年</c:v>
                </c:pt>
              </c:strCache>
            </c:strRef>
          </c:tx>
          <c:spPr>
            <a:solidFill>
              <a:schemeClr val="accent2"/>
            </a:solidFill>
            <a:ln>
              <a:noFill/>
            </a:ln>
            <a:effectLst>
              <a:outerShdw blurRad="50800" dist="25400" dir="2700000" algn="tl" rotWithShape="0">
                <a:schemeClr val="accent2">
                  <a:lumMod val="75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c:f>
              <c:strCache>
                <c:ptCount val="1"/>
                <c:pt idx="0">
                  <c:v>财政拨款收、支决算总计（万元）</c:v>
                </c:pt>
              </c:strCache>
            </c:strRef>
          </c:cat>
          <c:val>
            <c:numRef>
              <c:f>Sheet1!$C$2</c:f>
              <c:numCache>
                <c:formatCode>General</c:formatCode>
                <c:ptCount val="1"/>
                <c:pt idx="0">
                  <c:v>7978.79</c:v>
                </c:pt>
              </c:numCache>
            </c:numRef>
          </c:val>
        </c:ser>
        <c:dLbls>
          <c:showLegendKey val="0"/>
          <c:showVal val="1"/>
          <c:showCatName val="0"/>
          <c:showSerName val="0"/>
          <c:showPercent val="0"/>
          <c:showBubbleSize val="0"/>
        </c:dLbls>
        <c:gapWidth val="246"/>
        <c:overlap val="-28"/>
        <c:axId val="208162816"/>
        <c:axId val="208164352"/>
      </c:barChart>
      <c:catAx>
        <c:axId val="208162816"/>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prstDash val="solid"/>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crossAx val="208164352"/>
        <c:crosses val="autoZero"/>
        <c:auto val="1"/>
        <c:lblAlgn val="ctr"/>
        <c:lblOffset val="100"/>
        <c:noMultiLvlLbl val="0"/>
      </c:catAx>
      <c:valAx>
        <c:axId val="208164352"/>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crossAx val="208162816"/>
        <c:crosses val="autoZero"/>
        <c:crossBetween val="between"/>
      </c:valAx>
      <c:spPr>
        <a:noFill/>
        <a:ln>
          <a:noFill/>
        </a:ln>
        <a:effectLst/>
      </c:spPr>
    </c:plotArea>
    <c:legend>
      <c:legendPos val="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legend>
    <c:plotVisOnly val="1"/>
    <c:dispBlanksAs val="gap"/>
    <c:showDLblsOverMax val="0"/>
    <c:extLst>
      <c:ext uri="{0b15fc19-7d7d-44ad-8c2d-2c3a37ce22c3}">
        <chartProps xmlns="https://web.wps.cn/et/2018/main" chartId="{7607b1bc-9b7b-4a95-a080-ce7566e1262f}"/>
      </c:ext>
    </c:extLst>
  </c:chart>
  <c:spPr>
    <a:solidFill>
      <a:schemeClr val="bg1"/>
    </a:solidFill>
    <a:ln w="6350" cap="flat" cmpd="sng" algn="ctr">
      <a:solidFill>
        <a:schemeClr val="tx1">
          <a:lumMod val="50000"/>
          <a:lumOff val="50000"/>
          <a:alpha val="25000"/>
        </a:schemeClr>
      </a:solidFill>
      <a:prstDash val="solid"/>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zh-CN" altLang="en-US"/>
              <a:t>一般公共预算财政拨款支出决算变动情况</a:t>
            </a:r>
          </a:p>
        </c:rich>
      </c:tx>
      <c:layout>
        <c:manualLayout>
          <c:xMode val="edge"/>
          <c:yMode val="edge"/>
          <c:x val="0.20729644841749201"/>
          <c:y val="2.80492987675308E-2"/>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a:outerShdw blurRad="50800" dist="25400" dir="2700000" algn="tl" rotWithShape="0">
                <a:schemeClr val="accent1">
                  <a:lumMod val="75000"/>
                  <a:alpha val="30000"/>
                </a:schemeClr>
              </a:outerShdw>
            </a:effectLst>
          </c:spPr>
          <c:invertIfNegative val="0"/>
          <c:cat>
            <c:strRef>
              <c:f>Sheet1!$A$2</c:f>
              <c:strCache>
                <c:ptCount val="1"/>
                <c:pt idx="0">
                  <c:v>一般公共预算财政拨款支出（万元）</c:v>
                </c:pt>
              </c:strCache>
              <c:extLst>
                <c:ext xmlns:c15="http://schemas.microsoft.com/office/drawing/2012/chart" uri="{02D57815-91ED-43cb-92C2-25804820EDAC}">
                  <c15:fullRef>
                    <c15:sqref>Sheet1!$A$2</c15:sqref>
                  </c15:fullRef>
                </c:ext>
              </c:extLst>
            </c:strRef>
          </c:cat>
          <c:val>
            <c:numRef>
              <c:f>Sheet1!$B$2</c:f>
              <c:numCache>
                <c:formatCode>General</c:formatCode>
                <c:ptCount val="1"/>
                <c:pt idx="0">
                  <c:v>7376.92</c:v>
                </c:pt>
              </c:numCache>
              <c:extLst>
                <c:ext xmlns:c15="http://schemas.microsoft.com/office/drawing/2012/chart" uri="{02D57815-91ED-43cb-92C2-25804820EDAC}">
                  <c15:fullRef>
                    <c15:sqref>Sheet1!$B$2</c15:sqref>
                  </c15:fullRef>
                </c:ext>
              </c:extLst>
            </c:numRef>
          </c:val>
        </c:ser>
        <c:ser>
          <c:idx val="1"/>
          <c:order val="1"/>
          <c:tx>
            <c:strRef>
              <c:f>Sheet1!$C$1</c:f>
              <c:strCache>
                <c:ptCount val="1"/>
                <c:pt idx="0">
                  <c:v>2025年</c:v>
                </c:pt>
              </c:strCache>
            </c:strRef>
          </c:tx>
          <c:spPr>
            <a:solidFill>
              <a:schemeClr val="accent2"/>
            </a:solidFill>
            <a:ln>
              <a:noFill/>
            </a:ln>
            <a:effectLst>
              <a:outerShdw blurRad="50800" dist="25400" dir="2700000" algn="tl" rotWithShape="0">
                <a:schemeClr val="accent2">
                  <a:lumMod val="75000"/>
                  <a:alpha val="30000"/>
                </a:schemeClr>
              </a:outerShdw>
            </a:effectLst>
          </c:spPr>
          <c:invertIfNegative val="0"/>
          <c:cat>
            <c:strRef>
              <c:f>Sheet1!$A$2</c:f>
              <c:strCache>
                <c:ptCount val="1"/>
                <c:pt idx="0">
                  <c:v>一般公共预算财政拨款支出（万元）</c:v>
                </c:pt>
              </c:strCache>
              <c:extLst>
                <c:ext xmlns:c15="http://schemas.microsoft.com/office/drawing/2012/chart" uri="{02D57815-91ED-43cb-92C2-25804820EDAC}">
                  <c15:fullRef>
                    <c15:sqref>Sheet1!$A$2</c15:sqref>
                  </c15:fullRef>
                </c:ext>
              </c:extLst>
            </c:strRef>
          </c:cat>
          <c:val>
            <c:numRef>
              <c:f>Sheet1!$C$2</c:f>
              <c:numCache>
                <c:formatCode>General</c:formatCode>
                <c:ptCount val="1"/>
                <c:pt idx="0">
                  <c:v>7382.57</c:v>
                </c:pt>
              </c:numCache>
              <c:extLst>
                <c:ext xmlns:c15="http://schemas.microsoft.com/office/drawing/2012/chart" uri="{02D57815-91ED-43cb-92C2-25804820EDAC}">
                  <c15:fullRef>
                    <c15:sqref>Sheet1!$C$2</c15:sqref>
                  </c15:fullRef>
                </c:ext>
              </c:extLst>
            </c:numRef>
          </c:val>
        </c:ser>
        <c:dLbls>
          <c:showLegendKey val="0"/>
          <c:showVal val="0"/>
          <c:showCatName val="0"/>
          <c:showSerName val="0"/>
          <c:showPercent val="0"/>
          <c:showBubbleSize val="0"/>
        </c:dLbls>
        <c:gapWidth val="246"/>
        <c:overlap val="-28"/>
        <c:axId val="208194176"/>
        <c:axId val="208200064"/>
      </c:barChart>
      <c:catAx>
        <c:axId val="208194176"/>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prstDash val="solid"/>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crossAx val="208200064"/>
        <c:crosses val="autoZero"/>
        <c:auto val="1"/>
        <c:lblAlgn val="ctr"/>
        <c:lblOffset val="100"/>
        <c:noMultiLvlLbl val="0"/>
      </c:catAx>
      <c:valAx>
        <c:axId val="208200064"/>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crossAx val="208194176"/>
        <c:crosses val="autoZero"/>
        <c:crossBetween val="between"/>
      </c:valAx>
      <c:spPr>
        <a:noFill/>
        <a:ln>
          <a:noFill/>
        </a:ln>
        <a:effectLst/>
      </c:spPr>
    </c:plotArea>
    <c:legend>
      <c:legendPos val="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legend>
    <c:plotVisOnly val="1"/>
    <c:dispBlanksAs val="gap"/>
    <c:showDLblsOverMax val="0"/>
    <c:extLst>
      <c:ext uri="{0b15fc19-7d7d-44ad-8c2d-2c3a37ce22c3}">
        <chartProps xmlns="https://web.wps.cn/et/2018/main" chartId="{3b941a5f-0c10-4170-822d-102d6cfc78f9}"/>
      </c:ext>
    </c:extLst>
  </c:chart>
  <c:spPr>
    <a:solidFill>
      <a:schemeClr val="bg1"/>
    </a:solidFill>
    <a:ln w="6350" cap="flat" cmpd="sng" algn="ctr">
      <a:solidFill>
        <a:schemeClr val="tx1">
          <a:lumMod val="50000"/>
          <a:lumOff val="50000"/>
          <a:alpha val="25000"/>
        </a:schemeClr>
      </a:solidFill>
      <a:prstDash val="solid"/>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zh-CN" altLang="en-US"/>
              <a:t>一般公共预算财政拨款支出决算结构</a:t>
            </a:r>
          </a:p>
        </c:rich>
      </c:tx>
      <c:overlay val="0"/>
      <c:spPr>
        <a:noFill/>
        <a:ln>
          <a:noFill/>
        </a:ln>
        <a:effectLst/>
      </c:spPr>
    </c:title>
    <c:autoTitleDeleted val="0"/>
    <c:plotArea>
      <c:layout/>
      <c:pieChart>
        <c:varyColors val="1"/>
        <c:ser>
          <c:idx val="0"/>
          <c:order val="0"/>
          <c:tx>
            <c:strRef>
              <c:f>Sheet1!$B$1</c:f>
              <c:strCache>
                <c:ptCount val="1"/>
                <c:pt idx="0">
                  <c:v>占比（%）</c:v>
                </c:pt>
              </c:strCache>
            </c:strRef>
          </c:tx>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cat>
            <c:strRef>
              <c:f>Sheet1!$A$2:$A$6</c:f>
              <c:strCache>
                <c:ptCount val="5"/>
                <c:pt idx="0">
                  <c:v>一般公共服务支出</c:v>
                </c:pt>
                <c:pt idx="1">
                  <c:v>社会保障和就业支出</c:v>
                </c:pt>
                <c:pt idx="2">
                  <c:v>卫生健康支出</c:v>
                </c:pt>
                <c:pt idx="3">
                  <c:v>城乡社区支出</c:v>
                </c:pt>
                <c:pt idx="4">
                  <c:v>住房保障支出</c:v>
                </c:pt>
              </c:strCache>
            </c:strRef>
          </c:cat>
          <c:val>
            <c:numRef>
              <c:f>Sheet1!$B$2:$B$6</c:f>
              <c:numCache>
                <c:formatCode>General</c:formatCode>
                <c:ptCount val="5"/>
                <c:pt idx="0">
                  <c:v>76.260000000000005</c:v>
                </c:pt>
                <c:pt idx="1">
                  <c:v>16.350000000000001</c:v>
                </c:pt>
                <c:pt idx="2">
                  <c:v>3.13</c:v>
                </c:pt>
                <c:pt idx="3">
                  <c:v>0.35</c:v>
                </c:pt>
                <c:pt idx="4">
                  <c:v>3.91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legend>
    <c:plotVisOnly val="1"/>
    <c:dispBlanksAs val="gap"/>
    <c:showDLblsOverMax val="0"/>
    <c:extLst>
      <c:ext uri="{0b15fc19-7d7d-44ad-8c2d-2c3a37ce22c3}">
        <chartProps xmlns="https://web.wps.cn/et/2018/main" chartId="{98ef38de-2374-4d73-a40d-19dd9d17dc3f}"/>
      </c:ext>
    </c:extLst>
  </c:chart>
  <c:spPr>
    <a:solidFill>
      <a:schemeClr val="bg1"/>
    </a:solidFill>
    <a:ln w="6350" cap="flat" cmpd="sng" algn="ctr">
      <a:solidFill>
        <a:schemeClr val="tx1">
          <a:lumMod val="50000"/>
          <a:lumOff val="50000"/>
          <a:alpha val="25000"/>
        </a:schemeClr>
      </a:solidFill>
      <a:prstDash val="solid"/>
      <a:round/>
    </a:ln>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zh-CN" altLang="en-US"/>
              <a:t>“三公”经费财政拨款支出结构图</a:t>
            </a:r>
          </a:p>
        </c:rich>
      </c:tx>
      <c:overlay val="0"/>
      <c:spPr>
        <a:noFill/>
        <a:ln>
          <a:noFill/>
        </a:ln>
        <a:effectLst/>
      </c:spPr>
    </c:title>
    <c:autoTitleDeleted val="0"/>
    <c:plotArea>
      <c:layout/>
      <c:pieChart>
        <c:varyColors val="1"/>
        <c:ser>
          <c:idx val="0"/>
          <c:order val="0"/>
          <c:tx>
            <c:strRef>
              <c:f>Sheet1!$B$1</c:f>
              <c:strCache>
                <c:ptCount val="1"/>
                <c:pt idx="0">
                  <c:v>占比（%）</c:v>
                </c:pt>
              </c:strCache>
            </c:strRef>
          </c:tx>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93.75</c:v>
                </c:pt>
                <c:pt idx="2">
                  <c:v>6.25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legend>
    <c:plotVisOnly val="1"/>
    <c:dispBlanksAs val="gap"/>
    <c:showDLblsOverMax val="0"/>
    <c:extLst>
      <c:ext uri="{0b15fc19-7d7d-44ad-8c2d-2c3a37ce22c3}">
        <chartProps xmlns="https://web.wps.cn/et/2018/main" chartId="{c1e21495-304a-414e-aa62-c6f016241683}"/>
      </c:ext>
    </c:extLst>
  </c:chart>
  <c:spPr>
    <a:solidFill>
      <a:schemeClr val="bg1"/>
    </a:solidFill>
    <a:ln w="6350" cap="flat" cmpd="sng" algn="ctr">
      <a:solidFill>
        <a:schemeClr val="tx1">
          <a:lumMod val="50000"/>
          <a:lumOff val="50000"/>
          <a:alpha val="25000"/>
        </a:schemeClr>
      </a:solidFill>
      <a:prstDash val="solid"/>
      <a:round/>
    </a:ln>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endParaRPr lang="zh-CN"/>
    </a:p>
  </c:txPr>
  <c:externalData r:id="rId2">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商务蓝色">
    <a:dk1>
      <a:srgbClr val="000000"/>
    </a:dk1>
    <a:lt1>
      <a:srgbClr val="FFFFFF"/>
    </a:lt1>
    <a:dk2>
      <a:srgbClr val="44546A"/>
    </a:dk2>
    <a:lt2>
      <a:srgbClr val="E7E6E6"/>
    </a:lt2>
    <a:accent1>
      <a:srgbClr val="1C59D3"/>
    </a:accent1>
    <a:accent2>
      <a:srgbClr val="1087EC"/>
    </a:accent2>
    <a:accent3>
      <a:srgbClr val="438ACB"/>
    </a:accent3>
    <a:accent4>
      <a:srgbClr val="DEECFD"/>
    </a:accent4>
    <a:accent5>
      <a:srgbClr val="2599FA"/>
    </a:accent5>
    <a:accent6>
      <a:srgbClr val="013AA8"/>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商务蓝色">
    <a:dk1>
      <a:srgbClr val="000000"/>
    </a:dk1>
    <a:lt1>
      <a:srgbClr val="FFFFFF"/>
    </a:lt1>
    <a:dk2>
      <a:srgbClr val="44546A"/>
    </a:dk2>
    <a:lt2>
      <a:srgbClr val="E7E6E6"/>
    </a:lt2>
    <a:accent1>
      <a:srgbClr val="1C59D3"/>
    </a:accent1>
    <a:accent2>
      <a:srgbClr val="1087EC"/>
    </a:accent2>
    <a:accent3>
      <a:srgbClr val="438ACB"/>
    </a:accent3>
    <a:accent4>
      <a:srgbClr val="DEECFD"/>
    </a:accent4>
    <a:accent5>
      <a:srgbClr val="2599FA"/>
    </a:accent5>
    <a:accent6>
      <a:srgbClr val="013AA8"/>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115</Pages>
  <Words>7927</Words>
  <Characters>45186</Characters>
  <Application>Microsoft Office Word</Application>
  <DocSecurity>0</DocSecurity>
  <Lines>376</Lines>
  <Paragraphs>106</Paragraphs>
  <ScaleCrop>false</ScaleCrop>
  <Company>微软中国</Company>
  <LinksUpToDate>false</LinksUpToDate>
  <CharactersWithSpaces>53007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zhym</dc:creator>
  <cp:lastModifiedBy>史恒</cp:lastModifiedBy>
  <cp:revision>10</cp:revision>
  <dcterms:created xsi:type="dcterms:W3CDTF">2025-09-19T08:49:00Z</dcterms:created>
  <dcterms:modified xsi:type="dcterms:W3CDTF">2026-09-17T01:20:00Z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2026-02-06T16:41:03Z</vt:filetime>
  </property>
  <property fmtid="{D5CDD505-2E9C-101B-9397-08002B2CF9AE}" pid="4" name="KSOTemplateDocerSaveRecord">
    <vt:lpwstr>eyJoZGlkIjoiZWE0MjVkNWNhMjY4YTBmNGNiOGUzNDhiMzc5ODc3OGMiLCJ1c2VySWQiOiI0MjUxMjUxNjIifQ==</vt:lpwstr>
  </property>
  <property fmtid="{D5CDD505-2E9C-101B-9397-08002B2CF9AE}" pid="5" name="KSOProductBuildVer">
    <vt:lpwstr>2052-12.1.0.24034</vt:lpwstr>
  </property>
  <property fmtid="{D5CDD505-2E9C-101B-9397-08002B2CF9AE}" pid="6" name="ICV">
    <vt:lpwstr>28BC5F30FA2543EB92930CCCCDF4D21A_12</vt:lpwstr>
  </property>
</Properties>
</file>