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472B23">
      <w:pPr>
        <w:pStyle w:val="8"/>
        <w:spacing w:before="93"/>
        <w:rPr>
          <w:rFonts w:ascii="黑体" w:hAnsi="黑体" w:eastAsia="黑体" w:cs="黑体"/>
          <w:kern w:val="2"/>
          <w:sz w:val="32"/>
          <w:szCs w:val="32"/>
        </w:rPr>
      </w:pPr>
      <w:bookmarkStart w:id="0" w:name="_Toc15396597"/>
      <w:bookmarkStart w:id="1" w:name="_Toc15396475"/>
      <w:bookmarkStart w:id="2" w:name="_Toc15377425"/>
      <w:bookmarkStart w:id="3" w:name="_Toc15377193"/>
      <w:bookmarkStart w:id="4" w:name="_Toc15306267"/>
      <w:bookmarkStart w:id="5" w:name="_Toc15378441"/>
    </w:p>
    <w:p w14:paraId="51EF8990">
      <w:pPr>
        <w:pStyle w:val="8"/>
        <w:spacing w:before="93"/>
        <w:rPr>
          <w:rFonts w:ascii="Times New Roman" w:eastAsia="方正小标宋简体"/>
          <w:kern w:val="2"/>
          <w:sz w:val="72"/>
          <w:szCs w:val="72"/>
        </w:rPr>
      </w:pPr>
    </w:p>
    <w:p w14:paraId="2113B6D7">
      <w:pPr>
        <w:pStyle w:val="8"/>
        <w:spacing w:before="93"/>
        <w:rPr>
          <w:rFonts w:ascii="Times New Roman" w:eastAsia="方正小标宋简体"/>
          <w:kern w:val="2"/>
          <w:sz w:val="72"/>
          <w:szCs w:val="72"/>
        </w:rPr>
      </w:pPr>
    </w:p>
    <w:p w14:paraId="3806C7B4">
      <w:pPr>
        <w:pStyle w:val="8"/>
        <w:spacing w:before="93"/>
        <w:rPr>
          <w:rFonts w:ascii="Times New Roman" w:eastAsia="方正小标宋简体"/>
          <w:kern w:val="2"/>
          <w:sz w:val="72"/>
          <w:szCs w:val="72"/>
        </w:rPr>
      </w:pPr>
    </w:p>
    <w:p w14:paraId="3BC638E8">
      <w:pPr>
        <w:pStyle w:val="8"/>
        <w:spacing w:before="93"/>
        <w:rPr>
          <w:rFonts w:ascii="Times New Roman" w:eastAsia="方正小标宋简体"/>
          <w:color w:val="FFC000"/>
          <w:kern w:val="2"/>
          <w:sz w:val="72"/>
          <w:szCs w:val="72"/>
        </w:rPr>
      </w:pPr>
    </w:p>
    <w:p w14:paraId="7BBCF2E6">
      <w:pPr>
        <w:pStyle w:val="8"/>
        <w:spacing w:before="93"/>
        <w:jc w:val="center"/>
        <w:rPr>
          <w:rFonts w:hint="eastAsia" w:ascii="Times New Roman" w:eastAsia="方正小标宋简体"/>
          <w:kern w:val="2"/>
          <w:sz w:val="44"/>
          <w:szCs w:val="44"/>
        </w:rPr>
      </w:pPr>
      <w:bookmarkStart w:id="6" w:name="_Toc15396598"/>
      <w:bookmarkStart w:id="7" w:name="_Toc15377426"/>
      <w:bookmarkStart w:id="8" w:name="_Toc15378442"/>
      <w:bookmarkStart w:id="9" w:name="_Toc15396476"/>
      <w:bookmarkStart w:id="10" w:name="_Toc15377194"/>
      <w:r>
        <w:rPr>
          <w:rFonts w:hint="eastAsia" w:ascii="Times New Roman" w:eastAsia="方正小标宋简体"/>
          <w:kern w:val="2"/>
          <w:sz w:val="44"/>
          <w:szCs w:val="44"/>
        </w:rPr>
        <w:t>2025年度四川省攀枝花市</w:t>
      </w:r>
      <w:bookmarkStart w:id="11" w:name="_Toc15306268"/>
    </w:p>
    <w:p w14:paraId="46196B78">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攀西钒钛检验检测院</w:t>
      </w:r>
    </w:p>
    <w:p w14:paraId="4EEF58DD">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单位决算</w:t>
      </w:r>
      <w:bookmarkEnd w:id="6"/>
      <w:bookmarkEnd w:id="7"/>
      <w:bookmarkEnd w:id="8"/>
      <w:bookmarkEnd w:id="9"/>
      <w:bookmarkEnd w:id="10"/>
      <w:bookmarkEnd w:id="11"/>
    </w:p>
    <w:p w14:paraId="7FA7A712">
      <w:pPr>
        <w:pStyle w:val="19"/>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14:paraId="1AC0145D">
      <w:pPr>
        <w:pStyle w:val="8"/>
        <w:spacing w:before="93"/>
        <w:rPr>
          <w:rFonts w:ascii="Times New Roman" w:eastAsia="方正小标宋简体"/>
          <w:kern w:val="2"/>
          <w:sz w:val="44"/>
          <w:szCs w:val="44"/>
        </w:rPr>
      </w:pPr>
    </w:p>
    <w:bookmarkEnd w:id="0"/>
    <w:bookmarkEnd w:id="1"/>
    <w:bookmarkEnd w:id="2"/>
    <w:bookmarkEnd w:id="3"/>
    <w:bookmarkEnd w:id="4"/>
    <w:bookmarkEnd w:id="5"/>
    <w:p w14:paraId="6B1A31D6">
      <w:pPr>
        <w:widowControl/>
        <w:jc w:val="center"/>
        <w:rPr>
          <w:rFonts w:ascii="黑体" w:hAnsi="黑体" w:eastAsia="黑体"/>
          <w:sz w:val="48"/>
          <w:szCs w:val="48"/>
        </w:rPr>
      </w:pPr>
      <w:bookmarkStart w:id="12" w:name="_Toc15377196"/>
      <w:bookmarkStart w:id="13" w:name="_Toc15396599"/>
      <w:r>
        <w:rPr>
          <w:rFonts w:hint="eastAsia" w:ascii="黑体" w:hAnsi="黑体" w:eastAsia="黑体"/>
          <w:sz w:val="48"/>
          <w:szCs w:val="48"/>
        </w:rPr>
        <w:t>目录</w:t>
      </w:r>
    </w:p>
    <w:p w14:paraId="0EAE392C">
      <w:pPr>
        <w:widowControl/>
        <w:jc w:val="center"/>
        <w:rPr>
          <w:rFonts w:ascii="黑体" w:hAnsi="黑体" w:eastAsia="黑体"/>
          <w:sz w:val="28"/>
          <w:szCs w:val="28"/>
        </w:rPr>
      </w:pPr>
    </w:p>
    <w:p w14:paraId="6D7CFDE1">
      <w:pPr>
        <w:pStyle w:val="13"/>
        <w:rPr>
          <w:rFonts w:ascii="仿宋_GB2312" w:hAnsi="仿宋_GB2312" w:eastAsia="仿宋_GB2312" w:cs="仿宋_GB2312"/>
          <w:sz w:val="32"/>
          <w:szCs w:val="32"/>
        </w:rPr>
      </w:pPr>
      <w:r>
        <w:rPr>
          <w:rFonts w:hint="eastAsia" w:ascii="仿宋_GB2312" w:hAnsi="仿宋_GB2312" w:eastAsia="仿宋_GB2312" w:cs="仿宋_GB2312"/>
          <w:sz w:val="32"/>
          <w:szCs w:val="32"/>
        </w:rPr>
        <w:t>公开时间：</w:t>
      </w:r>
      <w:r>
        <w:rPr>
          <w:rFonts w:ascii="Times New Roman" w:hAnsi="Times New Roman" w:eastAsia="仿宋_GB2312"/>
          <w:sz w:val="32"/>
          <w:szCs w:val="32"/>
        </w:rPr>
        <w:t>2026</w:t>
      </w:r>
      <w:r>
        <w:rPr>
          <w:rFonts w:hint="eastAsia" w:ascii="仿宋_GB2312" w:hAnsi="仿宋_GB2312" w:eastAsia="仿宋_GB2312" w:cs="仿宋_GB2312"/>
          <w:sz w:val="32"/>
          <w:szCs w:val="32"/>
        </w:rPr>
        <w:t>年</w:t>
      </w:r>
      <w:r>
        <w:rPr>
          <w:rFonts w:ascii="Times New Roman" w:hAnsi="Times New Roman" w:eastAsia="仿宋_GB2312"/>
          <w:sz w:val="32"/>
          <w:szCs w:val="32"/>
        </w:rPr>
        <w:t>9</w:t>
      </w:r>
      <w:r>
        <w:rPr>
          <w:rFonts w:hint="eastAsia" w:ascii="仿宋_GB2312" w:hAnsi="仿宋_GB2312" w:eastAsia="仿宋_GB2312" w:cs="仿宋_GB2312"/>
          <w:sz w:val="32"/>
          <w:szCs w:val="32"/>
        </w:rPr>
        <w:t>月</w:t>
      </w:r>
      <w:r>
        <w:rPr>
          <w:rFonts w:ascii="Times New Roman" w:hAnsi="Times New Roman" w:eastAsia="仿宋_GB2312"/>
          <w:sz w:val="32"/>
          <w:szCs w:val="32"/>
        </w:rPr>
        <w:t>15</w:t>
      </w:r>
      <w:r>
        <w:rPr>
          <w:rFonts w:hint="eastAsia" w:ascii="仿宋_GB2312" w:hAnsi="仿宋_GB2312" w:eastAsia="仿宋_GB2312" w:cs="仿宋_GB2312"/>
          <w:sz w:val="32"/>
          <w:szCs w:val="32"/>
        </w:rPr>
        <w:t>日</w:t>
      </w:r>
    </w:p>
    <w:p w14:paraId="7B2DF783">
      <w:pPr>
        <w:rPr>
          <w:rFonts w:ascii="仿宋_GB2312" w:hAnsi="仿宋_GB2312" w:eastAsia="仿宋_GB2312" w:cs="仿宋_GB2312"/>
          <w:sz w:val="32"/>
          <w:szCs w:val="32"/>
        </w:rPr>
      </w:pPr>
    </w:p>
    <w:p w14:paraId="4C2C5D11">
      <w:pPr>
        <w:pStyle w:val="13"/>
        <w:outlineLvl w:val="0"/>
        <w:rPr>
          <w:rFonts w:ascii="黑体" w:hAnsi="黑体" w:eastAsia="黑体" w:cs="仿宋_GB2312"/>
          <w:sz w:val="32"/>
          <w:szCs w:val="32"/>
        </w:rPr>
      </w:pPr>
      <w:r>
        <w:rPr>
          <w:rFonts w:hint="eastAsia" w:ascii="黑体" w:hAnsi="黑体" w:eastAsia="黑体" w:cs="仿宋_GB2312"/>
          <w:sz w:val="32"/>
          <w:szCs w:val="32"/>
        </w:rPr>
        <w:t>第一部分 单位概况</w:t>
      </w:r>
      <w:r>
        <w:rPr>
          <w:rFonts w:hint="eastAsia" w:ascii="黑体" w:hAnsi="黑体" w:eastAsia="黑体" w:cs="仿宋_GB2312"/>
          <w:sz w:val="32"/>
          <w:szCs w:val="32"/>
        </w:rPr>
        <w:tab/>
      </w:r>
      <w:r>
        <w:rPr>
          <w:rFonts w:ascii="Times New Roman" w:hAnsi="Times New Roman" w:eastAsia="黑体"/>
          <w:sz w:val="32"/>
          <w:szCs w:val="32"/>
        </w:rPr>
        <w:t>4</w:t>
      </w:r>
    </w:p>
    <w:p w14:paraId="0347D90A">
      <w:pPr>
        <w:pStyle w:val="14"/>
        <w:adjustRightInd w:val="0"/>
        <w:snapToGrid w:val="0"/>
        <w:spacing w:line="440" w:lineRule="exact"/>
        <w:ind w:firstLine="4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一、主要职责</w:t>
      </w:r>
      <w:r>
        <w:rPr>
          <w:rFonts w:hint="eastAsia" w:ascii="仿宋_GB2312" w:hAnsi="仿宋_GB2312" w:eastAsia="仿宋_GB2312" w:cs="仿宋_GB2312"/>
          <w:sz w:val="32"/>
          <w:szCs w:val="32"/>
        </w:rPr>
        <w:tab/>
      </w:r>
      <w:r>
        <w:rPr>
          <w:rFonts w:eastAsia="仿宋_GB2312"/>
          <w:sz w:val="32"/>
          <w:szCs w:val="32"/>
        </w:rPr>
        <w:t>4</w:t>
      </w:r>
    </w:p>
    <w:p w14:paraId="3FD885DD">
      <w:pPr>
        <w:pStyle w:val="14"/>
        <w:adjustRightInd w:val="0"/>
        <w:snapToGrid w:val="0"/>
        <w:spacing w:line="440" w:lineRule="exact"/>
        <w:ind w:firstLine="4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二、机构设置</w:t>
      </w:r>
      <w:r>
        <w:rPr>
          <w:rFonts w:hint="eastAsia" w:ascii="仿宋_GB2312" w:hAnsi="仿宋_GB2312" w:eastAsia="仿宋_GB2312" w:cs="仿宋_GB2312"/>
          <w:sz w:val="32"/>
          <w:szCs w:val="32"/>
        </w:rPr>
        <w:tab/>
      </w:r>
      <w:r>
        <w:rPr>
          <w:rFonts w:eastAsia="仿宋_GB2312"/>
          <w:sz w:val="32"/>
          <w:szCs w:val="32"/>
        </w:rPr>
        <w:t>5</w:t>
      </w:r>
    </w:p>
    <w:p w14:paraId="0801E33B">
      <w:pPr>
        <w:pStyle w:val="13"/>
        <w:rPr>
          <w:rFonts w:ascii="黑体" w:hAnsi="黑体" w:eastAsia="黑体" w:cs="仿宋_GB2312"/>
          <w:sz w:val="32"/>
          <w:szCs w:val="32"/>
        </w:rPr>
      </w:pPr>
      <w:r>
        <w:rPr>
          <w:rFonts w:hint="eastAsia" w:ascii="黑体" w:hAnsi="黑体" w:eastAsia="黑体" w:cs="仿宋_GB2312"/>
          <w:sz w:val="32"/>
          <w:szCs w:val="32"/>
        </w:rPr>
        <w:t xml:space="preserve">第二部分 </w:t>
      </w:r>
      <w:r>
        <w:rPr>
          <w:rFonts w:hint="eastAsia" w:ascii="黑体" w:hAnsi="黑体" w:eastAsia="黑体" w:cs="仿宋_GB2312"/>
          <w:color w:val="auto"/>
          <w:sz w:val="32"/>
          <w:szCs w:val="32"/>
        </w:rPr>
        <w:t>2025年</w:t>
      </w:r>
      <w:r>
        <w:rPr>
          <w:rFonts w:hint="eastAsia" w:ascii="黑体" w:hAnsi="黑体" w:eastAsia="黑体" w:cs="仿宋_GB2312"/>
          <w:sz w:val="32"/>
          <w:szCs w:val="32"/>
        </w:rPr>
        <w:t>度单位决算情况说明</w:t>
      </w:r>
      <w:r>
        <w:rPr>
          <w:rFonts w:hint="eastAsia" w:ascii="黑体" w:hAnsi="黑体" w:eastAsia="黑体" w:cs="仿宋_GB2312"/>
          <w:sz w:val="32"/>
          <w:szCs w:val="32"/>
        </w:rPr>
        <w:tab/>
      </w:r>
      <w:r>
        <w:rPr>
          <w:rFonts w:ascii="Times New Roman" w:hAnsi="Times New Roman" w:eastAsia="黑体"/>
          <w:sz w:val="32"/>
          <w:szCs w:val="32"/>
        </w:rPr>
        <w:t>6</w:t>
      </w:r>
    </w:p>
    <w:p w14:paraId="137363CD">
      <w:pPr>
        <w:pStyle w:val="14"/>
        <w:adjustRightInd w:val="0"/>
        <w:snapToGrid w:val="0"/>
        <w:spacing w:line="440" w:lineRule="exact"/>
        <w:ind w:firstLine="4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一、收入支出决算总体情况说明</w:t>
      </w:r>
      <w:r>
        <w:rPr>
          <w:rFonts w:hint="eastAsia" w:ascii="仿宋_GB2312" w:hAnsi="仿宋_GB2312" w:eastAsia="仿宋_GB2312" w:cs="仿宋_GB2312"/>
          <w:sz w:val="32"/>
          <w:szCs w:val="32"/>
        </w:rPr>
        <w:tab/>
      </w:r>
      <w:r>
        <w:rPr>
          <w:rFonts w:eastAsia="仿宋_GB2312"/>
          <w:sz w:val="32"/>
          <w:szCs w:val="32"/>
        </w:rPr>
        <w:t>6</w:t>
      </w:r>
    </w:p>
    <w:p w14:paraId="4C61E9E7">
      <w:pPr>
        <w:pStyle w:val="14"/>
        <w:adjustRightInd w:val="0"/>
        <w:snapToGrid w:val="0"/>
        <w:spacing w:line="440" w:lineRule="exact"/>
        <w:ind w:firstLine="4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二、收入决算情况说明</w:t>
      </w:r>
      <w:r>
        <w:rPr>
          <w:rFonts w:hint="eastAsia" w:ascii="仿宋_GB2312" w:hAnsi="仿宋_GB2312" w:eastAsia="仿宋_GB2312" w:cs="仿宋_GB2312"/>
          <w:sz w:val="32"/>
          <w:szCs w:val="32"/>
        </w:rPr>
        <w:tab/>
      </w:r>
      <w:r>
        <w:rPr>
          <w:rFonts w:eastAsia="仿宋_GB2312"/>
          <w:sz w:val="32"/>
          <w:szCs w:val="32"/>
        </w:rPr>
        <w:t>6</w:t>
      </w:r>
    </w:p>
    <w:p w14:paraId="3BC597EF">
      <w:pPr>
        <w:pStyle w:val="14"/>
        <w:adjustRightInd w:val="0"/>
        <w:snapToGrid w:val="0"/>
        <w:spacing w:line="440" w:lineRule="exact"/>
        <w:ind w:firstLine="4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三、支出决算情况说明</w:t>
      </w:r>
      <w:r>
        <w:rPr>
          <w:rFonts w:hint="eastAsia" w:ascii="仿宋_GB2312" w:hAnsi="仿宋_GB2312" w:eastAsia="仿宋_GB2312" w:cs="仿宋_GB2312"/>
          <w:sz w:val="32"/>
          <w:szCs w:val="32"/>
        </w:rPr>
        <w:tab/>
      </w:r>
      <w:r>
        <w:rPr>
          <w:rFonts w:eastAsia="仿宋_GB2312"/>
          <w:sz w:val="32"/>
          <w:szCs w:val="32"/>
        </w:rPr>
        <w:t>7</w:t>
      </w:r>
    </w:p>
    <w:p w14:paraId="2E5486C1">
      <w:pPr>
        <w:pStyle w:val="14"/>
        <w:adjustRightInd w:val="0"/>
        <w:snapToGrid w:val="0"/>
        <w:spacing w:line="440" w:lineRule="exact"/>
        <w:ind w:firstLine="4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四、财政拨款收入支出决算总体情况说明</w:t>
      </w:r>
      <w:r>
        <w:rPr>
          <w:rFonts w:hint="eastAsia" w:ascii="仿宋_GB2312" w:hAnsi="仿宋_GB2312" w:eastAsia="仿宋_GB2312" w:cs="仿宋_GB2312"/>
          <w:sz w:val="32"/>
          <w:szCs w:val="32"/>
        </w:rPr>
        <w:tab/>
      </w:r>
      <w:r>
        <w:rPr>
          <w:rFonts w:eastAsia="仿宋_GB2312"/>
          <w:sz w:val="32"/>
          <w:szCs w:val="32"/>
        </w:rPr>
        <w:t>7</w:t>
      </w:r>
    </w:p>
    <w:p w14:paraId="512ED8DD">
      <w:pPr>
        <w:pStyle w:val="14"/>
        <w:adjustRightInd w:val="0"/>
        <w:snapToGrid w:val="0"/>
        <w:spacing w:line="440" w:lineRule="exact"/>
        <w:ind w:firstLine="4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五、一般公共预算财政拨款支出决算情况说明</w:t>
      </w:r>
      <w:r>
        <w:rPr>
          <w:rFonts w:hint="eastAsia" w:ascii="仿宋_GB2312" w:hAnsi="仿宋_GB2312" w:eastAsia="仿宋_GB2312" w:cs="仿宋_GB2312"/>
          <w:sz w:val="32"/>
          <w:szCs w:val="32"/>
        </w:rPr>
        <w:tab/>
      </w:r>
      <w:r>
        <w:rPr>
          <w:rFonts w:eastAsia="仿宋_GB2312"/>
          <w:sz w:val="32"/>
          <w:szCs w:val="32"/>
        </w:rPr>
        <w:t>8</w:t>
      </w:r>
    </w:p>
    <w:p w14:paraId="1753C264">
      <w:pPr>
        <w:pStyle w:val="14"/>
        <w:adjustRightInd w:val="0"/>
        <w:snapToGrid w:val="0"/>
        <w:spacing w:line="440" w:lineRule="exact"/>
        <w:ind w:firstLine="4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六、一般公共预算财政拨款基本支出决算情况说明</w:t>
      </w:r>
      <w:r>
        <w:rPr>
          <w:rFonts w:hint="eastAsia" w:ascii="仿宋_GB2312" w:hAnsi="仿宋_GB2312" w:eastAsia="仿宋_GB2312" w:cs="仿宋_GB2312"/>
          <w:sz w:val="32"/>
          <w:szCs w:val="32"/>
        </w:rPr>
        <w:tab/>
      </w:r>
      <w:r>
        <w:rPr>
          <w:rFonts w:eastAsia="仿宋_GB2312"/>
          <w:sz w:val="32"/>
          <w:szCs w:val="32"/>
        </w:rPr>
        <w:t>10</w:t>
      </w:r>
    </w:p>
    <w:p w14:paraId="644D4D37">
      <w:pPr>
        <w:pStyle w:val="14"/>
        <w:adjustRightInd w:val="0"/>
        <w:snapToGrid w:val="0"/>
        <w:spacing w:line="440" w:lineRule="exact"/>
        <w:ind w:firstLine="48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七、财政拨款“三公”经费支出决算情况说明</w:t>
      </w:r>
      <w:r>
        <w:rPr>
          <w:rFonts w:hint="eastAsia" w:ascii="仿宋_GB2312" w:hAnsi="仿宋_GB2312" w:eastAsia="仿宋_GB2312" w:cs="仿宋_GB2312"/>
          <w:sz w:val="32"/>
          <w:szCs w:val="32"/>
        </w:rPr>
        <w:tab/>
      </w:r>
      <w:r>
        <w:rPr>
          <w:rFonts w:eastAsia="仿宋_GB2312"/>
          <w:sz w:val="32"/>
          <w:szCs w:val="32"/>
        </w:rPr>
        <w:t>1</w:t>
      </w:r>
      <w:r>
        <w:rPr>
          <w:rFonts w:hint="eastAsia" w:eastAsia="仿宋_GB2312"/>
          <w:sz w:val="32"/>
          <w:szCs w:val="32"/>
          <w:lang w:val="en-US" w:eastAsia="zh-CN"/>
        </w:rPr>
        <w:t>1</w:t>
      </w:r>
    </w:p>
    <w:p w14:paraId="024ACC93">
      <w:pPr>
        <w:pStyle w:val="14"/>
        <w:adjustRightInd w:val="0"/>
        <w:snapToGrid w:val="0"/>
        <w:spacing w:line="440" w:lineRule="exact"/>
        <w:ind w:firstLine="48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八、政府性基金预算支出决算情况说明</w:t>
      </w:r>
      <w:r>
        <w:rPr>
          <w:rFonts w:hint="eastAsia" w:ascii="仿宋_GB2312" w:hAnsi="仿宋_GB2312" w:eastAsia="仿宋_GB2312" w:cs="仿宋_GB2312"/>
          <w:sz w:val="32"/>
          <w:szCs w:val="32"/>
        </w:rPr>
        <w:tab/>
      </w:r>
      <w:r>
        <w:rPr>
          <w:rFonts w:eastAsia="仿宋_GB2312"/>
          <w:sz w:val="32"/>
          <w:szCs w:val="32"/>
        </w:rPr>
        <w:t>1</w:t>
      </w:r>
      <w:r>
        <w:rPr>
          <w:rFonts w:hint="eastAsia" w:eastAsia="仿宋_GB2312"/>
          <w:sz w:val="32"/>
          <w:szCs w:val="32"/>
          <w:lang w:val="en-US" w:eastAsia="zh-CN"/>
        </w:rPr>
        <w:t>2</w:t>
      </w:r>
    </w:p>
    <w:p w14:paraId="61615945">
      <w:pPr>
        <w:pStyle w:val="14"/>
        <w:adjustRightInd w:val="0"/>
        <w:snapToGrid w:val="0"/>
        <w:spacing w:line="440" w:lineRule="exact"/>
        <w:ind w:firstLine="48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九、国有资本经营预算支出决算情况说明</w:t>
      </w:r>
      <w:r>
        <w:rPr>
          <w:rFonts w:hint="eastAsia" w:ascii="仿宋_GB2312" w:hAnsi="仿宋_GB2312" w:eastAsia="仿宋_GB2312" w:cs="仿宋_GB2312"/>
          <w:sz w:val="32"/>
          <w:szCs w:val="32"/>
        </w:rPr>
        <w:tab/>
      </w:r>
      <w:r>
        <w:rPr>
          <w:rFonts w:eastAsia="仿宋_GB2312"/>
          <w:sz w:val="32"/>
          <w:szCs w:val="32"/>
        </w:rPr>
        <w:t>1</w:t>
      </w:r>
      <w:r>
        <w:rPr>
          <w:rFonts w:hint="eastAsia" w:eastAsia="仿宋_GB2312"/>
          <w:sz w:val="32"/>
          <w:szCs w:val="32"/>
          <w:lang w:val="en-US" w:eastAsia="zh-CN"/>
        </w:rPr>
        <w:t>2</w:t>
      </w:r>
    </w:p>
    <w:p w14:paraId="680A3B4C">
      <w:pPr>
        <w:pStyle w:val="14"/>
        <w:adjustRightInd w:val="0"/>
        <w:snapToGrid w:val="0"/>
        <w:spacing w:line="440" w:lineRule="exact"/>
        <w:ind w:firstLine="48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十、其他重要事项的情况说明</w:t>
      </w:r>
      <w:r>
        <w:rPr>
          <w:rFonts w:hint="eastAsia" w:ascii="仿宋_GB2312" w:hAnsi="仿宋_GB2312" w:eastAsia="仿宋_GB2312" w:cs="仿宋_GB2312"/>
          <w:sz w:val="32"/>
          <w:szCs w:val="32"/>
        </w:rPr>
        <w:tab/>
      </w:r>
      <w:r>
        <w:rPr>
          <w:rFonts w:eastAsia="仿宋_GB2312"/>
          <w:sz w:val="32"/>
          <w:szCs w:val="32"/>
        </w:rPr>
        <w:t>1</w:t>
      </w:r>
      <w:r>
        <w:rPr>
          <w:rFonts w:hint="eastAsia" w:eastAsia="仿宋_GB2312"/>
          <w:sz w:val="32"/>
          <w:szCs w:val="32"/>
          <w:lang w:val="en-US" w:eastAsia="zh-CN"/>
        </w:rPr>
        <w:t>2</w:t>
      </w:r>
      <w:bookmarkStart w:id="68" w:name="_GoBack"/>
      <w:bookmarkEnd w:id="68"/>
    </w:p>
    <w:p w14:paraId="717F0376">
      <w:pPr>
        <w:pStyle w:val="13"/>
        <w:adjustRightInd w:val="0"/>
        <w:snapToGrid w:val="0"/>
        <w:spacing w:before="0" w:line="440" w:lineRule="exact"/>
        <w:jc w:val="left"/>
        <w:rPr>
          <w:rFonts w:ascii="黑体" w:hAnsi="黑体" w:eastAsia="黑体" w:cs="仿宋_GB2312"/>
          <w:sz w:val="32"/>
          <w:szCs w:val="32"/>
        </w:rPr>
      </w:pPr>
      <w:r>
        <w:rPr>
          <w:rFonts w:hint="eastAsia" w:ascii="黑体" w:hAnsi="黑体" w:eastAsia="黑体" w:cs="仿宋_GB2312"/>
          <w:sz w:val="32"/>
          <w:szCs w:val="32"/>
        </w:rPr>
        <w:t>第三部分 名词解释</w:t>
      </w:r>
      <w:r>
        <w:rPr>
          <w:rFonts w:hint="eastAsia" w:ascii="黑体" w:hAnsi="黑体" w:eastAsia="黑体" w:cs="仿宋_GB2312"/>
          <w:sz w:val="32"/>
          <w:szCs w:val="32"/>
        </w:rPr>
        <w:tab/>
      </w:r>
      <w:r>
        <w:rPr>
          <w:rFonts w:ascii="Times New Roman" w:hAnsi="Times New Roman" w:eastAsia="黑体"/>
          <w:sz w:val="32"/>
          <w:szCs w:val="32"/>
        </w:rPr>
        <w:t>14</w:t>
      </w:r>
    </w:p>
    <w:p w14:paraId="1516FEEB">
      <w:pPr>
        <w:pStyle w:val="13"/>
        <w:adjustRightInd w:val="0"/>
        <w:snapToGrid w:val="0"/>
        <w:spacing w:before="0" w:line="440" w:lineRule="exact"/>
        <w:jc w:val="left"/>
        <w:rPr>
          <w:rFonts w:ascii="黑体" w:hAnsi="黑体" w:eastAsia="黑体" w:cs="仿宋_GB2312"/>
          <w:sz w:val="32"/>
          <w:szCs w:val="32"/>
        </w:rPr>
      </w:pPr>
      <w:r>
        <w:rPr>
          <w:rFonts w:hint="eastAsia" w:ascii="黑体" w:hAnsi="黑体" w:eastAsia="黑体" w:cs="仿宋_GB2312"/>
          <w:sz w:val="32"/>
          <w:szCs w:val="32"/>
        </w:rPr>
        <w:t>第四部分 附件</w:t>
      </w:r>
      <w:r>
        <w:rPr>
          <w:rFonts w:hint="eastAsia" w:ascii="黑体" w:hAnsi="黑体" w:eastAsia="黑体" w:cs="仿宋_GB2312"/>
          <w:sz w:val="32"/>
          <w:szCs w:val="32"/>
        </w:rPr>
        <w:tab/>
      </w:r>
      <w:r>
        <w:rPr>
          <w:rFonts w:ascii="Times New Roman" w:hAnsi="Times New Roman" w:eastAsia="黑体"/>
          <w:sz w:val="32"/>
          <w:szCs w:val="32"/>
        </w:rPr>
        <w:t>16</w:t>
      </w:r>
    </w:p>
    <w:p w14:paraId="273AA059">
      <w:pPr>
        <w:pStyle w:val="13"/>
        <w:adjustRightInd w:val="0"/>
        <w:snapToGrid w:val="0"/>
        <w:spacing w:before="0" w:line="440" w:lineRule="exact"/>
        <w:jc w:val="left"/>
        <w:rPr>
          <w:rFonts w:ascii="黑体" w:hAnsi="黑体" w:eastAsia="黑体" w:cs="仿宋_GB2312"/>
          <w:sz w:val="32"/>
          <w:szCs w:val="32"/>
        </w:rPr>
      </w:pPr>
      <w:r>
        <w:rPr>
          <w:rFonts w:hint="eastAsia" w:ascii="黑体" w:hAnsi="黑体" w:eastAsia="黑体" w:cs="仿宋_GB2312"/>
          <w:sz w:val="32"/>
          <w:szCs w:val="32"/>
        </w:rPr>
        <w:t>第五部分 附表</w:t>
      </w:r>
      <w:r>
        <w:rPr>
          <w:rFonts w:hint="eastAsia" w:ascii="黑体" w:hAnsi="黑体" w:eastAsia="黑体" w:cs="仿宋_GB2312"/>
          <w:sz w:val="32"/>
          <w:szCs w:val="32"/>
        </w:rPr>
        <w:tab/>
      </w:r>
      <w:r>
        <w:rPr>
          <w:rFonts w:ascii="Times New Roman" w:hAnsi="Times New Roman" w:eastAsia="黑体"/>
          <w:sz w:val="32"/>
          <w:szCs w:val="32"/>
        </w:rPr>
        <w:t>17</w:t>
      </w:r>
    </w:p>
    <w:p w14:paraId="3EC7FCA2">
      <w:pPr>
        <w:pStyle w:val="14"/>
        <w:adjustRightInd w:val="0"/>
        <w:snapToGrid w:val="0"/>
        <w:spacing w:line="440" w:lineRule="exact"/>
        <w:ind w:firstLine="480"/>
        <w:jc w:val="left"/>
        <w:rPr>
          <w:rFonts w:ascii="仿宋" w:hAnsi="仿宋" w:eastAsia="仿宋" w:cs="仿宋_GB2312"/>
          <w:sz w:val="32"/>
          <w:szCs w:val="32"/>
        </w:rPr>
      </w:pPr>
      <w:r>
        <w:rPr>
          <w:rFonts w:hint="eastAsia" w:ascii="仿宋_GB2312" w:hAnsi="仿宋_GB2312" w:eastAsia="仿宋_GB2312" w:cs="仿宋_GB2312"/>
          <w:sz w:val="32"/>
          <w:szCs w:val="32"/>
        </w:rPr>
        <w:t>一、收入支出决算总表</w:t>
      </w:r>
      <w:r>
        <w:rPr>
          <w:rFonts w:hint="eastAsia" w:ascii="仿宋" w:hAnsi="仿宋" w:eastAsia="仿宋" w:cs="仿宋_GB2312"/>
          <w:sz w:val="32"/>
          <w:szCs w:val="32"/>
        </w:rPr>
        <w:tab/>
      </w:r>
      <w:r>
        <w:rPr>
          <w:rFonts w:eastAsia="仿宋"/>
          <w:sz w:val="32"/>
          <w:szCs w:val="32"/>
        </w:rPr>
        <w:t>17</w:t>
      </w:r>
    </w:p>
    <w:p w14:paraId="634056BC">
      <w:pPr>
        <w:pStyle w:val="14"/>
        <w:adjustRightInd w:val="0"/>
        <w:snapToGrid w:val="0"/>
        <w:spacing w:line="440" w:lineRule="exact"/>
        <w:ind w:firstLine="480"/>
        <w:jc w:val="left"/>
        <w:rPr>
          <w:rFonts w:ascii="仿宋" w:hAnsi="仿宋" w:eastAsia="仿宋" w:cs="仿宋_GB2312"/>
          <w:sz w:val="32"/>
          <w:szCs w:val="32"/>
        </w:rPr>
      </w:pPr>
      <w:r>
        <w:rPr>
          <w:rFonts w:hint="eastAsia" w:ascii="仿宋_GB2312" w:hAnsi="仿宋_GB2312" w:eastAsia="仿宋_GB2312" w:cs="仿宋_GB2312"/>
          <w:sz w:val="32"/>
          <w:szCs w:val="32"/>
        </w:rPr>
        <w:t>二、收入决算表</w:t>
      </w:r>
      <w:r>
        <w:rPr>
          <w:rFonts w:hint="eastAsia" w:ascii="仿宋" w:hAnsi="仿宋" w:eastAsia="仿宋" w:cs="仿宋_GB2312"/>
          <w:sz w:val="32"/>
          <w:szCs w:val="32"/>
        </w:rPr>
        <w:tab/>
      </w:r>
      <w:r>
        <w:rPr>
          <w:rFonts w:eastAsia="仿宋"/>
          <w:sz w:val="32"/>
          <w:szCs w:val="32"/>
        </w:rPr>
        <w:t>17</w:t>
      </w:r>
    </w:p>
    <w:p w14:paraId="6BC8FF1C">
      <w:pPr>
        <w:pStyle w:val="14"/>
        <w:adjustRightInd w:val="0"/>
        <w:snapToGrid w:val="0"/>
        <w:spacing w:line="440" w:lineRule="exact"/>
        <w:ind w:firstLine="480"/>
        <w:jc w:val="left"/>
        <w:rPr>
          <w:rFonts w:eastAsia="仿宋"/>
          <w:sz w:val="32"/>
          <w:szCs w:val="32"/>
        </w:rPr>
      </w:pPr>
      <w:r>
        <w:rPr>
          <w:rFonts w:hint="eastAsia" w:ascii="仿宋_GB2312" w:hAnsi="仿宋_GB2312" w:eastAsia="仿宋_GB2312" w:cs="仿宋_GB2312"/>
          <w:sz w:val="32"/>
          <w:szCs w:val="32"/>
        </w:rPr>
        <w:t>三、支出决算表</w:t>
      </w:r>
      <w:r>
        <w:rPr>
          <w:rFonts w:hint="eastAsia" w:ascii="仿宋" w:hAnsi="仿宋" w:eastAsia="仿宋" w:cs="仿宋_GB2312"/>
          <w:sz w:val="32"/>
          <w:szCs w:val="32"/>
        </w:rPr>
        <w:tab/>
      </w:r>
      <w:r>
        <w:rPr>
          <w:rFonts w:eastAsia="仿宋"/>
          <w:sz w:val="32"/>
          <w:szCs w:val="32"/>
        </w:rPr>
        <w:t>17</w:t>
      </w:r>
    </w:p>
    <w:p w14:paraId="0A462C83">
      <w:pPr>
        <w:pStyle w:val="14"/>
        <w:adjustRightInd w:val="0"/>
        <w:snapToGrid w:val="0"/>
        <w:spacing w:line="440" w:lineRule="exact"/>
        <w:ind w:firstLine="480"/>
        <w:jc w:val="left"/>
        <w:rPr>
          <w:rFonts w:eastAsia="仿宋"/>
          <w:sz w:val="32"/>
          <w:szCs w:val="32"/>
        </w:rPr>
      </w:pPr>
      <w:r>
        <w:rPr>
          <w:rFonts w:hint="eastAsia" w:ascii="仿宋_GB2312" w:hAnsi="仿宋_GB2312" w:eastAsia="仿宋_GB2312" w:cs="仿宋_GB2312"/>
          <w:sz w:val="32"/>
          <w:szCs w:val="32"/>
        </w:rPr>
        <w:t>四、财政拨款收入支出决算总表</w:t>
      </w:r>
      <w:r>
        <w:rPr>
          <w:rFonts w:hint="eastAsia" w:ascii="仿宋" w:hAnsi="仿宋" w:eastAsia="仿宋" w:cs="仿宋_GB2312"/>
          <w:sz w:val="32"/>
          <w:szCs w:val="32"/>
        </w:rPr>
        <w:tab/>
      </w:r>
      <w:r>
        <w:rPr>
          <w:rFonts w:eastAsia="仿宋"/>
          <w:sz w:val="32"/>
          <w:szCs w:val="32"/>
        </w:rPr>
        <w:t>17</w:t>
      </w:r>
    </w:p>
    <w:p w14:paraId="2E701CF4">
      <w:pPr>
        <w:pStyle w:val="14"/>
        <w:adjustRightInd w:val="0"/>
        <w:snapToGrid w:val="0"/>
        <w:spacing w:line="440" w:lineRule="exact"/>
        <w:ind w:firstLine="480"/>
        <w:jc w:val="left"/>
        <w:rPr>
          <w:rFonts w:ascii="仿宋" w:hAnsi="仿宋" w:eastAsia="仿宋" w:cs="仿宋_GB2312"/>
          <w:sz w:val="32"/>
          <w:szCs w:val="32"/>
        </w:rPr>
      </w:pPr>
      <w:r>
        <w:rPr>
          <w:rFonts w:hint="eastAsia" w:ascii="仿宋_GB2312" w:hAnsi="仿宋_GB2312" w:eastAsia="仿宋_GB2312" w:cs="仿宋_GB2312"/>
          <w:sz w:val="32"/>
          <w:szCs w:val="32"/>
        </w:rPr>
        <w:t>五、财政拨款支出决算明细表</w:t>
      </w:r>
      <w:r>
        <w:rPr>
          <w:rFonts w:hint="eastAsia" w:ascii="仿宋" w:hAnsi="仿宋" w:eastAsia="仿宋" w:cs="仿宋_GB2312"/>
          <w:sz w:val="32"/>
          <w:szCs w:val="32"/>
        </w:rPr>
        <w:tab/>
      </w:r>
      <w:r>
        <w:rPr>
          <w:rFonts w:eastAsia="仿宋"/>
          <w:sz w:val="32"/>
          <w:szCs w:val="32"/>
        </w:rPr>
        <w:t>17</w:t>
      </w:r>
    </w:p>
    <w:p w14:paraId="26E8D37A">
      <w:pPr>
        <w:pStyle w:val="14"/>
        <w:adjustRightInd w:val="0"/>
        <w:snapToGrid w:val="0"/>
        <w:spacing w:line="440" w:lineRule="exact"/>
        <w:ind w:firstLine="480"/>
        <w:jc w:val="left"/>
        <w:rPr>
          <w:rFonts w:ascii="仿宋" w:hAnsi="仿宋" w:eastAsia="仿宋" w:cs="仿宋_GB2312"/>
          <w:sz w:val="32"/>
          <w:szCs w:val="32"/>
        </w:rPr>
      </w:pPr>
      <w:r>
        <w:rPr>
          <w:rFonts w:hint="eastAsia" w:ascii="仿宋_GB2312" w:hAnsi="仿宋_GB2312" w:eastAsia="仿宋_GB2312" w:cs="仿宋_GB2312"/>
          <w:sz w:val="32"/>
          <w:szCs w:val="32"/>
        </w:rPr>
        <w:t>六、一般公共预算财政拨款支出决算表</w:t>
      </w:r>
      <w:r>
        <w:rPr>
          <w:rFonts w:hint="eastAsia" w:ascii="仿宋" w:hAnsi="仿宋" w:eastAsia="仿宋" w:cs="仿宋_GB2312"/>
          <w:sz w:val="32"/>
          <w:szCs w:val="32"/>
        </w:rPr>
        <w:tab/>
      </w:r>
      <w:r>
        <w:rPr>
          <w:rFonts w:eastAsia="仿宋"/>
          <w:sz w:val="32"/>
          <w:szCs w:val="32"/>
        </w:rPr>
        <w:t>17</w:t>
      </w:r>
    </w:p>
    <w:p w14:paraId="21F2F057">
      <w:pPr>
        <w:widowControl/>
        <w:rPr>
          <w:rFonts w:ascii="仿宋" w:hAnsi="仿宋" w:eastAsia="仿宋" w:cs="仿宋_GB2312"/>
          <w:sz w:val="32"/>
          <w:szCs w:val="32"/>
        </w:rPr>
      </w:pPr>
    </w:p>
    <w:p w14:paraId="09B246CD">
      <w:pPr>
        <w:pStyle w:val="14"/>
        <w:adjustRightInd w:val="0"/>
        <w:snapToGrid w:val="0"/>
        <w:spacing w:line="440" w:lineRule="exact"/>
        <w:ind w:firstLine="480"/>
        <w:jc w:val="left"/>
        <w:rPr>
          <w:rFonts w:ascii="仿宋" w:hAnsi="仿宋" w:eastAsia="仿宋" w:cs="仿宋_GB2312"/>
          <w:sz w:val="32"/>
          <w:szCs w:val="32"/>
        </w:rPr>
      </w:pPr>
      <w:r>
        <w:rPr>
          <w:rFonts w:hint="eastAsia" w:ascii="仿宋_GB2312" w:hAnsi="仿宋_GB2312" w:eastAsia="仿宋_GB2312" w:cs="仿宋_GB2312"/>
          <w:sz w:val="32"/>
          <w:szCs w:val="32"/>
        </w:rPr>
        <w:t>七、一般公共预算财政拨款支出决算明细表</w:t>
      </w:r>
      <w:r>
        <w:rPr>
          <w:rFonts w:hint="eastAsia" w:ascii="仿宋" w:hAnsi="仿宋" w:eastAsia="仿宋" w:cs="仿宋_GB2312"/>
          <w:sz w:val="32"/>
          <w:szCs w:val="32"/>
        </w:rPr>
        <w:tab/>
      </w:r>
      <w:r>
        <w:rPr>
          <w:rFonts w:eastAsia="仿宋"/>
          <w:sz w:val="32"/>
          <w:szCs w:val="32"/>
        </w:rPr>
        <w:t>17</w:t>
      </w:r>
    </w:p>
    <w:p w14:paraId="7633C4CB">
      <w:pPr>
        <w:pStyle w:val="14"/>
        <w:adjustRightInd w:val="0"/>
        <w:snapToGrid w:val="0"/>
        <w:spacing w:line="440" w:lineRule="exact"/>
        <w:ind w:firstLine="480"/>
        <w:jc w:val="left"/>
        <w:rPr>
          <w:rFonts w:ascii="仿宋" w:hAnsi="仿宋" w:eastAsia="仿宋" w:cs="仿宋_GB2312"/>
          <w:sz w:val="32"/>
          <w:szCs w:val="32"/>
        </w:rPr>
      </w:pPr>
      <w:r>
        <w:rPr>
          <w:rFonts w:hint="eastAsia" w:ascii="仿宋_GB2312" w:hAnsi="仿宋_GB2312" w:eastAsia="仿宋_GB2312" w:cs="仿宋_GB2312"/>
          <w:sz w:val="32"/>
          <w:szCs w:val="32"/>
        </w:rPr>
        <w:t>八、一般公共预算财政拨款基本支出决算明细表</w:t>
      </w:r>
      <w:r>
        <w:rPr>
          <w:rFonts w:hint="eastAsia" w:ascii="仿宋" w:hAnsi="仿宋" w:eastAsia="仿宋" w:cs="仿宋_GB2312"/>
          <w:sz w:val="32"/>
          <w:szCs w:val="32"/>
        </w:rPr>
        <w:tab/>
      </w:r>
      <w:r>
        <w:rPr>
          <w:rFonts w:eastAsia="仿宋"/>
          <w:sz w:val="32"/>
          <w:szCs w:val="32"/>
        </w:rPr>
        <w:t>17</w:t>
      </w:r>
    </w:p>
    <w:p w14:paraId="08A8E512">
      <w:pPr>
        <w:pStyle w:val="14"/>
        <w:adjustRightInd w:val="0"/>
        <w:snapToGrid w:val="0"/>
        <w:spacing w:line="440" w:lineRule="exact"/>
        <w:ind w:firstLine="480"/>
        <w:jc w:val="left"/>
        <w:rPr>
          <w:rFonts w:ascii="仿宋" w:hAnsi="仿宋" w:eastAsia="仿宋" w:cs="仿宋_GB2312"/>
          <w:sz w:val="32"/>
          <w:szCs w:val="32"/>
        </w:rPr>
      </w:pPr>
      <w:r>
        <w:rPr>
          <w:rFonts w:hint="eastAsia" w:ascii="仿宋_GB2312" w:hAnsi="仿宋_GB2312" w:eastAsia="仿宋_GB2312" w:cs="仿宋_GB2312"/>
          <w:sz w:val="32"/>
          <w:szCs w:val="32"/>
        </w:rPr>
        <w:t>九、一般公共预算财政拨款项目支出决算表</w:t>
      </w:r>
      <w:r>
        <w:rPr>
          <w:rFonts w:hint="eastAsia" w:ascii="仿宋" w:hAnsi="仿宋" w:eastAsia="仿宋" w:cs="仿宋_GB2312"/>
          <w:sz w:val="32"/>
          <w:szCs w:val="32"/>
        </w:rPr>
        <w:tab/>
      </w:r>
      <w:r>
        <w:rPr>
          <w:rFonts w:eastAsia="仿宋"/>
          <w:sz w:val="32"/>
          <w:szCs w:val="32"/>
        </w:rPr>
        <w:t>17</w:t>
      </w:r>
    </w:p>
    <w:p w14:paraId="09EDF763">
      <w:pPr>
        <w:pStyle w:val="14"/>
        <w:adjustRightInd w:val="0"/>
        <w:snapToGrid w:val="0"/>
        <w:spacing w:line="440" w:lineRule="exact"/>
        <w:ind w:firstLine="480"/>
        <w:jc w:val="left"/>
        <w:rPr>
          <w:rFonts w:ascii="仿宋" w:hAnsi="仿宋" w:eastAsia="仿宋" w:cs="仿宋_GB2312"/>
          <w:sz w:val="32"/>
          <w:szCs w:val="32"/>
        </w:rPr>
      </w:pPr>
      <w:r>
        <w:rPr>
          <w:rFonts w:hint="eastAsia" w:ascii="仿宋_GB2312" w:hAnsi="仿宋_GB2312" w:eastAsia="仿宋_GB2312" w:cs="仿宋_GB2312"/>
          <w:sz w:val="32"/>
          <w:szCs w:val="32"/>
        </w:rPr>
        <w:t>十、政府性基金预算财政拨款收入支出决算表</w:t>
      </w:r>
      <w:r>
        <w:rPr>
          <w:rFonts w:hint="eastAsia" w:ascii="仿宋" w:hAnsi="仿宋" w:eastAsia="仿宋" w:cs="仿宋_GB2312"/>
          <w:sz w:val="32"/>
          <w:szCs w:val="32"/>
        </w:rPr>
        <w:tab/>
      </w:r>
      <w:r>
        <w:rPr>
          <w:rFonts w:eastAsia="仿宋"/>
          <w:sz w:val="32"/>
          <w:szCs w:val="32"/>
        </w:rPr>
        <w:t>17</w:t>
      </w:r>
    </w:p>
    <w:p w14:paraId="78773A27">
      <w:pPr>
        <w:pStyle w:val="14"/>
        <w:adjustRightInd w:val="0"/>
        <w:snapToGrid w:val="0"/>
        <w:spacing w:line="440" w:lineRule="exact"/>
        <w:ind w:firstLine="480"/>
        <w:jc w:val="left"/>
        <w:rPr>
          <w:rFonts w:ascii="仿宋" w:hAnsi="仿宋" w:eastAsia="仿宋" w:cs="仿宋_GB2312"/>
          <w:sz w:val="32"/>
          <w:szCs w:val="32"/>
        </w:rPr>
      </w:pPr>
      <w:r>
        <w:rPr>
          <w:rFonts w:hint="eastAsia" w:ascii="仿宋_GB2312" w:hAnsi="仿宋_GB2312" w:eastAsia="仿宋_GB2312" w:cs="仿宋_GB2312"/>
          <w:sz w:val="32"/>
          <w:szCs w:val="32"/>
        </w:rPr>
        <w:t>十一、国有资本经营预算财政拨款收入支出决算表</w:t>
      </w:r>
      <w:r>
        <w:rPr>
          <w:rFonts w:hint="eastAsia" w:ascii="仿宋_GB2312" w:hAnsi="仿宋_GB2312" w:eastAsia="仿宋_GB2312" w:cs="仿宋_GB2312"/>
          <w:sz w:val="32"/>
          <w:szCs w:val="32"/>
        </w:rPr>
        <w:tab/>
      </w:r>
      <w:r>
        <w:rPr>
          <w:rFonts w:eastAsia="仿宋"/>
          <w:sz w:val="32"/>
          <w:szCs w:val="32"/>
        </w:rPr>
        <w:t>17</w:t>
      </w:r>
    </w:p>
    <w:p w14:paraId="60D62D98">
      <w:pPr>
        <w:pStyle w:val="14"/>
        <w:adjustRightInd w:val="0"/>
        <w:snapToGrid w:val="0"/>
        <w:spacing w:line="440" w:lineRule="exact"/>
        <w:ind w:firstLine="480"/>
        <w:jc w:val="left"/>
        <w:rPr>
          <w:rFonts w:ascii="仿宋" w:hAnsi="仿宋" w:eastAsia="仿宋" w:cs="仿宋_GB2312"/>
          <w:sz w:val="32"/>
          <w:szCs w:val="32"/>
        </w:rPr>
      </w:pPr>
      <w:r>
        <w:rPr>
          <w:rFonts w:hint="eastAsia" w:ascii="仿宋_GB2312" w:hAnsi="仿宋_GB2312" w:eastAsia="仿宋_GB2312" w:cs="仿宋_GB2312"/>
          <w:sz w:val="32"/>
          <w:szCs w:val="32"/>
        </w:rPr>
        <w:t>十二、国有资本经营预算财政拨款支出决算表</w:t>
      </w:r>
      <w:r>
        <w:rPr>
          <w:rFonts w:hint="eastAsia" w:ascii="仿宋" w:hAnsi="仿宋" w:eastAsia="仿宋" w:cs="仿宋_GB2312"/>
          <w:sz w:val="32"/>
          <w:szCs w:val="32"/>
        </w:rPr>
        <w:tab/>
      </w:r>
      <w:r>
        <w:rPr>
          <w:rFonts w:eastAsia="仿宋"/>
          <w:sz w:val="32"/>
          <w:szCs w:val="32"/>
        </w:rPr>
        <w:t>17</w:t>
      </w:r>
    </w:p>
    <w:p w14:paraId="2B6C2438">
      <w:pPr>
        <w:pStyle w:val="14"/>
        <w:adjustRightInd w:val="0"/>
        <w:snapToGrid w:val="0"/>
        <w:spacing w:line="440" w:lineRule="exact"/>
        <w:ind w:firstLine="480"/>
        <w:jc w:val="left"/>
        <w:rPr>
          <w:rFonts w:ascii="仿宋" w:hAnsi="仿宋" w:eastAsia="仿宋" w:cs="仿宋_GB2312"/>
          <w:sz w:val="32"/>
          <w:szCs w:val="32"/>
        </w:rPr>
      </w:pPr>
      <w:r>
        <w:rPr>
          <w:rFonts w:hint="eastAsia" w:ascii="仿宋_GB2312" w:hAnsi="仿宋_GB2312" w:eastAsia="仿宋_GB2312" w:cs="仿宋_GB2312"/>
          <w:sz w:val="32"/>
          <w:szCs w:val="32"/>
        </w:rPr>
        <w:t>十三、财政拨款“三公”经费支出决算表</w:t>
      </w:r>
      <w:r>
        <w:rPr>
          <w:rFonts w:hint="eastAsia" w:ascii="仿宋" w:hAnsi="仿宋" w:eastAsia="仿宋" w:cs="仿宋_GB2312"/>
          <w:sz w:val="32"/>
          <w:szCs w:val="32"/>
        </w:rPr>
        <w:tab/>
      </w:r>
      <w:r>
        <w:rPr>
          <w:rFonts w:eastAsia="仿宋"/>
          <w:sz w:val="32"/>
          <w:szCs w:val="32"/>
        </w:rPr>
        <w:t>17</w:t>
      </w:r>
    </w:p>
    <w:p w14:paraId="7914B103">
      <w:pPr>
        <w:rPr>
          <w:rFonts w:ascii="仿宋_GB2312" w:hAnsi="仿宋_GB2312" w:eastAsia="仿宋_GB2312" w:cs="仿宋_GB2312"/>
          <w:bCs/>
          <w:kern w:val="44"/>
          <w:sz w:val="28"/>
          <w:szCs w:val="28"/>
        </w:rPr>
      </w:pPr>
      <w:r>
        <w:rPr>
          <w:rFonts w:hint="eastAsia" w:ascii="仿宋_GB2312" w:hAnsi="仿宋_GB2312" w:eastAsia="仿宋_GB2312" w:cs="仿宋_GB2312"/>
          <w:sz w:val="28"/>
          <w:szCs w:val="28"/>
        </w:rPr>
        <w:br w:type="page"/>
      </w:r>
    </w:p>
    <w:p w14:paraId="44911F6A">
      <w:pPr>
        <w:pStyle w:val="5"/>
        <w:jc w:val="center"/>
        <w:rPr>
          <w:rStyle w:val="28"/>
          <w:rFonts w:eastAsia="方正小标宋简体" w:cs="方正小标宋简体"/>
          <w:b/>
          <w:bCs w:val="0"/>
        </w:rPr>
      </w:pPr>
      <w:r>
        <w:rPr>
          <w:rFonts w:hint="eastAsia" w:eastAsia="方正小标宋简体" w:cs="方正小标宋简体"/>
          <w:b w:val="0"/>
        </w:rPr>
        <w:t xml:space="preserve">第一部分  </w:t>
      </w:r>
      <w:r>
        <w:rPr>
          <w:rStyle w:val="28"/>
          <w:rFonts w:hint="eastAsia" w:eastAsia="方正小标宋简体" w:cs="方正小标宋简体"/>
          <w:b w:val="0"/>
          <w:bCs w:val="0"/>
        </w:rPr>
        <w:t>部门概况</w:t>
      </w:r>
      <w:bookmarkEnd w:id="12"/>
      <w:bookmarkEnd w:id="13"/>
    </w:p>
    <w:p w14:paraId="178239A2">
      <w:pPr>
        <w:pStyle w:val="6"/>
        <w:rPr>
          <w:rFonts w:ascii="Times New Roman" w:hAnsi="Times New Roman" w:eastAsia="黑体"/>
          <w:b w:val="0"/>
        </w:rPr>
      </w:pPr>
      <w:r>
        <w:rPr>
          <w:rFonts w:hint="eastAsia" w:ascii="Times New Roman" w:hAnsi="Times New Roman" w:eastAsia="黑体"/>
          <w:b w:val="0"/>
        </w:rPr>
        <w:t>一、部门职责</w:t>
      </w:r>
    </w:p>
    <w:p w14:paraId="312B372A">
      <w:pPr>
        <w:ind w:firstLine="800" w:firstLineChars="25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攀西院主要职责：承担钒钛制品、工业产（商）品等质量安全监督检验，受理第三方申请的委托检验和仲裁检验；提供社会公正计量服务；承担特种设备安全检验检测及咨询服务；承担2个标委会（全国钒钛磁铁矿综合利用标准化技术委员会（SAC/TC579）、中国材料与试验标准化委员会钒钛综合利用标准化领域委员会（CSTM/FC20））秘书处日常工作，组织和制（修）订相关标准；组织钒钛领域学术交流、标准宣贯，开展钒钛领域检测方法研究和仪器设备研发；负责研究建立、保存社会公用计量标准，进行量值传递，执行强制和法律规定的其他检定测试任务，为实施计量监督提供技术保证，承办有关法制计量工作；承担能效测试、计量仲裁检定工作。承担全市药品、医疗器械、药品包装材料、消费环节食品、保健食品、化妆品等相关的检验检测工作；承担全市药品不良反应检测和药物质量研究工作。开展钒钛钢铁领域招商引资、项目建设推进等工作；组织、参与钒钛钢铁领域重大商贸活动。</w:t>
      </w:r>
    </w:p>
    <w:p w14:paraId="5FFF98E7">
      <w:pPr>
        <w:rPr>
          <w:sz w:val="32"/>
          <w:szCs w:val="32"/>
        </w:rPr>
      </w:pPr>
    </w:p>
    <w:p w14:paraId="6274DAF7">
      <w:pPr>
        <w:pStyle w:val="6"/>
        <w:rPr>
          <w:rFonts w:hint="eastAsia" w:ascii="Times New Roman" w:hAnsi="Times New Roman" w:eastAsia="黑体"/>
          <w:b w:val="0"/>
          <w:color w:val="auto"/>
          <w:highlight w:val="none"/>
        </w:rPr>
      </w:pPr>
      <w:bookmarkStart w:id="14" w:name="_Toc15396601"/>
      <w:bookmarkStart w:id="15" w:name="_Toc15377200"/>
      <w:r>
        <w:rPr>
          <w:rFonts w:hint="eastAsia" w:ascii="Times New Roman" w:hAnsi="Times New Roman" w:eastAsia="黑体"/>
          <w:b w:val="0"/>
          <w:color w:val="auto"/>
          <w:highlight w:val="none"/>
        </w:rPr>
        <w:t>二、机构设置</w:t>
      </w:r>
      <w:bookmarkEnd w:id="14"/>
      <w:bookmarkEnd w:id="15"/>
    </w:p>
    <w:p w14:paraId="1FD09F80">
      <w:pPr>
        <w:ind w:firstLine="800" w:firstLineChars="25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川省攀枝花市攀西钒钛检验检测院无二级预算单位。攀西院由原市食品药品检验所、市计量测试研究所、市产品质量监督检验所、市特种设备监督检验所于2019年8月正式整合组建，为市市场监督管理局所属副县级公益二类事业单位，是目前攀西地区最大的、攀枝花市唯一的综合性检验检测机构，为保障我市“四大安全”、民生计量服务等提供了强有力的专业技术支撑。内设部门11个（办公室、人力资源部、财务部、科学技术部、质量部、项目开发部、质检事务部、计量事务部、特检事务部、药品事务部、党委办公室），核定编制145人。</w:t>
      </w:r>
    </w:p>
    <w:p w14:paraId="602BDB45">
      <w:pPr>
        <w:rPr>
          <w:rFonts w:eastAsia="仿宋"/>
          <w:kern w:val="0"/>
          <w:sz w:val="32"/>
          <w:szCs w:val="32"/>
        </w:rPr>
      </w:pPr>
      <w:r>
        <w:rPr>
          <w:rFonts w:eastAsia="仿宋"/>
          <w:sz w:val="32"/>
          <w:szCs w:val="32"/>
        </w:rPr>
        <w:br w:type="page"/>
      </w:r>
    </w:p>
    <w:p w14:paraId="0DD3C72F">
      <w:pPr>
        <w:pStyle w:val="5"/>
        <w:jc w:val="center"/>
        <w:rPr>
          <w:rFonts w:eastAsia="方正小标宋简体" w:cs="方正小标宋简体"/>
          <w:b w:val="0"/>
        </w:rPr>
      </w:pPr>
      <w:bookmarkStart w:id="16" w:name="_Toc15377204"/>
      <w:bookmarkStart w:id="17" w:name="_Toc15396602"/>
      <w:r>
        <w:rPr>
          <w:rFonts w:hint="eastAsia" w:eastAsia="方正小标宋简体" w:cs="方正小标宋简体"/>
          <w:b w:val="0"/>
        </w:rPr>
        <w:t>第二部分  2025年度部门决算情况说明</w:t>
      </w:r>
      <w:bookmarkEnd w:id="16"/>
      <w:bookmarkEnd w:id="17"/>
    </w:p>
    <w:p w14:paraId="75C7201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s="Times New Roman"/>
          <w:color w:val="auto"/>
          <w:sz w:val="32"/>
          <w:szCs w:val="32"/>
          <w:highlight w:val="none"/>
          <w:lang w:eastAsia="zh-CN"/>
        </w:rPr>
      </w:pPr>
      <w:bookmarkStart w:id="18" w:name="_Toc15396603"/>
      <w:bookmarkStart w:id="19" w:name="_Toc15377205"/>
      <w:r>
        <w:rPr>
          <w:rFonts w:hint="eastAsia" w:ascii="Times New Roman" w:hAnsi="Times New Roman" w:eastAsia="黑体" w:cs="Times New Roman"/>
          <w:color w:val="auto"/>
          <w:sz w:val="32"/>
          <w:szCs w:val="32"/>
          <w:highlight w:val="none"/>
          <w:lang w:eastAsia="zh-CN"/>
        </w:rPr>
        <w:t>一、收入支出决算总体情况说明</w:t>
      </w:r>
      <w:bookmarkEnd w:id="18"/>
      <w:bookmarkEnd w:id="19"/>
    </w:p>
    <w:p w14:paraId="329922DD">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2025年度收入、支出总计均为4864.61万元。与上年度相比，收入、支出总计各减少4675.04万元，下降49%。主要变动原因是减少政府专项债收入支出。</w:t>
      </w:r>
    </w:p>
    <w:p w14:paraId="296ACAF7">
      <w:pPr>
        <w:ind w:firstLine="800" w:firstLineChars="25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（图1：收入、支出决算总计变动情况图）</w:t>
      </w:r>
    </w:p>
    <w:p w14:paraId="452AD370">
      <w:pPr>
        <w:pStyle w:val="2"/>
      </w:pPr>
      <w:r>
        <w:rPr>
          <w:rFonts w:ascii="仿宋_GB2312" w:hAnsi="宋体" w:eastAsia="仿宋_GB2312" w:cs="仿宋_GB2312"/>
          <w:kern w:val="0"/>
          <w:sz w:val="32"/>
          <w:szCs w:val="32"/>
        </w:rPr>
        <w:drawing>
          <wp:anchor distT="0" distB="0" distL="0" distR="0" simplePos="0" relativeHeight="251659264" behindDoc="0" locked="0" layoutInCell="1" allowOverlap="1">
            <wp:simplePos x="0" y="0"/>
            <wp:positionH relativeFrom="column">
              <wp:posOffset>139700</wp:posOffset>
            </wp:positionH>
            <wp:positionV relativeFrom="page">
              <wp:posOffset>3724910</wp:posOffset>
            </wp:positionV>
            <wp:extent cx="5499735" cy="1790700"/>
            <wp:effectExtent l="0" t="0" r="0" b="0"/>
            <wp:wrapTopAndBottom/>
            <wp:docPr id="1" name="对象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52B7C9E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s="Times New Roman"/>
          <w:color w:val="auto"/>
          <w:sz w:val="32"/>
          <w:szCs w:val="32"/>
          <w:highlight w:val="none"/>
          <w:lang w:eastAsia="zh-CN"/>
        </w:rPr>
      </w:pPr>
      <w:bookmarkStart w:id="20" w:name="_Toc15396604"/>
      <w:bookmarkStart w:id="21" w:name="_Toc15377206"/>
      <w:r>
        <w:rPr>
          <w:rFonts w:hint="eastAsia" w:ascii="Times New Roman" w:hAnsi="Times New Roman" w:eastAsia="黑体" w:cs="Times New Roman"/>
          <w:color w:val="auto"/>
          <w:sz w:val="32"/>
          <w:szCs w:val="32"/>
          <w:highlight w:val="none"/>
          <w:lang w:eastAsia="zh-CN"/>
        </w:rPr>
        <w:t>二、收入决算情况说明</w:t>
      </w:r>
      <w:bookmarkEnd w:id="20"/>
      <w:bookmarkEnd w:id="21"/>
    </w:p>
    <w:p w14:paraId="0B33BEBA">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2025年度本年收入合计5255.46万元，其中：一般公共预算财政拨款收入2439.02万元，占46.4%；政府性基金预算财政拨款收入594.12万元，占11.3%；国有资本经营预算财政拨款收入0万元，占0%；上级补助收入0万元，占0%；事业收入0万元，占0%；经营收入2222.31万元，占42.2%；附属单位上缴收入0万元，占0%；其他收入0万元，占0%。</w:t>
      </w:r>
    </w:p>
    <w:p w14:paraId="19F9A9EE">
      <w:pPr>
        <w:pStyle w:val="27"/>
        <w:spacing w:line="600" w:lineRule="exact"/>
        <w:ind w:left="0" w:leftChars="0" w:firstLine="0" w:firstLineChars="0"/>
        <w:outlineLvl w:val="1"/>
        <w:rPr>
          <w:rFonts w:hint="eastAsia" w:eastAsia="仿宋_GB2312" w:cs="仿宋_GB2312"/>
          <w:sz w:val="32"/>
          <w:szCs w:val="32"/>
        </w:rPr>
      </w:pPr>
    </w:p>
    <w:p w14:paraId="63E647F2">
      <w:pPr>
        <w:rPr>
          <w:rFonts w:hint="eastAsia" w:eastAsia="仿宋_GB2312" w:cs="仿宋_GB2312"/>
          <w:sz w:val="32"/>
          <w:szCs w:val="32"/>
        </w:rPr>
      </w:pPr>
    </w:p>
    <w:p w14:paraId="566DC631">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（图2：收入决算结构图）</w:t>
      </w:r>
    </w:p>
    <w:p w14:paraId="0D36FF72">
      <w:pPr>
        <w:pStyle w:val="2"/>
      </w:pPr>
      <w:r>
        <w:rPr>
          <w:rFonts w:hint="eastAsia" w:ascii="仿宋_GB2312" w:hAnsi="仿宋_GB2312" w:eastAsia="仿宋_GB2312" w:cs="仿宋_GB2312"/>
          <w:b/>
          <w:sz w:val="32"/>
          <w:szCs w:val="32"/>
        </w:rPr>
        <w:drawing>
          <wp:anchor distT="0" distB="0" distL="0" distR="0" simplePos="0" relativeHeight="251660288" behindDoc="0" locked="0" layoutInCell="1" allowOverlap="1">
            <wp:simplePos x="0" y="0"/>
            <wp:positionH relativeFrom="column">
              <wp:posOffset>-65405</wp:posOffset>
            </wp:positionH>
            <wp:positionV relativeFrom="page">
              <wp:posOffset>1407160</wp:posOffset>
            </wp:positionV>
            <wp:extent cx="5117465" cy="1893570"/>
            <wp:effectExtent l="0" t="0" r="0" b="0"/>
            <wp:wrapTopAndBottom/>
            <wp:docPr id="3" name="对象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5B01D09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s="Times New Roman"/>
          <w:color w:val="auto"/>
          <w:sz w:val="32"/>
          <w:szCs w:val="32"/>
          <w:highlight w:val="none"/>
          <w:lang w:eastAsia="zh-CN"/>
        </w:rPr>
      </w:pPr>
      <w:bookmarkStart w:id="22" w:name="_Toc15377207"/>
      <w:bookmarkStart w:id="23" w:name="_Toc15396605"/>
      <w:r>
        <w:rPr>
          <w:rFonts w:hint="eastAsia" w:ascii="Times New Roman" w:hAnsi="Times New Roman" w:eastAsia="黑体" w:cs="Times New Roman"/>
          <w:color w:val="auto"/>
          <w:sz w:val="32"/>
          <w:szCs w:val="32"/>
          <w:highlight w:val="none"/>
          <w:lang w:eastAsia="zh-CN"/>
        </w:rPr>
        <w:t>三、支出决算情况说明</w:t>
      </w:r>
      <w:bookmarkEnd w:id="22"/>
      <w:bookmarkEnd w:id="23"/>
    </w:p>
    <w:p w14:paraId="6D84F5B0">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2025年度本年支出合计5268.75万元，其中：基本支出2148.58万元，占40.8%；项目支出884.57万元，占16.8%；上缴上级支出0万元，占0%；经营支出2235.6万元，占42.4%；对附属单位补助支出0万元，占0%。</w:t>
      </w:r>
    </w:p>
    <w:p w14:paraId="181E3E7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（图3：支出决算结构图）</w:t>
      </w:r>
    </w:p>
    <w:p w14:paraId="036A739F">
      <w:pPr>
        <w:rPr>
          <w:rFonts w:ascii="仿宋_GB2312" w:hAnsi="仿宋_GB2312" w:eastAsia="仿宋_GB2312" w:cs="仿宋_GB2312"/>
          <w:sz w:val="32"/>
          <w:szCs w:val="32"/>
        </w:rPr>
      </w:pPr>
      <w:r>
        <w:rPr>
          <w:rFonts w:hint="eastAsia" w:ascii="仿宋_GB2312" w:hAnsi="仿宋_GB2312" w:eastAsia="仿宋_GB2312" w:cs="仿宋_GB2312"/>
          <w:sz w:val="32"/>
          <w:szCs w:val="32"/>
        </w:rPr>
        <w:drawing>
          <wp:anchor distT="0" distB="0" distL="0" distR="0" simplePos="0" relativeHeight="251661312" behindDoc="0" locked="0" layoutInCell="1" allowOverlap="1">
            <wp:simplePos x="0" y="0"/>
            <wp:positionH relativeFrom="column">
              <wp:posOffset>-22225</wp:posOffset>
            </wp:positionH>
            <wp:positionV relativeFrom="page">
              <wp:posOffset>5789295</wp:posOffset>
            </wp:positionV>
            <wp:extent cx="4875530" cy="1940560"/>
            <wp:effectExtent l="0" t="0" r="0" b="0"/>
            <wp:wrapTopAndBottom/>
            <wp:docPr id="2" name="对象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32778D9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s="Times New Roman"/>
          <w:color w:val="auto"/>
          <w:sz w:val="32"/>
          <w:szCs w:val="32"/>
          <w:highlight w:val="none"/>
          <w:lang w:eastAsia="zh-CN"/>
        </w:rPr>
      </w:pPr>
      <w:bookmarkStart w:id="24" w:name="_Toc15377208"/>
      <w:bookmarkStart w:id="25" w:name="_Toc15396606"/>
      <w:r>
        <w:rPr>
          <w:rFonts w:hint="eastAsia" w:ascii="Times New Roman" w:hAnsi="Times New Roman" w:eastAsia="黑体" w:cs="Times New Roman"/>
          <w:color w:val="auto"/>
          <w:sz w:val="32"/>
          <w:szCs w:val="32"/>
          <w:highlight w:val="none"/>
          <w:lang w:eastAsia="zh-CN"/>
        </w:rPr>
        <w:t>四、财政拨款收入支出决算总体情况说明</w:t>
      </w:r>
      <w:bookmarkEnd w:id="24"/>
      <w:bookmarkEnd w:id="25"/>
    </w:p>
    <w:p w14:paraId="68812F9E">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2025年度财政拨款收入、支出总计均为3033.15万元。与上年度相比，财政拨款收入、支出总计各减少4470.33万元，下降59.6%。主要变动原因是减少政府专项债收入支出。</w:t>
      </w:r>
    </w:p>
    <w:p w14:paraId="6570923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r>
        <w:rPr>
          <w:rFonts w:hint="eastAsia" w:ascii="Times New Roman" w:hAnsi="Times New Roman" w:eastAsia="仿宋_GB2312" w:cs="仿宋_GB2312"/>
          <w:color w:val="auto"/>
          <w:kern w:val="2"/>
          <w:sz w:val="32"/>
          <w:szCs w:val="32"/>
          <w:highlight w:val="none"/>
          <w:lang w:val="en-US" w:eastAsia="zh-CN" w:bidi="ar-SA"/>
        </w:rPr>
        <w:drawing>
          <wp:anchor distT="0" distB="0" distL="0" distR="0" simplePos="0" relativeHeight="251662336" behindDoc="0" locked="0" layoutInCell="1" allowOverlap="1">
            <wp:simplePos x="0" y="0"/>
            <wp:positionH relativeFrom="column">
              <wp:posOffset>109855</wp:posOffset>
            </wp:positionH>
            <wp:positionV relativeFrom="page">
              <wp:posOffset>1487805</wp:posOffset>
            </wp:positionV>
            <wp:extent cx="5086350" cy="1877695"/>
            <wp:effectExtent l="0" t="0" r="0" b="0"/>
            <wp:wrapTopAndBottom/>
            <wp:docPr id="4" name="对象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7F93C72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s="Times New Roman"/>
          <w:color w:val="auto"/>
          <w:sz w:val="32"/>
          <w:szCs w:val="32"/>
          <w:highlight w:val="none"/>
          <w:lang w:eastAsia="zh-CN"/>
        </w:rPr>
      </w:pPr>
      <w:bookmarkStart w:id="26" w:name="_Toc15377209"/>
      <w:bookmarkStart w:id="27" w:name="_Toc15396607"/>
      <w:r>
        <w:rPr>
          <w:rFonts w:hint="eastAsia" w:ascii="Times New Roman" w:hAnsi="Times New Roman" w:eastAsia="黑体" w:cs="Times New Roman"/>
          <w:color w:val="auto"/>
          <w:sz w:val="32"/>
          <w:szCs w:val="32"/>
          <w:highlight w:val="none"/>
          <w:lang w:eastAsia="zh-CN"/>
        </w:rPr>
        <w:t>五、一般公共预算财政拨款支出决算情况说明</w:t>
      </w:r>
      <w:bookmarkEnd w:id="26"/>
      <w:bookmarkEnd w:id="27"/>
    </w:p>
    <w:p w14:paraId="342F4289">
      <w:pPr>
        <w:spacing w:line="600" w:lineRule="exact"/>
        <w:ind w:firstLine="643" w:firstLineChars="200"/>
        <w:outlineLvl w:val="2"/>
        <w:rPr>
          <w:rFonts w:ascii="仿宋_GB2312" w:hAnsi="仿宋_GB2312" w:eastAsia="仿宋_GB2312" w:cs="仿宋_GB2312"/>
          <w:b/>
          <w:sz w:val="32"/>
          <w:szCs w:val="32"/>
        </w:rPr>
      </w:pPr>
      <w:bookmarkStart w:id="28" w:name="_Toc15377210"/>
      <w:r>
        <w:rPr>
          <w:rFonts w:hint="eastAsia" w:ascii="仿宋_GB2312" w:hAnsi="仿宋_GB2312" w:eastAsia="仿宋_GB2312" w:cs="仿宋_GB2312"/>
          <w:b/>
          <w:sz w:val="32"/>
          <w:szCs w:val="32"/>
        </w:rPr>
        <w:t>（一）一般公共预算财政拨款支出决算总体情况</w:t>
      </w:r>
      <w:bookmarkEnd w:id="28"/>
    </w:p>
    <w:p w14:paraId="0E65497E">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2025年度一般公共预算财政拨款支出2439.02万元，占本年支出合计的46.3%。与上年度相比，一般公共预算财政拨款支出减少58.58万元，下降2.3%。主要变动原因是减少部分专项收支。</w:t>
      </w:r>
    </w:p>
    <w:p w14:paraId="2B3E0D7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7CF85532">
      <w:pPr>
        <w:spacing w:line="600" w:lineRule="exact"/>
        <w:ind w:firstLine="640" w:firstLineChars="200"/>
        <w:outlineLvl w:val="2"/>
        <w:rPr>
          <w:rFonts w:ascii="仿宋_GB2312" w:hAnsi="仿宋_GB2312" w:eastAsia="仿宋_GB2312" w:cs="仿宋_GB2312"/>
          <w:b/>
          <w:sz w:val="32"/>
          <w:szCs w:val="32"/>
        </w:rPr>
      </w:pPr>
      <w:bookmarkStart w:id="29" w:name="_Toc15377211"/>
      <w:r>
        <w:rPr>
          <w:rFonts w:hint="eastAsia" w:ascii="Times New Roman" w:hAnsi="Times New Roman" w:eastAsia="仿宋_GB2312" w:cs="仿宋_GB2312"/>
          <w:b w:val="0"/>
          <w:bCs w:val="0"/>
          <w:kern w:val="0"/>
          <w:position w:val="0"/>
          <w:sz w:val="32"/>
          <w:szCs w:val="32"/>
          <w:highlight w:val="none"/>
          <w:lang w:val="en-US" w:eastAsia="zh-CN" w:bidi="ar-SA"/>
        </w:rPr>
        <w:drawing>
          <wp:anchor distT="0" distB="0" distL="0" distR="0" simplePos="0" relativeHeight="251663360" behindDoc="0" locked="0" layoutInCell="1" allowOverlap="1">
            <wp:simplePos x="0" y="0"/>
            <wp:positionH relativeFrom="column">
              <wp:posOffset>375285</wp:posOffset>
            </wp:positionH>
            <wp:positionV relativeFrom="page">
              <wp:posOffset>6150610</wp:posOffset>
            </wp:positionV>
            <wp:extent cx="4785360" cy="1817370"/>
            <wp:effectExtent l="0" t="0" r="0" b="0"/>
            <wp:wrapTopAndBottom/>
            <wp:docPr id="5" name="对象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仿宋_GB2312" w:hAnsi="仿宋_GB2312" w:eastAsia="仿宋_GB2312" w:cs="仿宋_GB2312"/>
          <w:b/>
          <w:sz w:val="32"/>
          <w:szCs w:val="32"/>
        </w:rPr>
        <w:t>（二）一般公共预算财政拨款支出决算结构情况</w:t>
      </w:r>
      <w:bookmarkEnd w:id="29"/>
    </w:p>
    <w:p w14:paraId="3E088AB1">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2025年度一般公共预算财政拨款支出2439.02万元，主要用于以下方面：一般公共服务支出2180.18万元，占89.4%；社会保障和就业支出224.54万元，占9.2%；城乡社区支出26万元，占1.1%；住房保障支出8.3万元，占0.3%。</w:t>
      </w:r>
    </w:p>
    <w:p w14:paraId="31E8A30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bookmarkStart w:id="30" w:name="_Toc15377212"/>
      <w:r>
        <w:rPr>
          <w:rFonts w:hint="eastAsia" w:ascii="Times New Roman" w:hAnsi="Times New Roman" w:eastAsia="仿宋_GB2312" w:cs="仿宋_GB2312"/>
          <w:color w:val="auto"/>
          <w:kern w:val="2"/>
          <w:sz w:val="32"/>
          <w:szCs w:val="32"/>
          <w:highlight w:val="none"/>
          <w:lang w:val="en-US" w:eastAsia="zh-CN" w:bidi="ar-SA"/>
        </w:rPr>
        <w:drawing>
          <wp:anchor distT="0" distB="0" distL="0" distR="0" simplePos="0" relativeHeight="251664384" behindDoc="0" locked="0" layoutInCell="1" allowOverlap="1">
            <wp:simplePos x="0" y="0"/>
            <wp:positionH relativeFrom="column">
              <wp:posOffset>114935</wp:posOffset>
            </wp:positionH>
            <wp:positionV relativeFrom="page">
              <wp:posOffset>1764030</wp:posOffset>
            </wp:positionV>
            <wp:extent cx="4875530" cy="2138045"/>
            <wp:effectExtent l="0" t="0" r="0" b="0"/>
            <wp:wrapTopAndBottom/>
            <wp:docPr id="7" name="对象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13EE26E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hAnsi="仿宋_GB2312" w:eastAsia="仿宋_GB2312" w:cs="仿宋_GB2312"/>
          <w:b/>
          <w:sz w:val="32"/>
          <w:szCs w:val="32"/>
        </w:rPr>
      </w:pPr>
      <w:r>
        <w:rPr>
          <w:rFonts w:hint="eastAsia" w:ascii="仿宋_GB2312" w:hAnsi="仿宋_GB2312" w:eastAsia="仿宋_GB2312" w:cs="仿宋_GB2312"/>
          <w:b/>
          <w:sz w:val="32"/>
          <w:szCs w:val="32"/>
        </w:rPr>
        <w:t>（三）一般公共预算财政拨款支出决算具体情况</w:t>
      </w:r>
      <w:bookmarkEnd w:id="30"/>
    </w:p>
    <w:p w14:paraId="67191D7B">
      <w:pPr>
        <w:ind w:firstLine="800" w:firstLineChars="250"/>
        <w:rPr>
          <w:rFonts w:hint="eastAsia" w:ascii="Times New Roman" w:hAnsi="Times New Roman" w:eastAsia="仿宋_GB2312" w:cs="仿宋_GB2312"/>
          <w:color w:val="auto"/>
          <w:sz w:val="32"/>
          <w:szCs w:val="32"/>
          <w:highlight w:val="none"/>
          <w:lang w:val="en-US" w:eastAsia="zh-CN"/>
        </w:rPr>
      </w:pPr>
      <w:bookmarkStart w:id="31" w:name="_Toc15378460"/>
      <w:bookmarkStart w:id="32" w:name="_Toc15377213"/>
      <w:bookmarkStart w:id="33" w:name="_Toc15377444"/>
      <w:r>
        <w:rPr>
          <w:rFonts w:hint="eastAsia" w:ascii="Times New Roman" w:hAnsi="Times New Roman" w:eastAsia="仿宋_GB2312" w:cs="仿宋_GB2312"/>
          <w:color w:val="auto"/>
          <w:sz w:val="32"/>
          <w:szCs w:val="32"/>
          <w:highlight w:val="none"/>
          <w:lang w:val="en-US" w:eastAsia="zh-CN"/>
        </w:rPr>
        <w:t>2025年度一般公共预算支出决算数为2439.02万元，完成预算100%。其中：</w:t>
      </w:r>
      <w:bookmarkEnd w:id="31"/>
      <w:bookmarkEnd w:id="32"/>
      <w:bookmarkEnd w:id="33"/>
    </w:p>
    <w:p w14:paraId="0DE261F6">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1.一般公共服务支出（类）市场监督管理事务（款）食品安全监管（项）:支出决算为106.05万元，完成预算100%。</w:t>
      </w:r>
    </w:p>
    <w:p w14:paraId="780CAC1E">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2.一般公共服务支出（类）市场监督管理事务（款）事业运行（项）:支出决算为1915.73万元，完成预算100%。</w:t>
      </w:r>
    </w:p>
    <w:p w14:paraId="25DC005F">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3.一般公共服务支出（类）市场监督管理事务（款）其他市场监督管理事务（项）:支出决算为158.4万元，完成预算100%。</w:t>
      </w:r>
    </w:p>
    <w:p w14:paraId="142BBCD3">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4.社会保障和就业支出（类）人力资源和社会保障管理事务（款）其他人力资源和社会保障管理事务支出（项）:支出决算5.08万元，完成预算100%。</w:t>
      </w:r>
    </w:p>
    <w:p w14:paraId="47E8B80B">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5.社会保障和就业支出（类）行政事业单位养老支出（款）事业单位离退休（项）:支出决算125.88万元，完成预算100%。</w:t>
      </w:r>
    </w:p>
    <w:p w14:paraId="71447805">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6.社会保障和就业支出（类）行政事业单位养老支出（款）机关事业单位基本养老保险缴费支出（项）:支出决算50.09万元，完成预算100%。</w:t>
      </w:r>
    </w:p>
    <w:p w14:paraId="66E3FF18">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7.社会保障和就业支出（类）行政事业单位养老支出（款）机关事业单位职业年金缴费支出（项）:支出决算为34.65万元，完成预算100%。</w:t>
      </w:r>
    </w:p>
    <w:p w14:paraId="697CC14A">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8.社会保障和就业支出（类）抚恤（款）死亡抚恤（项）:支出决算为8.85万元，完成预算100%。</w:t>
      </w:r>
    </w:p>
    <w:p w14:paraId="14168E6F">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9.城乡社区支出（类）城乡社区公共设施（款）其他城乡社区公共设施支出（项）:支出决算为26万元，完成预算100%。</w:t>
      </w:r>
    </w:p>
    <w:p w14:paraId="696E01EE">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10.住房保障支出（类）住房改革支出（款）住房公积金（项）:支出决算为8.3万元，完成预算100%。</w:t>
      </w:r>
    </w:p>
    <w:p w14:paraId="2A0AA6E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s="Times New Roman"/>
          <w:color w:val="auto"/>
          <w:sz w:val="32"/>
          <w:szCs w:val="32"/>
          <w:highlight w:val="none"/>
          <w:lang w:eastAsia="zh-CN"/>
        </w:rPr>
      </w:pPr>
      <w:bookmarkStart w:id="34" w:name="_Toc15396608"/>
      <w:bookmarkStart w:id="35" w:name="_Toc15377214"/>
      <w:r>
        <w:rPr>
          <w:rFonts w:hint="eastAsia" w:ascii="Times New Roman" w:hAnsi="Times New Roman" w:eastAsia="黑体" w:cs="Times New Roman"/>
          <w:color w:val="auto"/>
          <w:sz w:val="32"/>
          <w:szCs w:val="32"/>
          <w:highlight w:val="none"/>
          <w:lang w:eastAsia="zh-CN"/>
        </w:rPr>
        <w:t>六、一般公共预算财政拨款基本支出决算情况说明</w:t>
      </w:r>
      <w:bookmarkEnd w:id="34"/>
      <w:bookmarkEnd w:id="35"/>
      <w:r>
        <w:rPr>
          <w:rFonts w:hint="eastAsia" w:ascii="Times New Roman" w:hAnsi="Times New Roman" w:eastAsia="黑体" w:cs="Times New Roman"/>
          <w:color w:val="auto"/>
          <w:sz w:val="32"/>
          <w:szCs w:val="32"/>
          <w:highlight w:val="none"/>
          <w:lang w:eastAsia="zh-CN"/>
        </w:rPr>
        <w:tab/>
      </w:r>
    </w:p>
    <w:p w14:paraId="0DA712A1">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2025年度一般公共预算财政拨款基本支出2148.58万元，其中：</w:t>
      </w:r>
    </w:p>
    <w:p w14:paraId="6E9A8B1B">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人员经费2148.58万元，主要包括：基本工资、津贴补贴、绩效工资、机关事业单位基本养老保险缴费、职业年金缴费、基本医疗保险缴费、抚恤金、生活补助、奖励金、住房公积金、其他对个人和家庭的补助支出等。</w:t>
      </w:r>
    </w:p>
    <w:p w14:paraId="302930DC">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公用经费0万元。</w:t>
      </w:r>
    </w:p>
    <w:p w14:paraId="7D7D8AEA">
      <w:pPr>
        <w:spacing w:line="600" w:lineRule="exact"/>
        <w:ind w:firstLine="640" w:firstLineChars="200"/>
        <w:outlineLvl w:val="1"/>
        <w:rPr>
          <w:rStyle w:val="29"/>
          <w:rFonts w:ascii="Times New Roman" w:hAnsi="Times New Roman" w:eastAsia="黑体"/>
          <w:b w:val="0"/>
        </w:rPr>
      </w:pPr>
      <w:bookmarkStart w:id="36" w:name="_Toc15377215"/>
      <w:bookmarkStart w:id="37" w:name="_Toc15396609"/>
      <w:r>
        <w:rPr>
          <w:rStyle w:val="29"/>
          <w:rFonts w:hint="eastAsia" w:ascii="Times New Roman" w:hAnsi="Times New Roman" w:eastAsia="黑体"/>
          <w:b w:val="0"/>
        </w:rPr>
        <w:t>七、财政拨款“三公”经费支出决算情况说明</w:t>
      </w:r>
      <w:bookmarkEnd w:id="36"/>
      <w:bookmarkEnd w:id="37"/>
    </w:p>
    <w:p w14:paraId="3AD9B195">
      <w:pPr>
        <w:spacing w:line="600" w:lineRule="exact"/>
        <w:ind w:firstLine="643" w:firstLineChars="200"/>
        <w:outlineLvl w:val="2"/>
        <w:rPr>
          <w:rFonts w:ascii="仿宋_GB2312" w:hAnsi="仿宋_GB2312" w:eastAsia="仿宋_GB2312" w:cs="仿宋_GB2312"/>
          <w:b/>
          <w:sz w:val="32"/>
          <w:szCs w:val="32"/>
        </w:rPr>
      </w:pPr>
      <w:bookmarkStart w:id="38" w:name="_Toc15377216"/>
      <w:r>
        <w:rPr>
          <w:rFonts w:hint="eastAsia" w:ascii="仿宋_GB2312" w:hAnsi="仿宋_GB2312" w:eastAsia="仿宋_GB2312" w:cs="仿宋_GB2312"/>
          <w:b/>
          <w:sz w:val="32"/>
          <w:szCs w:val="32"/>
        </w:rPr>
        <w:t>（一）财政拨款“三公”经费支出决算总体情况说明</w:t>
      </w:r>
      <w:bookmarkEnd w:id="38"/>
    </w:p>
    <w:p w14:paraId="0F67E9F6">
      <w:pPr>
        <w:ind w:firstLine="800" w:firstLineChars="25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2025年度财政拨款“三公”经费支出决算为0万元，完成预算0%，与上年度持平。决算数与预算数持平。</w:t>
      </w:r>
    </w:p>
    <w:p w14:paraId="36181EB7">
      <w:pPr>
        <w:spacing w:line="600" w:lineRule="exact"/>
        <w:ind w:firstLine="643" w:firstLineChars="200"/>
        <w:outlineLvl w:val="2"/>
        <w:rPr>
          <w:rFonts w:ascii="仿宋_GB2312" w:hAnsi="仿宋_GB2312" w:eastAsia="仿宋_GB2312" w:cs="仿宋_GB2312"/>
          <w:b/>
          <w:sz w:val="32"/>
          <w:szCs w:val="32"/>
        </w:rPr>
      </w:pPr>
      <w:bookmarkStart w:id="39" w:name="_Toc15377217"/>
      <w:r>
        <w:rPr>
          <w:rFonts w:hint="eastAsia" w:ascii="仿宋_GB2312" w:hAnsi="仿宋_GB2312" w:eastAsia="仿宋_GB2312" w:cs="仿宋_GB2312"/>
          <w:b/>
          <w:sz w:val="32"/>
          <w:szCs w:val="32"/>
        </w:rPr>
        <w:t>（二）财政拨款“三公”经费支出决算具体情况说明</w:t>
      </w:r>
      <w:bookmarkEnd w:id="39"/>
    </w:p>
    <w:p w14:paraId="68FCE89B">
      <w:pPr>
        <w:ind w:firstLine="800" w:firstLineChars="25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2025年度财政拨款“三公”经费支出决算中，因公出国（境）费支出决算0万元，占0%；公务用车购置及运行维护费支出决算0万元，占0%；公务接待费支出决算0万元，占0%。具体情况如下：</w:t>
      </w:r>
    </w:p>
    <w:p w14:paraId="6A3971E4">
      <w:pPr>
        <w:ind w:firstLine="803"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bCs/>
          <w:sz w:val="32"/>
          <w:szCs w:val="32"/>
        </w:rPr>
        <w:t>1.因公出国（境）经费支出</w:t>
      </w:r>
      <w:r>
        <w:rPr>
          <w:rFonts w:hint="eastAsia" w:eastAsia="仿宋_GB2312" w:cs="仿宋_GB2312"/>
          <w:b/>
          <w:bCs/>
          <w:sz w:val="32"/>
          <w:szCs w:val="32"/>
        </w:rPr>
        <w:t>0</w:t>
      </w:r>
      <w:r>
        <w:rPr>
          <w:rFonts w:hint="eastAsia" w:ascii="仿宋_GB2312" w:hAnsi="仿宋_GB2312" w:eastAsia="仿宋_GB2312" w:cs="仿宋_GB2312"/>
          <w:b/>
          <w:bCs/>
          <w:sz w:val="32"/>
          <w:szCs w:val="32"/>
        </w:rPr>
        <w:t>万元，完成预算</w:t>
      </w:r>
      <w:r>
        <w:rPr>
          <w:rFonts w:hint="eastAsia" w:eastAsia="仿宋_GB2312" w:cs="仿宋_GB2312"/>
          <w:b/>
          <w:bCs/>
          <w:sz w:val="32"/>
          <w:szCs w:val="32"/>
        </w:rPr>
        <w:t>0%</w:t>
      </w:r>
      <w:r>
        <w:rPr>
          <w:rFonts w:hint="eastAsia" w:ascii="仿宋_GB2312" w:hAnsi="仿宋_GB2312" w:eastAsia="仿宋_GB2312" w:cs="仿宋_GB2312"/>
          <w:b/>
          <w:bCs/>
          <w:sz w:val="32"/>
          <w:szCs w:val="32"/>
        </w:rPr>
        <w:t>。</w:t>
      </w:r>
      <w:r>
        <w:rPr>
          <w:rFonts w:hint="eastAsia" w:ascii="Times New Roman" w:hAnsi="Times New Roman" w:eastAsia="仿宋_GB2312" w:cs="仿宋_GB2312"/>
          <w:color w:val="auto"/>
          <w:sz w:val="32"/>
          <w:szCs w:val="32"/>
          <w:highlight w:val="none"/>
        </w:rPr>
        <w:t>因公出国（境）支出决算与上年度持平。</w:t>
      </w:r>
    </w:p>
    <w:p w14:paraId="6D134B74">
      <w:pPr>
        <w:ind w:firstLine="803" w:firstLineChars="250"/>
        <w:rPr>
          <w:rFonts w:ascii="仿宋_GB2312" w:hAnsi="仿宋_GB2312" w:eastAsia="仿宋_GB2312" w:cs="仿宋_GB2312"/>
          <w:sz w:val="32"/>
          <w:szCs w:val="32"/>
        </w:rPr>
      </w:pPr>
      <w:r>
        <w:rPr>
          <w:rFonts w:hint="eastAsia" w:ascii="仿宋_GB2312" w:hAnsi="仿宋_GB2312" w:eastAsia="仿宋_GB2312" w:cs="仿宋_GB2312"/>
          <w:b/>
          <w:bCs/>
          <w:sz w:val="32"/>
          <w:szCs w:val="32"/>
        </w:rPr>
        <w:t>2.公务用车购置及运行维护费支出</w:t>
      </w:r>
      <w:r>
        <w:rPr>
          <w:rFonts w:hint="eastAsia" w:eastAsia="仿宋_GB2312" w:cs="仿宋_GB2312"/>
          <w:b/>
          <w:bCs/>
          <w:sz w:val="32"/>
          <w:szCs w:val="32"/>
        </w:rPr>
        <w:t>0</w:t>
      </w:r>
      <w:r>
        <w:rPr>
          <w:rFonts w:hint="eastAsia" w:ascii="仿宋_GB2312" w:hAnsi="仿宋_GB2312" w:eastAsia="仿宋_GB2312" w:cs="仿宋_GB2312"/>
          <w:b/>
          <w:bCs/>
          <w:sz w:val="32"/>
          <w:szCs w:val="32"/>
        </w:rPr>
        <w:t>万元，完成预算</w:t>
      </w:r>
      <w:r>
        <w:rPr>
          <w:rFonts w:hint="eastAsia" w:eastAsia="仿宋_GB2312" w:cs="仿宋_GB2312"/>
          <w:b/>
          <w:bCs/>
          <w:sz w:val="32"/>
          <w:szCs w:val="32"/>
        </w:rPr>
        <w:t>0%</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公务用车购置及运行维护费支出决算与上年度持平。</w:t>
      </w:r>
    </w:p>
    <w:p w14:paraId="0B3EA7B9">
      <w:pPr>
        <w:pStyle w:val="27"/>
        <w:spacing w:line="600" w:lineRule="exact"/>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其中：公务用车购置支出</w:t>
      </w:r>
      <w:r>
        <w:rPr>
          <w:rFonts w:hint="eastAsia" w:eastAsia="仿宋_GB2312" w:cs="仿宋_GB2312"/>
          <w:sz w:val="32"/>
          <w:szCs w:val="32"/>
        </w:rPr>
        <w:t>0</w:t>
      </w:r>
      <w:r>
        <w:rPr>
          <w:rFonts w:hint="eastAsia" w:ascii="仿宋_GB2312" w:hAnsi="仿宋_GB2312" w:eastAsia="仿宋_GB2312" w:cs="仿宋_GB2312"/>
          <w:sz w:val="32"/>
          <w:szCs w:val="32"/>
        </w:rPr>
        <w:t>万元。全年按规定更新购置公务用车</w:t>
      </w:r>
      <w:r>
        <w:rPr>
          <w:rFonts w:hint="eastAsia" w:eastAsia="仿宋_GB2312" w:cs="仿宋_GB2312"/>
          <w:sz w:val="32"/>
          <w:szCs w:val="32"/>
        </w:rPr>
        <w:t>0</w:t>
      </w:r>
      <w:r>
        <w:rPr>
          <w:rFonts w:hint="eastAsia" w:ascii="仿宋_GB2312" w:hAnsi="仿宋_GB2312" w:eastAsia="仿宋_GB2312" w:cs="仿宋_GB2312"/>
          <w:sz w:val="32"/>
          <w:szCs w:val="32"/>
        </w:rPr>
        <w:t>辆，其中：轿车</w:t>
      </w:r>
      <w:r>
        <w:rPr>
          <w:rFonts w:hint="eastAsia" w:eastAsia="仿宋_GB2312" w:cs="仿宋_GB2312"/>
          <w:sz w:val="32"/>
          <w:szCs w:val="32"/>
        </w:rPr>
        <w:t>0</w:t>
      </w:r>
      <w:r>
        <w:rPr>
          <w:rFonts w:hint="eastAsia" w:ascii="仿宋_GB2312" w:hAnsi="仿宋_GB2312" w:eastAsia="仿宋_GB2312" w:cs="仿宋_GB2312"/>
          <w:sz w:val="32"/>
          <w:szCs w:val="32"/>
        </w:rPr>
        <w:t>辆、金额</w:t>
      </w:r>
      <w:r>
        <w:rPr>
          <w:rFonts w:hint="eastAsia" w:eastAsia="仿宋_GB2312" w:cs="仿宋_GB2312"/>
          <w:sz w:val="32"/>
          <w:szCs w:val="32"/>
        </w:rPr>
        <w:t>0</w:t>
      </w:r>
      <w:r>
        <w:rPr>
          <w:rFonts w:hint="eastAsia" w:ascii="仿宋_GB2312" w:hAnsi="仿宋_GB2312" w:eastAsia="仿宋_GB2312" w:cs="仿宋_GB2312"/>
          <w:sz w:val="32"/>
          <w:szCs w:val="32"/>
        </w:rPr>
        <w:t>万元，越野车</w:t>
      </w:r>
      <w:r>
        <w:rPr>
          <w:rFonts w:hint="eastAsia" w:eastAsia="仿宋_GB2312" w:cs="仿宋_GB2312"/>
          <w:sz w:val="32"/>
          <w:szCs w:val="32"/>
        </w:rPr>
        <w:t>0</w:t>
      </w:r>
      <w:r>
        <w:rPr>
          <w:rFonts w:hint="eastAsia" w:ascii="仿宋_GB2312" w:hAnsi="仿宋_GB2312" w:eastAsia="仿宋_GB2312" w:cs="仿宋_GB2312"/>
          <w:sz w:val="32"/>
          <w:szCs w:val="32"/>
        </w:rPr>
        <w:t>辆、金额</w:t>
      </w:r>
      <w:r>
        <w:rPr>
          <w:rFonts w:hint="eastAsia" w:eastAsia="仿宋_GB2312" w:cs="仿宋_GB2312"/>
          <w:sz w:val="32"/>
          <w:szCs w:val="32"/>
        </w:rPr>
        <w:t>0</w:t>
      </w:r>
      <w:r>
        <w:rPr>
          <w:rFonts w:hint="eastAsia" w:ascii="仿宋_GB2312" w:hAnsi="仿宋_GB2312" w:eastAsia="仿宋_GB2312" w:cs="仿宋_GB2312"/>
          <w:sz w:val="32"/>
          <w:szCs w:val="32"/>
        </w:rPr>
        <w:t>万元，载客汽车</w:t>
      </w:r>
      <w:r>
        <w:rPr>
          <w:rFonts w:hint="eastAsia" w:eastAsia="仿宋_GB2312" w:cs="仿宋_GB2312"/>
          <w:sz w:val="32"/>
          <w:szCs w:val="32"/>
        </w:rPr>
        <w:t>0</w:t>
      </w:r>
      <w:r>
        <w:rPr>
          <w:rFonts w:hint="eastAsia" w:ascii="仿宋_GB2312" w:hAnsi="仿宋_GB2312" w:eastAsia="仿宋_GB2312" w:cs="仿宋_GB2312"/>
          <w:sz w:val="32"/>
          <w:szCs w:val="32"/>
        </w:rPr>
        <w:t>辆、金额0万元。截至</w:t>
      </w:r>
      <w:r>
        <w:rPr>
          <w:rFonts w:hint="eastAsia" w:eastAsia="仿宋_GB2312" w:cs="仿宋_GB2312"/>
          <w:sz w:val="32"/>
          <w:szCs w:val="32"/>
        </w:rPr>
        <w:t>2025</w:t>
      </w:r>
      <w:r>
        <w:rPr>
          <w:rFonts w:hint="eastAsia" w:ascii="仿宋_GB2312" w:hAnsi="仿宋_GB2312" w:eastAsia="仿宋_GB2312" w:cs="仿宋_GB2312"/>
          <w:sz w:val="32"/>
          <w:szCs w:val="32"/>
        </w:rPr>
        <w:t>年</w:t>
      </w:r>
      <w:r>
        <w:rPr>
          <w:rFonts w:hint="eastAsia" w:eastAsia="仿宋_GB2312" w:cs="仿宋_GB2312"/>
          <w:sz w:val="32"/>
          <w:szCs w:val="32"/>
        </w:rPr>
        <w:t>12</w:t>
      </w:r>
      <w:r>
        <w:rPr>
          <w:rFonts w:hint="eastAsia" w:ascii="仿宋_GB2312" w:hAnsi="仿宋_GB2312" w:eastAsia="仿宋_GB2312" w:cs="仿宋_GB2312"/>
          <w:sz w:val="32"/>
          <w:szCs w:val="32"/>
        </w:rPr>
        <w:t>月</w:t>
      </w:r>
      <w:r>
        <w:rPr>
          <w:rFonts w:hint="eastAsia" w:eastAsia="仿宋_GB2312" w:cs="仿宋_GB2312"/>
          <w:sz w:val="32"/>
          <w:szCs w:val="32"/>
        </w:rPr>
        <w:t>31</w:t>
      </w:r>
      <w:r>
        <w:rPr>
          <w:rFonts w:hint="eastAsia" w:ascii="仿宋_GB2312" w:hAnsi="仿宋_GB2312" w:eastAsia="仿宋_GB2312" w:cs="仿宋_GB2312"/>
          <w:sz w:val="32"/>
          <w:szCs w:val="32"/>
        </w:rPr>
        <w:t>日，单位共有公务用车</w:t>
      </w:r>
      <w:r>
        <w:rPr>
          <w:rFonts w:hint="eastAsia" w:eastAsia="仿宋_GB2312" w:cs="仿宋_GB2312"/>
          <w:sz w:val="32"/>
          <w:szCs w:val="32"/>
        </w:rPr>
        <w:t>19</w:t>
      </w:r>
      <w:r>
        <w:rPr>
          <w:rFonts w:hint="eastAsia" w:ascii="仿宋_GB2312" w:hAnsi="仿宋_GB2312" w:eastAsia="仿宋_GB2312" w:cs="仿宋_GB2312"/>
          <w:sz w:val="32"/>
          <w:szCs w:val="32"/>
        </w:rPr>
        <w:t>辆，其中：轿车</w:t>
      </w:r>
      <w:r>
        <w:rPr>
          <w:rFonts w:hint="eastAsia" w:eastAsia="仿宋_GB2312" w:cs="仿宋_GB2312"/>
          <w:sz w:val="32"/>
          <w:szCs w:val="32"/>
        </w:rPr>
        <w:t>4</w:t>
      </w:r>
      <w:r>
        <w:rPr>
          <w:rFonts w:hint="eastAsia" w:ascii="仿宋_GB2312" w:hAnsi="仿宋_GB2312" w:eastAsia="仿宋_GB2312" w:cs="仿宋_GB2312"/>
          <w:sz w:val="32"/>
          <w:szCs w:val="32"/>
        </w:rPr>
        <w:t>辆、越野车</w:t>
      </w:r>
      <w:r>
        <w:rPr>
          <w:rFonts w:hint="eastAsia" w:eastAsia="仿宋_GB2312" w:cs="仿宋_GB2312"/>
          <w:sz w:val="32"/>
          <w:szCs w:val="32"/>
        </w:rPr>
        <w:t>7</w:t>
      </w:r>
      <w:r>
        <w:rPr>
          <w:rFonts w:hint="eastAsia" w:ascii="仿宋_GB2312" w:hAnsi="仿宋_GB2312" w:eastAsia="仿宋_GB2312" w:cs="仿宋_GB2312"/>
          <w:sz w:val="32"/>
          <w:szCs w:val="32"/>
        </w:rPr>
        <w:t>辆、载客汽车</w:t>
      </w:r>
      <w:r>
        <w:rPr>
          <w:rFonts w:hint="eastAsia" w:eastAsia="仿宋_GB2312" w:cs="仿宋_GB2312"/>
          <w:sz w:val="32"/>
          <w:szCs w:val="32"/>
        </w:rPr>
        <w:t>1</w:t>
      </w:r>
      <w:r>
        <w:rPr>
          <w:rFonts w:hint="eastAsia" w:ascii="仿宋_GB2312" w:hAnsi="仿宋_GB2312" w:eastAsia="仿宋_GB2312" w:cs="仿宋_GB2312"/>
          <w:sz w:val="32"/>
          <w:szCs w:val="32"/>
        </w:rPr>
        <w:t>辆。</w:t>
      </w:r>
    </w:p>
    <w:p w14:paraId="7ED6864C">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公务用车运行维护费支出</w:t>
      </w:r>
      <w:r>
        <w:rPr>
          <w:rFonts w:hint="eastAsia" w:eastAsia="仿宋_GB2312" w:cs="仿宋_GB2312"/>
          <w:sz w:val="32"/>
          <w:szCs w:val="32"/>
        </w:rPr>
        <w:t>0</w:t>
      </w:r>
      <w:r>
        <w:rPr>
          <w:rFonts w:hint="eastAsia" w:ascii="仿宋_GB2312" w:hAnsi="仿宋_GB2312" w:eastAsia="仿宋_GB2312" w:cs="仿宋_GB2312"/>
          <w:sz w:val="32"/>
          <w:szCs w:val="32"/>
        </w:rPr>
        <w:t>万元。</w:t>
      </w:r>
    </w:p>
    <w:p w14:paraId="6B5D2792">
      <w:pPr>
        <w:ind w:firstLine="803" w:firstLineChars="250"/>
        <w:rPr>
          <w:rFonts w:ascii="仿宋_GB2312" w:hAnsi="仿宋_GB2312" w:eastAsia="仿宋_GB2312" w:cs="仿宋_GB2312"/>
          <w:sz w:val="32"/>
          <w:szCs w:val="32"/>
        </w:rPr>
      </w:pPr>
      <w:bookmarkStart w:id="40" w:name="_Toc15377218"/>
      <w:bookmarkStart w:id="41" w:name="_Toc15396610"/>
      <w:r>
        <w:rPr>
          <w:rFonts w:hint="eastAsia" w:ascii="仿宋_GB2312" w:hAnsi="仿宋_GB2312" w:eastAsia="仿宋_GB2312" w:cs="仿宋_GB2312"/>
          <w:b/>
          <w:bCs/>
          <w:sz w:val="32"/>
          <w:szCs w:val="32"/>
        </w:rPr>
        <w:t>3.公务接待费支出</w:t>
      </w:r>
      <w:r>
        <w:rPr>
          <w:rFonts w:hint="eastAsia" w:eastAsia="仿宋_GB2312" w:cs="仿宋_GB2312"/>
          <w:b/>
          <w:bCs/>
          <w:sz w:val="32"/>
          <w:szCs w:val="32"/>
        </w:rPr>
        <w:t>0</w:t>
      </w:r>
      <w:r>
        <w:rPr>
          <w:rFonts w:hint="eastAsia" w:ascii="仿宋_GB2312" w:hAnsi="仿宋_GB2312" w:eastAsia="仿宋_GB2312" w:cs="仿宋_GB2312"/>
          <w:b/>
          <w:bCs/>
          <w:sz w:val="32"/>
          <w:szCs w:val="32"/>
        </w:rPr>
        <w:t>万元，完成预算</w:t>
      </w:r>
      <w:r>
        <w:rPr>
          <w:rFonts w:hint="eastAsia" w:eastAsia="仿宋_GB2312" w:cs="仿宋_GB2312"/>
          <w:b/>
          <w:bCs/>
          <w:sz w:val="32"/>
          <w:szCs w:val="32"/>
        </w:rPr>
        <w:t>0%</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公务接待费支出决算与上年度持平。</w:t>
      </w:r>
    </w:p>
    <w:p w14:paraId="7B026CB5">
      <w:pPr>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国内公务接待支出</w:t>
      </w:r>
      <w:r>
        <w:rPr>
          <w:rFonts w:hint="eastAsia" w:eastAsia="仿宋_GB2312" w:cs="仿宋_GB2312"/>
          <w:sz w:val="32"/>
          <w:szCs w:val="32"/>
        </w:rPr>
        <w:t>0</w:t>
      </w:r>
      <w:r>
        <w:rPr>
          <w:rFonts w:hint="eastAsia" w:ascii="仿宋_GB2312" w:hAnsi="仿宋_GB2312" w:eastAsia="仿宋_GB2312" w:cs="仿宋_GB2312"/>
          <w:sz w:val="32"/>
          <w:szCs w:val="32"/>
        </w:rPr>
        <w:t>万元。国内公务接待</w:t>
      </w:r>
      <w:r>
        <w:rPr>
          <w:rFonts w:hint="eastAsia" w:eastAsia="仿宋_GB2312" w:cs="仿宋_GB2312"/>
          <w:sz w:val="32"/>
          <w:szCs w:val="32"/>
        </w:rPr>
        <w:t>0</w:t>
      </w:r>
      <w:r>
        <w:rPr>
          <w:rFonts w:hint="eastAsia" w:ascii="仿宋_GB2312" w:hAnsi="仿宋_GB2312" w:eastAsia="仿宋_GB2312" w:cs="仿宋_GB2312"/>
          <w:sz w:val="32"/>
          <w:szCs w:val="32"/>
        </w:rPr>
        <w:t>批次，</w:t>
      </w:r>
      <w:r>
        <w:rPr>
          <w:rFonts w:hint="eastAsia" w:eastAsia="仿宋_GB2312" w:cs="仿宋_GB2312"/>
          <w:sz w:val="32"/>
          <w:szCs w:val="32"/>
        </w:rPr>
        <w:t>0</w:t>
      </w:r>
      <w:r>
        <w:rPr>
          <w:rFonts w:hint="eastAsia" w:ascii="仿宋_GB2312" w:hAnsi="仿宋_GB2312" w:eastAsia="仿宋_GB2312" w:cs="仿宋_GB2312"/>
          <w:sz w:val="32"/>
          <w:szCs w:val="32"/>
        </w:rPr>
        <w:t>人次（不包括陪同人员），共计支出</w:t>
      </w:r>
      <w:r>
        <w:rPr>
          <w:rFonts w:hint="eastAsia" w:eastAsia="仿宋_GB2312" w:cs="仿宋_GB2312"/>
          <w:sz w:val="32"/>
          <w:szCs w:val="32"/>
        </w:rPr>
        <w:t>0</w:t>
      </w:r>
      <w:r>
        <w:rPr>
          <w:rFonts w:hint="eastAsia" w:ascii="仿宋_GB2312" w:hAnsi="仿宋_GB2312" w:eastAsia="仿宋_GB2312" w:cs="仿宋_GB2312"/>
          <w:sz w:val="32"/>
          <w:szCs w:val="32"/>
        </w:rPr>
        <w:t>万元。</w:t>
      </w:r>
    </w:p>
    <w:p w14:paraId="11A2F6C3">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外事接待支出</w:t>
      </w:r>
      <w:r>
        <w:rPr>
          <w:rFonts w:hint="eastAsia" w:eastAsia="仿宋_GB2312" w:cs="仿宋_GB2312"/>
          <w:sz w:val="32"/>
          <w:szCs w:val="32"/>
        </w:rPr>
        <w:t>0</w:t>
      </w:r>
      <w:r>
        <w:rPr>
          <w:rFonts w:hint="eastAsia" w:ascii="仿宋_GB2312" w:hAnsi="仿宋_GB2312" w:eastAsia="仿宋_GB2312" w:cs="仿宋_GB2312"/>
          <w:sz w:val="32"/>
          <w:szCs w:val="32"/>
        </w:rPr>
        <w:t>万元。外事接待</w:t>
      </w:r>
      <w:r>
        <w:rPr>
          <w:rFonts w:hint="eastAsia" w:eastAsia="仿宋_GB2312" w:cs="仿宋_GB2312"/>
          <w:sz w:val="32"/>
          <w:szCs w:val="32"/>
        </w:rPr>
        <w:t>0</w:t>
      </w:r>
      <w:r>
        <w:rPr>
          <w:rFonts w:hint="eastAsia" w:ascii="仿宋_GB2312" w:hAnsi="仿宋_GB2312" w:eastAsia="仿宋_GB2312" w:cs="仿宋_GB2312"/>
          <w:sz w:val="32"/>
          <w:szCs w:val="32"/>
        </w:rPr>
        <w:t>批次，</w:t>
      </w:r>
      <w:r>
        <w:rPr>
          <w:rFonts w:hint="eastAsia" w:eastAsia="仿宋_GB2312" w:cs="仿宋_GB2312"/>
          <w:sz w:val="32"/>
          <w:szCs w:val="32"/>
        </w:rPr>
        <w:t>0</w:t>
      </w:r>
      <w:r>
        <w:rPr>
          <w:rFonts w:hint="eastAsia" w:ascii="仿宋_GB2312" w:hAnsi="仿宋_GB2312" w:eastAsia="仿宋_GB2312" w:cs="仿宋_GB2312"/>
          <w:sz w:val="32"/>
          <w:szCs w:val="32"/>
        </w:rPr>
        <w:t>人次（不包括陪同人员），共计支出</w:t>
      </w:r>
      <w:r>
        <w:rPr>
          <w:rFonts w:hint="eastAsia" w:eastAsia="仿宋_GB2312" w:cs="仿宋_GB2312"/>
          <w:sz w:val="32"/>
          <w:szCs w:val="32"/>
        </w:rPr>
        <w:t>0</w:t>
      </w:r>
      <w:r>
        <w:rPr>
          <w:rFonts w:hint="eastAsia" w:ascii="仿宋_GB2312" w:hAnsi="仿宋_GB2312" w:eastAsia="仿宋_GB2312" w:cs="仿宋_GB2312"/>
          <w:sz w:val="32"/>
          <w:szCs w:val="32"/>
        </w:rPr>
        <w:t>万元。</w:t>
      </w:r>
    </w:p>
    <w:p w14:paraId="6730C8CF">
      <w:pPr>
        <w:spacing w:line="600" w:lineRule="exact"/>
        <w:ind w:firstLine="640" w:firstLineChars="200"/>
        <w:outlineLvl w:val="1"/>
        <w:rPr>
          <w:rStyle w:val="29"/>
          <w:rFonts w:ascii="Times New Roman" w:hAnsi="Times New Roman" w:eastAsia="黑体"/>
          <w:b w:val="0"/>
        </w:rPr>
      </w:pPr>
      <w:r>
        <w:rPr>
          <w:rStyle w:val="29"/>
          <w:rFonts w:hint="eastAsia" w:ascii="Times New Roman" w:hAnsi="Times New Roman" w:eastAsia="黑体"/>
          <w:b w:val="0"/>
        </w:rPr>
        <w:t>八、政府性基金预算支出决算情况说明</w:t>
      </w:r>
      <w:bookmarkEnd w:id="40"/>
      <w:bookmarkEnd w:id="41"/>
    </w:p>
    <w:p w14:paraId="4B0C9294">
      <w:pPr>
        <w:ind w:firstLine="800" w:firstLineChars="25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2025年度政府性基金预算财政拨款支出594.12万元，占本年支出合计的11.3%。与上年度相比，政府性基金预算财政拨款支出减少4411.76万元，下降88.1%。主要变动原因是减少政府专项债收入支出。</w:t>
      </w:r>
    </w:p>
    <w:p w14:paraId="16DA343A">
      <w:pPr>
        <w:spacing w:line="600" w:lineRule="exact"/>
        <w:ind w:firstLine="640" w:firstLineChars="200"/>
        <w:outlineLvl w:val="1"/>
        <w:rPr>
          <w:rStyle w:val="29"/>
          <w:rFonts w:ascii="Times New Roman" w:hAnsi="Times New Roman" w:eastAsia="黑体"/>
          <w:b w:val="0"/>
        </w:rPr>
      </w:pPr>
      <w:bookmarkStart w:id="42" w:name="_Toc15377219"/>
      <w:bookmarkStart w:id="43" w:name="_Toc15396611"/>
      <w:r>
        <w:rPr>
          <w:rStyle w:val="29"/>
          <w:rFonts w:hint="eastAsia" w:ascii="Times New Roman" w:hAnsi="Times New Roman" w:eastAsia="黑体"/>
          <w:b w:val="0"/>
        </w:rPr>
        <w:t>九、国有资本经营预算支出决算情况说明</w:t>
      </w:r>
      <w:bookmarkEnd w:id="42"/>
      <w:bookmarkEnd w:id="43"/>
    </w:p>
    <w:p w14:paraId="22B1F5EF">
      <w:pPr>
        <w:ind w:firstLine="800" w:firstLineChars="25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2025年度国有资本经营预算财政拨款支出0万元</w:t>
      </w:r>
      <w:bookmarkStart w:id="44" w:name="_Toc15377221"/>
      <w:bookmarkStart w:id="45" w:name="_Toc15396612"/>
      <w:r>
        <w:rPr>
          <w:rFonts w:hint="eastAsia" w:ascii="Times New Roman" w:hAnsi="Times New Roman" w:eastAsia="仿宋_GB2312" w:cs="仿宋_GB2312"/>
          <w:color w:val="auto"/>
          <w:sz w:val="32"/>
          <w:szCs w:val="32"/>
          <w:highlight w:val="none"/>
        </w:rPr>
        <w:t>，支出数与上年持平。</w:t>
      </w:r>
    </w:p>
    <w:p w14:paraId="45286630">
      <w:pPr>
        <w:spacing w:line="600" w:lineRule="exact"/>
        <w:ind w:firstLine="640" w:firstLineChars="200"/>
        <w:outlineLvl w:val="1"/>
        <w:rPr>
          <w:rStyle w:val="29"/>
          <w:rFonts w:ascii="Times New Roman" w:hAnsi="Times New Roman" w:eastAsia="黑体"/>
          <w:b w:val="0"/>
        </w:rPr>
      </w:pPr>
      <w:r>
        <w:rPr>
          <w:rStyle w:val="29"/>
          <w:rFonts w:hint="eastAsia" w:ascii="Times New Roman" w:hAnsi="Times New Roman" w:eastAsia="黑体"/>
          <w:b w:val="0"/>
        </w:rPr>
        <w:t>十、其他重要事项的情况说明</w:t>
      </w:r>
      <w:bookmarkEnd w:id="44"/>
      <w:bookmarkEnd w:id="45"/>
    </w:p>
    <w:p w14:paraId="000ED0C0">
      <w:pPr>
        <w:spacing w:line="600" w:lineRule="exact"/>
        <w:ind w:firstLine="643" w:firstLineChars="200"/>
        <w:outlineLvl w:val="2"/>
        <w:rPr>
          <w:rFonts w:ascii="仿宋_GB2312" w:hAnsi="仿宋_GB2312" w:eastAsia="仿宋_GB2312" w:cs="仿宋_GB2312"/>
          <w:b/>
          <w:sz w:val="32"/>
          <w:szCs w:val="32"/>
        </w:rPr>
      </w:pPr>
      <w:bookmarkStart w:id="46" w:name="_Toc15377222"/>
      <w:r>
        <w:rPr>
          <w:rFonts w:hint="eastAsia" w:ascii="仿宋_GB2312" w:hAnsi="仿宋_GB2312" w:eastAsia="仿宋_GB2312" w:cs="仿宋_GB2312"/>
          <w:b/>
          <w:sz w:val="32"/>
          <w:szCs w:val="32"/>
        </w:rPr>
        <w:t>（一）机关运行经费支出情况</w:t>
      </w:r>
      <w:bookmarkEnd w:id="46"/>
    </w:p>
    <w:p w14:paraId="5AE8A8B5">
      <w:pPr>
        <w:ind w:firstLine="800" w:firstLineChars="250"/>
        <w:rPr>
          <w:rFonts w:eastAsia="仿宋_GB2312" w:cs="仿宋_GB2312"/>
          <w:sz w:val="32"/>
          <w:szCs w:val="32"/>
        </w:rPr>
      </w:pPr>
      <w:bookmarkStart w:id="47" w:name="_Toc15377223"/>
      <w:r>
        <w:rPr>
          <w:rFonts w:hint="eastAsia" w:eastAsia="仿宋_GB2312" w:cs="仿宋_GB2312"/>
          <w:sz w:val="32"/>
          <w:szCs w:val="32"/>
        </w:rPr>
        <w:t>2025年度，攀西钒钛检验检测院机关运行经费支出0万元。攀西院是事业单位，无机关运行经费支出。</w:t>
      </w:r>
    </w:p>
    <w:p w14:paraId="598D9C08">
      <w:pPr>
        <w:spacing w:line="600" w:lineRule="exact"/>
        <w:ind w:firstLine="643" w:firstLineChars="200"/>
        <w:outlineLvl w:val="2"/>
        <w:rPr>
          <w:rFonts w:ascii="仿宋_GB2312" w:hAnsi="仿宋_GB2312" w:eastAsia="仿宋_GB2312" w:cs="仿宋_GB2312"/>
          <w:b/>
          <w:sz w:val="32"/>
          <w:szCs w:val="32"/>
        </w:rPr>
      </w:pPr>
      <w:r>
        <w:rPr>
          <w:rFonts w:hint="eastAsia" w:ascii="仿宋_GB2312" w:hAnsi="仿宋_GB2312" w:eastAsia="仿宋_GB2312" w:cs="仿宋_GB2312"/>
          <w:b/>
          <w:sz w:val="32"/>
          <w:szCs w:val="32"/>
        </w:rPr>
        <w:t>（二）政府采购支出情况</w:t>
      </w:r>
      <w:bookmarkEnd w:id="47"/>
    </w:p>
    <w:p w14:paraId="3108121B">
      <w:pPr>
        <w:ind w:firstLine="800" w:firstLineChars="250"/>
        <w:rPr>
          <w:rFonts w:eastAsia="仿宋_GB2312" w:cs="仿宋_GB2312"/>
          <w:sz w:val="32"/>
          <w:szCs w:val="32"/>
        </w:rPr>
      </w:pPr>
      <w:r>
        <w:rPr>
          <w:rFonts w:hint="eastAsia" w:eastAsia="仿宋_GB2312" w:cs="仿宋_GB2312"/>
          <w:sz w:val="32"/>
          <w:szCs w:val="32"/>
        </w:rPr>
        <w:t>2025年度，攀西钒钛检验检测院政府采购支出总额682.33万元，其中：政府采购货物支出663.93万元、政府采购工程支出0万元、政府采购服务支出18.4万元。主要用于主要用于购置产品质检、食品药品检验、特种设备检测等专用设备，有利于业务开展。授予中小企业合同金额577.92万元，占政府采购支出总额的84.7%，其中：授予小微企业合同金额544.95万元，占政府采购支出总额的79.9%。</w:t>
      </w:r>
    </w:p>
    <w:p w14:paraId="27629B3C">
      <w:pPr>
        <w:spacing w:line="600" w:lineRule="exact"/>
        <w:ind w:firstLine="643" w:firstLineChars="200"/>
        <w:outlineLvl w:val="2"/>
        <w:rPr>
          <w:rFonts w:ascii="仿宋_GB2312" w:hAnsi="仿宋_GB2312" w:eastAsia="仿宋_GB2312" w:cs="仿宋_GB2312"/>
          <w:b/>
          <w:sz w:val="32"/>
          <w:szCs w:val="32"/>
        </w:rPr>
      </w:pPr>
      <w:bookmarkStart w:id="48" w:name="_Toc15377224"/>
      <w:r>
        <w:rPr>
          <w:rFonts w:hint="eastAsia" w:ascii="仿宋_GB2312" w:hAnsi="仿宋_GB2312" w:eastAsia="仿宋_GB2312" w:cs="仿宋_GB2312"/>
          <w:b/>
          <w:sz w:val="32"/>
          <w:szCs w:val="32"/>
        </w:rPr>
        <w:t>（三）国有资产占有使用情况</w:t>
      </w:r>
      <w:bookmarkEnd w:id="48"/>
    </w:p>
    <w:p w14:paraId="0DF92E1D">
      <w:pPr>
        <w:ind w:firstLine="800" w:firstLineChars="250"/>
        <w:rPr>
          <w:rFonts w:eastAsia="仿宋_GB2312" w:cs="仿宋_GB2312"/>
          <w:sz w:val="32"/>
          <w:szCs w:val="32"/>
        </w:rPr>
      </w:pPr>
      <w:r>
        <w:rPr>
          <w:rFonts w:hint="eastAsia" w:eastAsia="仿宋_GB2312" w:cs="仿宋_GB2312"/>
          <w:sz w:val="32"/>
          <w:szCs w:val="32"/>
        </w:rPr>
        <w:t>截至2025年12月31日，攀西钒钛检验检测院共有车辆19辆，其中：副部（省）级及以上领导用车0辆、主要负责人用车0辆、机要通信用车0辆、应急保障用车0辆、执法执勤用车0辆、特种专业技术用车9辆、离退休干部服务用车0辆、其他用车10辆，其他用车主要是用于开展检验检测工作。单价100万元（含）以上设备（不含车辆）23台（套）。</w:t>
      </w:r>
    </w:p>
    <w:p w14:paraId="2F4A8A45">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4E5B7866">
      <w:pPr>
        <w:ind w:firstLine="800" w:firstLineChars="250"/>
        <w:rPr>
          <w:rFonts w:eastAsia="仿宋_GB2312" w:cs="仿宋_GB2312"/>
          <w:sz w:val="32"/>
          <w:szCs w:val="32"/>
        </w:rPr>
      </w:pPr>
      <w:r>
        <w:rPr>
          <w:rFonts w:hint="eastAsia" w:eastAsia="仿宋_GB2312" w:cs="仿宋_GB2312"/>
          <w:sz w:val="32"/>
          <w:szCs w:val="32"/>
        </w:rPr>
        <w:t>根据预算绩效管理要求，本单位对13个项目编制了绩效目标；预算执行过程中，选取13个项目开展绩效监控。</w:t>
      </w:r>
    </w:p>
    <w:p w14:paraId="7845492B">
      <w:pPr>
        <w:rPr>
          <w:rFonts w:eastAsia="黑体"/>
          <w:sz w:val="44"/>
          <w:szCs w:val="44"/>
        </w:rPr>
        <w:sectPr>
          <w:footerReference r:id="rId7" w:type="first"/>
          <w:footerReference r:id="rId6" w:type="default"/>
          <w:pgSz w:w="11906" w:h="16838"/>
          <w:pgMar w:top="1440" w:right="1800" w:bottom="1440" w:left="1800" w:header="851" w:footer="992" w:gutter="0"/>
          <w:pgNumType w:start="2"/>
          <w:cols w:space="425" w:num="1"/>
          <w:docGrid w:type="lines" w:linePitch="312" w:charSpace="0"/>
        </w:sectPr>
      </w:pPr>
      <w:bookmarkStart w:id="49" w:name="_Toc15377225"/>
      <w:bookmarkStart w:id="50" w:name="_Toc15396613"/>
    </w:p>
    <w:p w14:paraId="111C080A">
      <w:pPr>
        <w:pStyle w:val="2"/>
      </w:pPr>
    </w:p>
    <w:p w14:paraId="0EA1BB1A">
      <w:pPr>
        <w:spacing w:line="600" w:lineRule="exact"/>
        <w:jc w:val="center"/>
        <w:outlineLvl w:val="0"/>
        <w:rPr>
          <w:b/>
          <w:sz w:val="44"/>
          <w:szCs w:val="44"/>
        </w:rPr>
      </w:pPr>
      <w:r>
        <w:rPr>
          <w:rFonts w:hint="eastAsia" w:eastAsia="黑体"/>
          <w:sz w:val="44"/>
          <w:szCs w:val="44"/>
        </w:rPr>
        <w:t>第三部分  名词解释</w:t>
      </w:r>
      <w:bookmarkEnd w:id="49"/>
      <w:bookmarkEnd w:id="50"/>
    </w:p>
    <w:p w14:paraId="4060A6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1" w:name="_Toc7002"/>
      <w:bookmarkStart w:id="52" w:name="_Toc15396614"/>
      <w:bookmarkStart w:id="53" w:name="_Toc15377226"/>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bookmarkEnd w:id="51"/>
    </w:p>
    <w:p w14:paraId="440066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2.经营收入：指事业单位在专业业务活动及其辅助活动之外开展非独立核算经营活动取得的收入。</w:t>
      </w:r>
    </w:p>
    <w:p w14:paraId="04D547E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3.使用非财政拨款结余：指事业单位使用以前年度积累的非财政拨款结余弥补当年收支差额的金额。</w:t>
      </w:r>
    </w:p>
    <w:p w14:paraId="3D6484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4.年初结转和结余：指以前年度尚未完成、结转到本年按有关规定继续使用的资金。</w:t>
      </w:r>
    </w:p>
    <w:p w14:paraId="77A6FFB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5.年末结转和结余：指单位按有关规定结转到下年或以后年度继续使用的资金。</w:t>
      </w:r>
    </w:p>
    <w:p w14:paraId="7AF518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6.一般公共服务支出（类）市场监督管理事务（款）药品事务（项）:反映用于药品（含中药、民族药）监督管理方面的支出。</w:t>
      </w:r>
    </w:p>
    <w:p w14:paraId="22F0529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7.一般公共服务支出（类）市场监督管理事务（款）食品安全监管（项）:反映用于食品监督管理方面的支出。</w:t>
      </w:r>
    </w:p>
    <w:p w14:paraId="15F75A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8.一般公共服务（类）市场监督管理事务（款）事业运行（项）:指用于事业单位的基本支出。</w:t>
      </w:r>
    </w:p>
    <w:p w14:paraId="7E4E28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9.一般公共服务（类）市场监督管理事务（款）其他市场监督管理事务（项）:指反映用于除上述项目以外其他市场监督管理事务方面的支出。</w:t>
      </w:r>
    </w:p>
    <w:p w14:paraId="4017D73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10.社会保障和就业（类）行政事业单位离退休（款）事业单位离退休（项）:指事业单位开支的离退休支出。</w:t>
      </w:r>
    </w:p>
    <w:p w14:paraId="09323D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11.社会保障和就业支出（类）行政事业单位养老支出（款）机关事业单位职业年金缴费支出（项）:指机关事业单位实施养老保险制度由单位实际缴纳的职业年金支出。</w:t>
      </w:r>
    </w:p>
    <w:p w14:paraId="01CD4E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12.社会保障和就业支出（类）抚恤（款）死亡抚恤（项）:指按规定用于烈士和牺牲、病故人员家属的一次性和定期抚恤金、丧葬补助。</w:t>
      </w:r>
    </w:p>
    <w:p w14:paraId="67DF490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13.卫生健康支出（类）行政事业单位医疗（款）公务员医疗补助（项）:反映财政部门安排的公务员医疗补助经费。</w:t>
      </w:r>
    </w:p>
    <w:p w14:paraId="6ECDBAC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14.基本支出：指为保障机构正常运转、完成日常工作任务而发生的人员支出和公用支出。</w:t>
      </w:r>
    </w:p>
    <w:p w14:paraId="164A21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15.项目支出：指在基本支出之外为完成特定行政任务和事业发展目标所发生的支出。 </w:t>
      </w:r>
    </w:p>
    <w:p w14:paraId="5187858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5C736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17.经营支出：指事业单位在专业业务活动及其辅助活动之外开展非独立核算经营活动发生的支出。</w:t>
      </w:r>
    </w:p>
    <w:p w14:paraId="51C0E664">
      <w:pPr>
        <w:rPr>
          <w:rFonts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4BE34185">
      <w:pPr>
        <w:spacing w:line="600" w:lineRule="exact"/>
        <w:jc w:val="center"/>
        <w:rPr>
          <w:rStyle w:val="28"/>
          <w:rFonts w:eastAsia="黑体"/>
          <w:b w:val="0"/>
        </w:rPr>
      </w:pPr>
      <w:r>
        <w:rPr>
          <w:rFonts w:hint="eastAsia" w:eastAsia="黑体"/>
          <w:sz w:val="44"/>
          <w:szCs w:val="44"/>
        </w:rPr>
        <w:t>第四部分  附件</w:t>
      </w:r>
      <w:bookmarkEnd w:id="52"/>
    </w:p>
    <w:p w14:paraId="1A9B8076">
      <w:pPr>
        <w:spacing w:line="572" w:lineRule="exact"/>
        <w:jc w:val="left"/>
        <w:outlineLvl w:val="0"/>
        <w:rPr>
          <w:rFonts w:eastAsia="黑体" w:cs="黑体"/>
          <w:color w:val="FF0000"/>
          <w:sz w:val="32"/>
          <w:szCs w:val="32"/>
        </w:rPr>
      </w:pPr>
    </w:p>
    <w:p w14:paraId="0E2B51F3">
      <w:pPr>
        <w:pStyle w:val="3"/>
        <w:spacing w:line="560" w:lineRule="exact"/>
        <w:ind w:left="0" w:leftChars="0" w:firstLine="640"/>
        <w:rPr>
          <w:rFonts w:ascii="Times New Roman" w:eastAsia="仿宋_GB2312"/>
          <w:sz w:val="32"/>
          <w:lang w:val="zh-CN" w:bidi="ar"/>
        </w:rPr>
      </w:pPr>
    </w:p>
    <w:p w14:paraId="2EF6BE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部门预算项目支出绩效自评表（2025年度）</w:t>
      </w:r>
    </w:p>
    <w:p w14:paraId="40D4AB9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见附件</w:t>
      </w:r>
    </w:p>
    <w:p w14:paraId="3D9A7AC0">
      <w:pPr>
        <w:widowControl/>
        <w:jc w:val="center"/>
        <w:rPr>
          <w:rFonts w:ascii="仿宋_GB2312" w:hAnsi="仿宋_GB2312" w:eastAsia="仿宋_GB2312" w:cs="仿宋_GB2312"/>
          <w:sz w:val="44"/>
          <w:szCs w:val="44"/>
        </w:rPr>
      </w:pPr>
      <w:bookmarkStart w:id="54" w:name="_Toc15396618"/>
    </w:p>
    <w:p w14:paraId="3D0EBE55">
      <w:pPr>
        <w:widowControl/>
        <w:jc w:val="center"/>
        <w:rPr>
          <w:rFonts w:eastAsia="黑体"/>
          <w:sz w:val="44"/>
          <w:szCs w:val="44"/>
        </w:rPr>
      </w:pPr>
    </w:p>
    <w:p w14:paraId="2FE9495E">
      <w:pPr>
        <w:widowControl/>
        <w:jc w:val="center"/>
        <w:rPr>
          <w:rFonts w:eastAsia="黑体"/>
          <w:sz w:val="44"/>
          <w:szCs w:val="44"/>
        </w:rPr>
      </w:pPr>
    </w:p>
    <w:p w14:paraId="6A806130">
      <w:pPr>
        <w:widowControl/>
        <w:jc w:val="center"/>
        <w:rPr>
          <w:rFonts w:eastAsia="黑体"/>
          <w:sz w:val="44"/>
          <w:szCs w:val="44"/>
        </w:rPr>
      </w:pPr>
    </w:p>
    <w:p w14:paraId="4A15B7EB">
      <w:pPr>
        <w:widowControl/>
        <w:jc w:val="center"/>
        <w:rPr>
          <w:rFonts w:eastAsia="黑体"/>
          <w:sz w:val="44"/>
          <w:szCs w:val="44"/>
        </w:rPr>
      </w:pPr>
    </w:p>
    <w:p w14:paraId="1FE615C6">
      <w:pPr>
        <w:widowControl/>
        <w:jc w:val="center"/>
        <w:rPr>
          <w:rFonts w:eastAsia="黑体"/>
          <w:sz w:val="44"/>
          <w:szCs w:val="44"/>
        </w:rPr>
      </w:pPr>
    </w:p>
    <w:p w14:paraId="2F652886">
      <w:pPr>
        <w:widowControl/>
        <w:jc w:val="center"/>
        <w:rPr>
          <w:rFonts w:eastAsia="黑体"/>
          <w:sz w:val="44"/>
          <w:szCs w:val="44"/>
        </w:rPr>
      </w:pPr>
    </w:p>
    <w:p w14:paraId="4239DF86">
      <w:pPr>
        <w:widowControl/>
        <w:jc w:val="center"/>
        <w:rPr>
          <w:rFonts w:eastAsia="黑体"/>
          <w:sz w:val="44"/>
          <w:szCs w:val="44"/>
        </w:rPr>
      </w:pPr>
    </w:p>
    <w:p w14:paraId="400AD9D0">
      <w:pPr>
        <w:widowControl/>
        <w:jc w:val="center"/>
        <w:rPr>
          <w:rFonts w:eastAsia="黑体"/>
          <w:sz w:val="44"/>
          <w:szCs w:val="44"/>
        </w:rPr>
      </w:pPr>
    </w:p>
    <w:p w14:paraId="0BEAE700">
      <w:pPr>
        <w:widowControl/>
        <w:jc w:val="center"/>
        <w:rPr>
          <w:rFonts w:eastAsia="黑体"/>
          <w:sz w:val="44"/>
          <w:szCs w:val="44"/>
        </w:rPr>
      </w:pPr>
    </w:p>
    <w:p w14:paraId="030AFB46">
      <w:pPr>
        <w:widowControl/>
        <w:jc w:val="center"/>
        <w:rPr>
          <w:rFonts w:eastAsia="黑体"/>
          <w:sz w:val="44"/>
          <w:szCs w:val="44"/>
        </w:rPr>
      </w:pPr>
    </w:p>
    <w:p w14:paraId="7F82D271">
      <w:pPr>
        <w:widowControl/>
        <w:jc w:val="center"/>
        <w:rPr>
          <w:rFonts w:eastAsia="黑体"/>
          <w:sz w:val="44"/>
          <w:szCs w:val="44"/>
        </w:rPr>
      </w:pPr>
    </w:p>
    <w:p w14:paraId="505EDBE8">
      <w:pPr>
        <w:widowControl/>
        <w:jc w:val="center"/>
        <w:rPr>
          <w:rFonts w:eastAsia="黑体"/>
          <w:sz w:val="44"/>
          <w:szCs w:val="44"/>
        </w:rPr>
      </w:pPr>
    </w:p>
    <w:p w14:paraId="5B8420EE">
      <w:pPr>
        <w:widowControl/>
        <w:jc w:val="center"/>
        <w:rPr>
          <w:rFonts w:eastAsia="黑体"/>
          <w:sz w:val="44"/>
          <w:szCs w:val="44"/>
        </w:rPr>
      </w:pPr>
    </w:p>
    <w:p w14:paraId="22796E72">
      <w:pPr>
        <w:widowControl/>
        <w:jc w:val="center"/>
        <w:rPr>
          <w:rFonts w:eastAsia="黑体"/>
          <w:sz w:val="44"/>
          <w:szCs w:val="44"/>
        </w:rPr>
      </w:pPr>
    </w:p>
    <w:p w14:paraId="5ECCDE25">
      <w:pPr>
        <w:widowControl/>
        <w:jc w:val="center"/>
        <w:rPr>
          <w:rFonts w:eastAsia="黑体"/>
          <w:sz w:val="44"/>
          <w:szCs w:val="44"/>
        </w:rPr>
      </w:pPr>
    </w:p>
    <w:p w14:paraId="2B4F30B0">
      <w:pPr>
        <w:widowControl/>
        <w:jc w:val="center"/>
        <w:rPr>
          <w:rFonts w:eastAsia="黑体"/>
          <w:sz w:val="44"/>
          <w:szCs w:val="44"/>
        </w:rPr>
      </w:pPr>
    </w:p>
    <w:bookmarkEnd w:id="53"/>
    <w:bookmarkEnd w:id="54"/>
    <w:p w14:paraId="57822836">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Start w:id="55" w:name="_Toc15396619"/>
    </w:p>
    <w:p w14:paraId="528BCA9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E0FA7A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5"/>
    </w:p>
    <w:p w14:paraId="448220F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0"/>
      <w:r>
        <w:rPr>
          <w:rFonts w:hint="eastAsia" w:ascii="Times New Roman" w:hAnsi="Times New Roman" w:eastAsia="仿宋_GB2312" w:cs="仿宋_GB2312"/>
          <w:color w:val="auto"/>
          <w:sz w:val="32"/>
          <w:szCs w:val="32"/>
          <w:highlight w:val="none"/>
        </w:rPr>
        <w:t>二、收入决算表</w:t>
      </w:r>
      <w:bookmarkEnd w:id="56"/>
    </w:p>
    <w:p w14:paraId="3E5B40E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1"/>
      <w:r>
        <w:rPr>
          <w:rFonts w:hint="eastAsia" w:ascii="Times New Roman" w:hAnsi="Times New Roman" w:eastAsia="仿宋_GB2312" w:cs="仿宋_GB2312"/>
          <w:color w:val="auto"/>
          <w:sz w:val="32"/>
          <w:szCs w:val="32"/>
          <w:highlight w:val="none"/>
        </w:rPr>
        <w:t>三、支出决算表</w:t>
      </w:r>
      <w:bookmarkEnd w:id="57"/>
    </w:p>
    <w:p w14:paraId="261E417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2"/>
      <w:r>
        <w:rPr>
          <w:rFonts w:hint="eastAsia" w:ascii="Times New Roman" w:hAnsi="Times New Roman" w:eastAsia="仿宋_GB2312" w:cs="仿宋_GB2312"/>
          <w:color w:val="auto"/>
          <w:sz w:val="32"/>
          <w:szCs w:val="32"/>
          <w:highlight w:val="none"/>
        </w:rPr>
        <w:t>四、财政拨款收入支出决算总表</w:t>
      </w:r>
      <w:bookmarkEnd w:id="58"/>
    </w:p>
    <w:p w14:paraId="46F1630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3"/>
      <w:r>
        <w:rPr>
          <w:rFonts w:hint="eastAsia" w:ascii="Times New Roman" w:hAnsi="Times New Roman" w:eastAsia="仿宋_GB2312" w:cs="仿宋_GB2312"/>
          <w:color w:val="auto"/>
          <w:sz w:val="32"/>
          <w:szCs w:val="32"/>
          <w:highlight w:val="none"/>
        </w:rPr>
        <w:t>五、财政拨款支出决算明细表</w:t>
      </w:r>
      <w:bookmarkEnd w:id="59"/>
      <w:bookmarkStart w:id="60" w:name="_Toc15396624"/>
    </w:p>
    <w:p w14:paraId="3F7A7A2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0"/>
    </w:p>
    <w:p w14:paraId="32FED48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5"/>
      <w:r>
        <w:rPr>
          <w:rFonts w:hint="eastAsia" w:ascii="Times New Roman" w:hAnsi="Times New Roman" w:eastAsia="仿宋_GB2312" w:cs="仿宋_GB2312"/>
          <w:color w:val="auto"/>
          <w:sz w:val="32"/>
          <w:szCs w:val="32"/>
          <w:highlight w:val="none"/>
        </w:rPr>
        <w:t>七、一般公共预算财政拨款支出决算明细表</w:t>
      </w:r>
      <w:bookmarkEnd w:id="61"/>
    </w:p>
    <w:p w14:paraId="3A6546D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6"/>
      <w:r>
        <w:rPr>
          <w:rFonts w:hint="eastAsia" w:ascii="Times New Roman" w:hAnsi="Times New Roman" w:eastAsia="仿宋_GB2312" w:cs="仿宋_GB2312"/>
          <w:color w:val="auto"/>
          <w:sz w:val="32"/>
          <w:szCs w:val="32"/>
          <w:highlight w:val="none"/>
        </w:rPr>
        <w:t>八、一般公共预算财政拨款基本支出决算表</w:t>
      </w:r>
      <w:bookmarkEnd w:id="62"/>
    </w:p>
    <w:p w14:paraId="3C69E11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7"/>
      <w:r>
        <w:rPr>
          <w:rFonts w:hint="eastAsia" w:ascii="Times New Roman" w:hAnsi="Times New Roman" w:eastAsia="仿宋_GB2312" w:cs="仿宋_GB2312"/>
          <w:color w:val="auto"/>
          <w:sz w:val="32"/>
          <w:szCs w:val="32"/>
          <w:highlight w:val="none"/>
        </w:rPr>
        <w:t>九、一般公共预算财政拨款项目支出决算表</w:t>
      </w:r>
      <w:bookmarkEnd w:id="63"/>
    </w:p>
    <w:p w14:paraId="52C877D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8"/>
      <w:r>
        <w:rPr>
          <w:rFonts w:hint="eastAsia" w:ascii="Times New Roman" w:hAnsi="Times New Roman" w:eastAsia="仿宋_GB2312" w:cs="仿宋_GB2312"/>
          <w:color w:val="auto"/>
          <w:sz w:val="32"/>
          <w:szCs w:val="32"/>
          <w:highlight w:val="none"/>
        </w:rPr>
        <w:t>十、</w:t>
      </w:r>
      <w:bookmarkEnd w:id="64"/>
      <w:r>
        <w:rPr>
          <w:rFonts w:hint="eastAsia" w:ascii="Times New Roman" w:hAnsi="Times New Roman" w:eastAsia="仿宋_GB2312" w:cs="仿宋_GB2312"/>
          <w:color w:val="auto"/>
          <w:sz w:val="32"/>
          <w:szCs w:val="32"/>
          <w:highlight w:val="none"/>
        </w:rPr>
        <w:t>政府性基金预算财政拨款收入支出决算表</w:t>
      </w:r>
    </w:p>
    <w:p w14:paraId="4781340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9"/>
      <w:r>
        <w:rPr>
          <w:rFonts w:hint="eastAsia" w:ascii="Times New Roman" w:hAnsi="Times New Roman" w:eastAsia="仿宋_GB2312" w:cs="仿宋_GB2312"/>
          <w:color w:val="auto"/>
          <w:sz w:val="32"/>
          <w:szCs w:val="32"/>
          <w:highlight w:val="none"/>
        </w:rPr>
        <w:t>十一、</w:t>
      </w:r>
      <w:bookmarkEnd w:id="6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4D718DD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30"/>
      <w:r>
        <w:rPr>
          <w:rFonts w:hint="eastAsia" w:ascii="Times New Roman" w:hAnsi="Times New Roman" w:eastAsia="仿宋_GB2312" w:cs="仿宋_GB2312"/>
          <w:color w:val="auto"/>
          <w:sz w:val="32"/>
          <w:szCs w:val="32"/>
          <w:highlight w:val="none"/>
        </w:rPr>
        <w:t>十二、</w:t>
      </w:r>
      <w:bookmarkEnd w:id="66"/>
      <w:r>
        <w:rPr>
          <w:rFonts w:hint="eastAsia" w:ascii="Times New Roman" w:hAnsi="Times New Roman" w:eastAsia="仿宋_GB2312" w:cs="仿宋_GB2312"/>
          <w:color w:val="auto"/>
          <w:sz w:val="32"/>
          <w:szCs w:val="32"/>
          <w:highlight w:val="none"/>
          <w:lang w:eastAsia="zh-CN"/>
        </w:rPr>
        <w:t>国有资本经营预算财政拨款支出决算表</w:t>
      </w:r>
    </w:p>
    <w:p w14:paraId="521884E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7" w:name="_Toc15396631"/>
      <w:r>
        <w:rPr>
          <w:rFonts w:hint="eastAsia" w:ascii="Times New Roman" w:hAnsi="Times New Roman" w:eastAsia="仿宋_GB2312" w:cs="仿宋_GB2312"/>
          <w:color w:val="auto"/>
          <w:sz w:val="32"/>
          <w:szCs w:val="32"/>
          <w:highlight w:val="none"/>
        </w:rPr>
        <w:t>十三、</w:t>
      </w:r>
      <w:bookmarkEnd w:id="67"/>
      <w:r>
        <w:rPr>
          <w:rFonts w:hint="eastAsia" w:ascii="Times New Roman" w:hAnsi="Times New Roman" w:eastAsia="仿宋_GB2312" w:cs="仿宋_GB2312"/>
          <w:color w:val="auto"/>
          <w:sz w:val="32"/>
          <w:szCs w:val="32"/>
          <w:highlight w:val="none"/>
          <w:lang w:eastAsia="zh-CN"/>
        </w:rPr>
        <w:t>财政拨款“三公”经费支出决算表</w:t>
      </w:r>
    </w:p>
    <w:p w14:paraId="28B2030A">
      <w:pPr>
        <w:pStyle w:val="14"/>
        <w:adjustRightInd w:val="0"/>
        <w:snapToGrid w:val="0"/>
        <w:spacing w:line="560" w:lineRule="exact"/>
        <w:jc w:val="left"/>
        <w:rPr>
          <w:rFonts w:eastAsia="仿宋_GB2312" w:cs="仿宋_GB2312"/>
          <w:kern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ADE8B">
    <w:pPr>
      <w:pStyle w:val="1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D25748">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5BD25748">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3858F316">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1709A">
    <w:pPr>
      <w:pStyle w:val="1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AF68E7">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62AF68E7">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54523">
    <w:pPr>
      <w:pStyle w:val="11"/>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214136">
                          <w:pPr>
                            <w:pStyle w:val="11"/>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39214136">
                    <w:pPr>
                      <w:pStyle w:val="11"/>
                    </w:pPr>
                    <w:r>
                      <w:fldChar w:fldCharType="begin"/>
                    </w:r>
                    <w:r>
                      <w:instrText xml:space="preserve"> PAGE  \* MERGEFORMAT </w:instrText>
                    </w:r>
                    <w:r>
                      <w:fldChar w:fldCharType="separate"/>
                    </w:r>
                    <w:r>
                      <w:t>13</w:t>
                    </w:r>
                    <w:r>
                      <w:fldChar w:fldCharType="end"/>
                    </w:r>
                  </w:p>
                </w:txbxContent>
              </v:textbox>
            </v:shape>
          </w:pict>
        </mc:Fallback>
      </mc:AlternateContent>
    </w:r>
  </w:p>
  <w:p w14:paraId="07CC4DFD">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8662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A9D12E">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70A9D12E">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89BC1">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5B79"/>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20A7"/>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CF3328"/>
    <w:rsid w:val="00D00095"/>
    <w:rsid w:val="00D114F0"/>
    <w:rsid w:val="00D20620"/>
    <w:rsid w:val="00D22F6D"/>
    <w:rsid w:val="00D254F7"/>
    <w:rsid w:val="00D26091"/>
    <w:rsid w:val="00D2685C"/>
    <w:rsid w:val="00D34E7C"/>
    <w:rsid w:val="00D35489"/>
    <w:rsid w:val="00D36AFE"/>
    <w:rsid w:val="00D51276"/>
    <w:rsid w:val="00D542F9"/>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652388"/>
    <w:rsid w:val="01A23516"/>
    <w:rsid w:val="01A71FD9"/>
    <w:rsid w:val="02317B1B"/>
    <w:rsid w:val="02AF16D4"/>
    <w:rsid w:val="02FEBE30"/>
    <w:rsid w:val="03D347FC"/>
    <w:rsid w:val="053E4CF2"/>
    <w:rsid w:val="061E35DE"/>
    <w:rsid w:val="066E0107"/>
    <w:rsid w:val="07996F6E"/>
    <w:rsid w:val="07AD5E6F"/>
    <w:rsid w:val="07DFD8BA"/>
    <w:rsid w:val="08A70B11"/>
    <w:rsid w:val="08DB07E4"/>
    <w:rsid w:val="09840E52"/>
    <w:rsid w:val="09867E8F"/>
    <w:rsid w:val="09F42421"/>
    <w:rsid w:val="0A2032A3"/>
    <w:rsid w:val="0C2D6BD3"/>
    <w:rsid w:val="0C6C4794"/>
    <w:rsid w:val="0C900696"/>
    <w:rsid w:val="0CA8290A"/>
    <w:rsid w:val="0CE31BCE"/>
    <w:rsid w:val="0D35B1ED"/>
    <w:rsid w:val="0DE07E2B"/>
    <w:rsid w:val="0E1F739B"/>
    <w:rsid w:val="0E295475"/>
    <w:rsid w:val="0E95493D"/>
    <w:rsid w:val="0F98263C"/>
    <w:rsid w:val="101860EC"/>
    <w:rsid w:val="103B5699"/>
    <w:rsid w:val="10C055FF"/>
    <w:rsid w:val="10F1501F"/>
    <w:rsid w:val="11772AA4"/>
    <w:rsid w:val="118107EC"/>
    <w:rsid w:val="118B31F6"/>
    <w:rsid w:val="11A065ED"/>
    <w:rsid w:val="122338FE"/>
    <w:rsid w:val="12380A2C"/>
    <w:rsid w:val="13850EAA"/>
    <w:rsid w:val="13957196"/>
    <w:rsid w:val="13D50BC4"/>
    <w:rsid w:val="14022904"/>
    <w:rsid w:val="152F2A07"/>
    <w:rsid w:val="15B34F99"/>
    <w:rsid w:val="162D4D4B"/>
    <w:rsid w:val="165E0673"/>
    <w:rsid w:val="16BB723D"/>
    <w:rsid w:val="16F13FCB"/>
    <w:rsid w:val="173C4B1A"/>
    <w:rsid w:val="17AC6144"/>
    <w:rsid w:val="186504BB"/>
    <w:rsid w:val="18BB7EB4"/>
    <w:rsid w:val="1938089F"/>
    <w:rsid w:val="19A445FC"/>
    <w:rsid w:val="1A0C636C"/>
    <w:rsid w:val="1B7D550C"/>
    <w:rsid w:val="1BE8440E"/>
    <w:rsid w:val="1D155CEE"/>
    <w:rsid w:val="1DE178F3"/>
    <w:rsid w:val="1E740ACF"/>
    <w:rsid w:val="1ED02718"/>
    <w:rsid w:val="1EF73D6D"/>
    <w:rsid w:val="1FED591F"/>
    <w:rsid w:val="1FF35744"/>
    <w:rsid w:val="1FF6BC77"/>
    <w:rsid w:val="21962A9E"/>
    <w:rsid w:val="21AE7C77"/>
    <w:rsid w:val="22347461"/>
    <w:rsid w:val="22BC3C41"/>
    <w:rsid w:val="22F6481A"/>
    <w:rsid w:val="23860B96"/>
    <w:rsid w:val="240371BF"/>
    <w:rsid w:val="24EA5623"/>
    <w:rsid w:val="25E170CD"/>
    <w:rsid w:val="260F557C"/>
    <w:rsid w:val="27822A1D"/>
    <w:rsid w:val="281408E2"/>
    <w:rsid w:val="28760929"/>
    <w:rsid w:val="28B46847"/>
    <w:rsid w:val="29015CC7"/>
    <w:rsid w:val="29FD04D3"/>
    <w:rsid w:val="2A7E571E"/>
    <w:rsid w:val="2B041B8F"/>
    <w:rsid w:val="2BFF7BC6"/>
    <w:rsid w:val="2C4E6BA0"/>
    <w:rsid w:val="2C8A61B5"/>
    <w:rsid w:val="2CB216AE"/>
    <w:rsid w:val="2CCB451E"/>
    <w:rsid w:val="2CFD7BC7"/>
    <w:rsid w:val="2D1904C5"/>
    <w:rsid w:val="2D2E01CF"/>
    <w:rsid w:val="2DF04E50"/>
    <w:rsid w:val="2E9545B0"/>
    <w:rsid w:val="2F040D46"/>
    <w:rsid w:val="2F532A16"/>
    <w:rsid w:val="2FAE5751"/>
    <w:rsid w:val="2FB1A395"/>
    <w:rsid w:val="2FD9A7D8"/>
    <w:rsid w:val="2FE651B4"/>
    <w:rsid w:val="31601697"/>
    <w:rsid w:val="318A0E4C"/>
    <w:rsid w:val="319F7F4E"/>
    <w:rsid w:val="321B2544"/>
    <w:rsid w:val="32631B57"/>
    <w:rsid w:val="329878EA"/>
    <w:rsid w:val="3304709D"/>
    <w:rsid w:val="33353039"/>
    <w:rsid w:val="33883169"/>
    <w:rsid w:val="34281836"/>
    <w:rsid w:val="349D6851"/>
    <w:rsid w:val="35BA6CAF"/>
    <w:rsid w:val="35D37231"/>
    <w:rsid w:val="364D14C1"/>
    <w:rsid w:val="36AA5135"/>
    <w:rsid w:val="36BE0DA7"/>
    <w:rsid w:val="36CB4686"/>
    <w:rsid w:val="376B6AA6"/>
    <w:rsid w:val="376D39B2"/>
    <w:rsid w:val="37E16F03"/>
    <w:rsid w:val="37F53A3B"/>
    <w:rsid w:val="38172D0E"/>
    <w:rsid w:val="3841654D"/>
    <w:rsid w:val="38683569"/>
    <w:rsid w:val="387E49CF"/>
    <w:rsid w:val="389205E6"/>
    <w:rsid w:val="389B6C89"/>
    <w:rsid w:val="38D469F0"/>
    <w:rsid w:val="39627CCD"/>
    <w:rsid w:val="397BAF1F"/>
    <w:rsid w:val="3AB79AF3"/>
    <w:rsid w:val="3B6B5CA0"/>
    <w:rsid w:val="3B7EF35A"/>
    <w:rsid w:val="3B9FDB6C"/>
    <w:rsid w:val="3BF5BC2F"/>
    <w:rsid w:val="3C3245BA"/>
    <w:rsid w:val="3CEBA265"/>
    <w:rsid w:val="3D98207C"/>
    <w:rsid w:val="3D9B0D99"/>
    <w:rsid w:val="3DEE7CF3"/>
    <w:rsid w:val="3DF02244"/>
    <w:rsid w:val="3E54066C"/>
    <w:rsid w:val="3E78745D"/>
    <w:rsid w:val="3FF4CAE0"/>
    <w:rsid w:val="3FF7B227"/>
    <w:rsid w:val="40E54C45"/>
    <w:rsid w:val="41313393"/>
    <w:rsid w:val="417C1E33"/>
    <w:rsid w:val="41CD4174"/>
    <w:rsid w:val="437E208A"/>
    <w:rsid w:val="43A407DF"/>
    <w:rsid w:val="44515BEA"/>
    <w:rsid w:val="44E268DA"/>
    <w:rsid w:val="453F7E5B"/>
    <w:rsid w:val="486A6C7A"/>
    <w:rsid w:val="49176D9B"/>
    <w:rsid w:val="494006BD"/>
    <w:rsid w:val="4A4A1453"/>
    <w:rsid w:val="4A627F82"/>
    <w:rsid w:val="4A9274F9"/>
    <w:rsid w:val="4ADA167D"/>
    <w:rsid w:val="4ADA20A4"/>
    <w:rsid w:val="4AFA0E2C"/>
    <w:rsid w:val="4B0E749A"/>
    <w:rsid w:val="4B4F25DA"/>
    <w:rsid w:val="4B9C528A"/>
    <w:rsid w:val="4BDA0CFB"/>
    <w:rsid w:val="4BE068DB"/>
    <w:rsid w:val="4C5145E8"/>
    <w:rsid w:val="4D3C0CCC"/>
    <w:rsid w:val="4D577224"/>
    <w:rsid w:val="4DBF1CEB"/>
    <w:rsid w:val="4EAB630A"/>
    <w:rsid w:val="4ECE2238"/>
    <w:rsid w:val="4EFA7F3E"/>
    <w:rsid w:val="4F833267"/>
    <w:rsid w:val="4F894099"/>
    <w:rsid w:val="4FE9BD67"/>
    <w:rsid w:val="4FFB052F"/>
    <w:rsid w:val="507814F8"/>
    <w:rsid w:val="53083A92"/>
    <w:rsid w:val="537E6D0A"/>
    <w:rsid w:val="53AF27A2"/>
    <w:rsid w:val="53F74C96"/>
    <w:rsid w:val="54422A68"/>
    <w:rsid w:val="54D379F5"/>
    <w:rsid w:val="550E7567"/>
    <w:rsid w:val="56440D1A"/>
    <w:rsid w:val="56E47B74"/>
    <w:rsid w:val="573963A5"/>
    <w:rsid w:val="57574A7D"/>
    <w:rsid w:val="578C60E1"/>
    <w:rsid w:val="57BD3DD4"/>
    <w:rsid w:val="57D8796C"/>
    <w:rsid w:val="58287869"/>
    <w:rsid w:val="5A094754"/>
    <w:rsid w:val="5A4A08C9"/>
    <w:rsid w:val="5AF92295"/>
    <w:rsid w:val="5AFF19C7"/>
    <w:rsid w:val="5BA74225"/>
    <w:rsid w:val="5BDD79E6"/>
    <w:rsid w:val="5BF561CA"/>
    <w:rsid w:val="5BFF5DFC"/>
    <w:rsid w:val="5C475AF8"/>
    <w:rsid w:val="5CD03307"/>
    <w:rsid w:val="5CD71FC4"/>
    <w:rsid w:val="5D1F11B5"/>
    <w:rsid w:val="5D9B2B43"/>
    <w:rsid w:val="5DAE1B18"/>
    <w:rsid w:val="5DE7D9E5"/>
    <w:rsid w:val="5ECEC941"/>
    <w:rsid w:val="5F493CB7"/>
    <w:rsid w:val="5FBF9FF3"/>
    <w:rsid w:val="5FCD4E2C"/>
    <w:rsid w:val="5FD15F49"/>
    <w:rsid w:val="5FEF394A"/>
    <w:rsid w:val="5FF67715"/>
    <w:rsid w:val="60DF01CB"/>
    <w:rsid w:val="61243C22"/>
    <w:rsid w:val="62BF3928"/>
    <w:rsid w:val="643E324C"/>
    <w:rsid w:val="647C597C"/>
    <w:rsid w:val="647F5392"/>
    <w:rsid w:val="65460881"/>
    <w:rsid w:val="65DB694D"/>
    <w:rsid w:val="664B1D71"/>
    <w:rsid w:val="67AA3209"/>
    <w:rsid w:val="67BE1324"/>
    <w:rsid w:val="67C005B9"/>
    <w:rsid w:val="681C4F0D"/>
    <w:rsid w:val="689C2C37"/>
    <w:rsid w:val="69046D0F"/>
    <w:rsid w:val="698D0931"/>
    <w:rsid w:val="6A793230"/>
    <w:rsid w:val="6A993CED"/>
    <w:rsid w:val="6A995680"/>
    <w:rsid w:val="6AD00976"/>
    <w:rsid w:val="6B053271"/>
    <w:rsid w:val="6BCE6674"/>
    <w:rsid w:val="6C4A05C8"/>
    <w:rsid w:val="6C8742B8"/>
    <w:rsid w:val="6C8A170F"/>
    <w:rsid w:val="6CB54609"/>
    <w:rsid w:val="6CD45923"/>
    <w:rsid w:val="6D877A12"/>
    <w:rsid w:val="6DBF5E93"/>
    <w:rsid w:val="6DFF077E"/>
    <w:rsid w:val="6E7E3605"/>
    <w:rsid w:val="6E7FDCC7"/>
    <w:rsid w:val="6E8E4DD0"/>
    <w:rsid w:val="6ED6A62E"/>
    <w:rsid w:val="6EE00B15"/>
    <w:rsid w:val="6F40256E"/>
    <w:rsid w:val="6F544B20"/>
    <w:rsid w:val="6F6FB3EB"/>
    <w:rsid w:val="6F784160"/>
    <w:rsid w:val="6F835F87"/>
    <w:rsid w:val="6F8731EA"/>
    <w:rsid w:val="6FCE6052"/>
    <w:rsid w:val="6FD57C00"/>
    <w:rsid w:val="6FEFFFD8"/>
    <w:rsid w:val="6FF5CC65"/>
    <w:rsid w:val="6FFB47EC"/>
    <w:rsid w:val="6FFF034A"/>
    <w:rsid w:val="70496804"/>
    <w:rsid w:val="708E10B8"/>
    <w:rsid w:val="712A28F1"/>
    <w:rsid w:val="715C0E4B"/>
    <w:rsid w:val="71A87F57"/>
    <w:rsid w:val="71D11E26"/>
    <w:rsid w:val="71E76CD1"/>
    <w:rsid w:val="72233669"/>
    <w:rsid w:val="72734D90"/>
    <w:rsid w:val="72E6342D"/>
    <w:rsid w:val="7332FE48"/>
    <w:rsid w:val="73AB61DA"/>
    <w:rsid w:val="73AD73D5"/>
    <w:rsid w:val="73B6EB34"/>
    <w:rsid w:val="73FA497D"/>
    <w:rsid w:val="744731E5"/>
    <w:rsid w:val="74527205"/>
    <w:rsid w:val="74BBD01D"/>
    <w:rsid w:val="74ED5379"/>
    <w:rsid w:val="74FC2395"/>
    <w:rsid w:val="75695C4F"/>
    <w:rsid w:val="75DEEEC2"/>
    <w:rsid w:val="76E3355F"/>
    <w:rsid w:val="76FF5125"/>
    <w:rsid w:val="771947C1"/>
    <w:rsid w:val="776F6FFA"/>
    <w:rsid w:val="778769C8"/>
    <w:rsid w:val="77DC22F5"/>
    <w:rsid w:val="79086DAD"/>
    <w:rsid w:val="79974F09"/>
    <w:rsid w:val="79B4085B"/>
    <w:rsid w:val="79D7FD79"/>
    <w:rsid w:val="79EE5BA4"/>
    <w:rsid w:val="7A26386C"/>
    <w:rsid w:val="7A894339"/>
    <w:rsid w:val="7AFF7572"/>
    <w:rsid w:val="7B6C7DFB"/>
    <w:rsid w:val="7BBFBED0"/>
    <w:rsid w:val="7BC3E394"/>
    <w:rsid w:val="7C1F3737"/>
    <w:rsid w:val="7CBFC87B"/>
    <w:rsid w:val="7CCF4F32"/>
    <w:rsid w:val="7CFE0F48"/>
    <w:rsid w:val="7D7EC23E"/>
    <w:rsid w:val="7D916348"/>
    <w:rsid w:val="7E8ADEBF"/>
    <w:rsid w:val="7EB048EF"/>
    <w:rsid w:val="7EEF11D3"/>
    <w:rsid w:val="7F0971A6"/>
    <w:rsid w:val="7F3F679B"/>
    <w:rsid w:val="7F4FC4EF"/>
    <w:rsid w:val="7F5E4D54"/>
    <w:rsid w:val="7F6E0135"/>
    <w:rsid w:val="7F7122D0"/>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675"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sz="1000">
                <a:solidFill>
                  <a:srgbClr val="000000"/>
                </a:solidFill>
                <a:uFillTx/>
              </a:rPr>
              <a:t>收、支决算总计</a:t>
            </a:r>
            <a:r>
              <a:rPr lang="zh-CN" altLang="en-US" sz="1000">
                <a:solidFill>
                  <a:srgbClr val="000000"/>
                </a:solidFill>
                <a:uFillTx/>
                <a:latin typeface="宋体" panose="02010600030101010101" charset="-122"/>
              </a:rPr>
              <a:t>变动</a:t>
            </a:r>
            <a:r>
              <a:rPr lang="zh-CN" altLang="en-US" sz="1000">
                <a:solidFill>
                  <a:srgbClr val="000000"/>
                </a:solidFill>
                <a:uFillTx/>
              </a:rPr>
              <a:t>情况图</a:t>
            </a:r>
            <a:endParaRPr lang="zh-CN" altLang="en-US" sz="1000">
              <a:solidFill>
                <a:srgbClr val="000000"/>
              </a:solidFill>
              <a:uFillTx/>
            </a:endParaRPr>
          </a:p>
        </c:rich>
      </c:tx>
      <c:layout>
        <c:manualLayout>
          <c:xMode val="edge"/>
          <c:yMode val="edge"/>
          <c:x val="0.371389291752656"/>
          <c:y val="0.031683270001027"/>
        </c:manualLayout>
      </c:layout>
      <c:overlay val="0"/>
      <c:spPr>
        <a:noFill/>
        <a:ln w="19013">
          <a:noFill/>
        </a:ln>
      </c:spPr>
    </c:title>
    <c:autoTitleDeleted val="0"/>
    <c:plotArea>
      <c:layout>
        <c:manualLayout>
          <c:layoutTarget val="inner"/>
          <c:xMode val="edge"/>
          <c:yMode val="edge"/>
          <c:x val="0.184810126582279"/>
          <c:y val="0.252747252747253"/>
          <c:w val="0.792405063291139"/>
          <c:h val="0.439560439560441"/>
        </c:manualLayout>
      </c:layout>
      <c:barChart>
        <c:barDir val="col"/>
        <c:grouping val="clustered"/>
        <c:varyColors val="0"/>
        <c:ser>
          <c:idx val="0"/>
          <c:order val="0"/>
          <c:tx>
            <c:strRef>
              <c:f>Sheet1!$A$2</c:f>
              <c:strCache>
                <c:ptCount val="1"/>
                <c:pt idx="0">
                  <c:v/>
                </c:pt>
              </c:strCache>
            </c:strRef>
          </c:tx>
          <c:spPr>
            <a:solidFill>
              <a:srgbClr val="9999FF"/>
            </a:solidFill>
            <a:ln w="9506">
              <a:solidFill>
                <a:srgbClr val="000000"/>
              </a:solidFill>
              <a:prstDash val="solid"/>
            </a:ln>
          </c:spPr>
          <c:invertIfNegative val="0"/>
          <c:dLbls>
            <c:dLbl>
              <c:idx val="0"/>
              <c:layout>
                <c:manualLayout>
                  <c:x val="0"/>
                  <c:y val="-0.0194104960460101"/>
                </c:manualLayout>
              </c:layout>
              <c:tx>
                <c:rich>
                  <a:bodyPr rot="0" spcFirstLastPara="0" vertOverflow="ellipsis" vert="horz" wrap="square" lIns="38100" tIns="19050" rIns="38100" bIns="19050" anchor="ctr" anchorCtr="1"/>
                  <a:lstStyle/>
                  <a:p>
                    <a:pPr>
                      <a:defRPr lang="zh-CN" sz="675"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en-US" altLang="zh-CN" sz="900"/>
                      <a:t>2024</a:t>
                    </a:r>
                    <a:r>
                      <a:rPr lang="zh-CN" altLang="en-US" sz="900"/>
                      <a:t>年</a:t>
                    </a:r>
                    <a:r>
                      <a:rPr lang="en-US" altLang="zh-CN" sz="900"/>
                      <a:t>, 9539.65</a:t>
                    </a:r>
                    <a:endParaRPr lang="en-US" altLang="zh-CN" sz="900"/>
                  </a:p>
                </c:rich>
              </c:tx>
              <c:dLblPos val="outEnd"/>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020698892000487"/>
                  <c:y val="-0.021370418982593"/>
                </c:manualLayout>
              </c:layout>
              <c:tx>
                <c:rich>
                  <a:bodyPr rot="0" spcFirstLastPara="0" vertOverflow="ellipsis" vert="horz" wrap="square" lIns="38100" tIns="19050" rIns="38100" bIns="19050" anchor="ctr" anchorCtr="1"/>
                  <a:lstStyle/>
                  <a:p>
                    <a:pPr>
                      <a:defRPr lang="zh-CN" sz="675"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en-US" altLang="zh-CN" sz="880"/>
                      <a:t>2025</a:t>
                    </a:r>
                    <a:r>
                      <a:rPr lang="zh-CN" altLang="en-US" sz="880"/>
                      <a:t>年</a:t>
                    </a:r>
                    <a:r>
                      <a:rPr lang="en-US" altLang="zh-CN" sz="880"/>
                      <a:t>, 4864.61</a:t>
                    </a:r>
                    <a:endParaRPr lang="en-US" altLang="zh-CN" sz="880"/>
                  </a:p>
                </c:rich>
              </c:tx>
              <c:dLblPos val="outEnd"/>
              <c:showLegendKey val="0"/>
              <c:showVal val="1"/>
              <c:showCatName val="1"/>
              <c:showSerName val="0"/>
              <c:showPercent val="0"/>
              <c:showBubbleSize val="0"/>
              <c:extLst>
                <c:ext xmlns:c15="http://schemas.microsoft.com/office/drawing/2012/chart" uri="{CE6537A1-D6FC-4f65-9D91-7224C49458BB}">
                  <c15:layout/>
                </c:ext>
              </c:extLst>
            </c:dLbl>
            <c:spPr>
              <a:noFill/>
              <a:ln w="19013">
                <a:noFill/>
              </a:ln>
              <a:effectLst/>
            </c:spPr>
            <c:txPr>
              <a:bodyPr rot="0" spcFirstLastPara="0" vertOverflow="ellipsis" vert="horz" wrap="square" lIns="38100" tIns="19050" rIns="38100" bIns="19050" anchor="ctr" anchorCtr="1">
                <a:spAutoFit/>
              </a:bodyPr>
              <a:lstStyle/>
              <a:p>
                <a:pPr>
                  <a:defRPr lang="zh-CN" sz="6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1"/>
            <c:showSerName val="0"/>
            <c:showPercent val="0"/>
            <c:showBubbleSize val="0"/>
            <c:showLeaderLines val="0"/>
            <c:extLst>
              <c:ext xmlns:c15="http://schemas.microsoft.com/office/drawing/2012/chart" uri="{CE6537A1-D6FC-4f65-9D91-7224C49458BB}">
                <c15:layout/>
                <c15:showLeaderLines val="0"/>
                <c15:leaderLines/>
              </c:ext>
            </c:extLst>
          </c:dLbls>
          <c:cat>
            <c:strRef>
              <c:f>Sheet1!$B$1:$C$1</c:f>
              <c:strCache>
                <c:ptCount val="2"/>
                <c:pt idx="0">
                  <c:v>2024年</c:v>
                </c:pt>
                <c:pt idx="1">
                  <c:v>2025年</c:v>
                </c:pt>
              </c:strCache>
            </c:strRef>
          </c:cat>
          <c:val>
            <c:numRef>
              <c:f>Sheet1!$B$2:$C$2</c:f>
              <c:numCache>
                <c:formatCode>General</c:formatCode>
                <c:ptCount val="2"/>
                <c:pt idx="0">
                  <c:v>9539.65</c:v>
                </c:pt>
                <c:pt idx="1">
                  <c:v>4864.61</c:v>
                </c:pt>
              </c:numCache>
            </c:numRef>
          </c:val>
        </c:ser>
        <c:dLbls>
          <c:showLegendKey val="0"/>
          <c:showVal val="1"/>
          <c:showCatName val="1"/>
          <c:showSerName val="0"/>
          <c:showPercent val="0"/>
          <c:showBubbleSize val="0"/>
        </c:dLbls>
        <c:gapWidth val="150"/>
        <c:axId val="331417856"/>
        <c:axId val="331474432"/>
      </c:barChart>
      <c:catAx>
        <c:axId val="331417856"/>
        <c:scaling>
          <c:orientation val="minMax"/>
        </c:scaling>
        <c:delete val="0"/>
        <c:axPos val="b"/>
        <c:title>
          <c:tx>
            <c:rich>
              <a:bodyPr rot="0" spcFirstLastPara="0" vertOverflow="ellipsis" vert="horz" wrap="square" anchor="ctr" anchorCtr="1"/>
              <a:lstStyle/>
              <a:p>
                <a:pPr algn="r">
                  <a:defRPr lang="zh-CN" sz="675"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sz="900">
                    <a:solidFill>
                      <a:srgbClr val="000000"/>
                    </a:solidFill>
                    <a:uFillTx/>
                    <a:latin typeface="宋体" panose="02010600030101010101" charset="-122"/>
                  </a:rPr>
                  <a:t>年份</a:t>
                </a:r>
                <a:endParaRPr lang="zh-CN" altLang="en-US" sz="900">
                  <a:solidFill>
                    <a:srgbClr val="000000"/>
                  </a:solidFill>
                  <a:uFillTx/>
                  <a:latin typeface="宋体" panose="02010600030101010101" charset="-122"/>
                </a:endParaRPr>
              </a:p>
            </c:rich>
          </c:tx>
          <c:layout>
            <c:manualLayout>
              <c:xMode val="edge"/>
              <c:yMode val="edge"/>
              <c:x val="0.545181381169403"/>
              <c:y val="0.776214439765843"/>
            </c:manualLayout>
          </c:layout>
          <c:overlay val="0"/>
          <c:spPr>
            <a:noFill/>
            <a:ln w="19013">
              <a:noFill/>
            </a:ln>
          </c:spPr>
        </c:title>
        <c:numFmt formatCode="General" sourceLinked="1"/>
        <c:majorTickMark val="in"/>
        <c:minorTickMark val="none"/>
        <c:tickLblPos val="nextTo"/>
        <c:spPr>
          <a:ln w="2377" cap="flat" cmpd="sng" algn="ctr">
            <a:solidFill>
              <a:srgbClr val="000000"/>
            </a:solidFill>
            <a:prstDash val="solid"/>
            <a:round/>
          </a:ln>
        </c:spPr>
        <c:txPr>
          <a:bodyPr rot="0" spcFirstLastPara="0" vertOverflow="ellipsis" vert="horz" wrap="square" anchor="ctr" anchorCtr="1"/>
          <a:lstStyle/>
          <a:p>
            <a:pPr>
              <a:defRPr lang="zh-CN" sz="900" b="0" i="0" u="none" strike="noStrike" kern="1200" cap="none" spc="0" normalizeH="0" baseline="0">
                <a:solidFill>
                  <a:srgbClr val="000000"/>
                </a:solidFill>
                <a:uFill>
                  <a:solidFill>
                    <a:srgbClr val="000000"/>
                  </a:solidFill>
                </a:uFill>
                <a:latin typeface="宋体" panose="02010600030101010101" charset="-122"/>
                <a:ea typeface="宋体" panose="02010600030101010101" charset="-122"/>
                <a:cs typeface="宋体" panose="02010600030101010101" charset="-122"/>
              </a:defRPr>
            </a:pPr>
          </a:p>
        </c:txPr>
        <c:crossAx val="331474432"/>
        <c:crosses val="autoZero"/>
        <c:auto val="1"/>
        <c:lblAlgn val="ctr"/>
        <c:lblOffset val="100"/>
        <c:tickLblSkip val="1"/>
        <c:noMultiLvlLbl val="0"/>
      </c:catAx>
      <c:valAx>
        <c:axId val="331474432"/>
        <c:scaling>
          <c:orientation val="minMax"/>
        </c:scaling>
        <c:delete val="0"/>
        <c:axPos val="l"/>
        <c:majorGridlines>
          <c:spPr>
            <a:ln w="2377" cap="flat" cmpd="sng" algn="ctr">
              <a:solidFill>
                <a:srgbClr val="000000"/>
              </a:solidFill>
              <a:prstDash val="solid"/>
              <a:round/>
            </a:ln>
          </c:spPr>
        </c:majorGridlines>
        <c:title>
          <c:tx>
            <c:rich>
              <a:bodyPr rot="-5400000" spcFirstLastPara="0" vertOverflow="ellipsis" vert="horz" wrap="square" anchor="ctr" anchorCtr="1"/>
              <a:lstStyle/>
              <a:p>
                <a:pPr algn="r">
                  <a:defRPr lang="zh-CN" sz="675"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sz="880"/>
                  <a:t>金额</a:t>
                </a:r>
                <a:r>
                  <a:rPr lang="en-US" altLang="zh-CN" sz="880"/>
                  <a:t>/</a:t>
                </a:r>
                <a:r>
                  <a:rPr lang="zh-CN" altLang="en-US" sz="880"/>
                  <a:t>万元</a:t>
                </a:r>
                <a:endParaRPr lang="zh-CN" altLang="en-US" sz="880"/>
              </a:p>
            </c:rich>
          </c:tx>
          <c:layout>
            <c:manualLayout>
              <c:xMode val="edge"/>
              <c:yMode val="edge"/>
              <c:x val="0.0693676434550351"/>
              <c:y val="0.332494608195543"/>
            </c:manualLayout>
          </c:layout>
          <c:overlay val="0"/>
          <c:spPr>
            <a:noFill/>
            <a:ln w="19013">
              <a:noFill/>
            </a:ln>
          </c:spPr>
        </c:title>
        <c:numFmt formatCode="General" sourceLinked="1"/>
        <c:majorTickMark val="in"/>
        <c:minorTickMark val="none"/>
        <c:tickLblPos val="nextTo"/>
        <c:spPr>
          <a:ln w="2377" cap="flat" cmpd="sng" algn="ctr">
            <a:solidFill>
              <a:srgbClr val="000000"/>
            </a:solidFill>
            <a:prstDash val="solid"/>
            <a:round/>
          </a:ln>
        </c:spPr>
        <c:txPr>
          <a:bodyPr rot="0" spcFirstLastPara="0" vertOverflow="ellipsis" vert="horz" wrap="square" anchor="ctr" anchorCtr="1"/>
          <a:lstStyle/>
          <a:p>
            <a:pPr>
              <a:defRPr lang="zh-CN" sz="900" b="0" i="0" u="none" strike="noStrike" kern="1200" cap="none" spc="0" normalizeH="0" baseline="0">
                <a:solidFill>
                  <a:srgbClr val="000000"/>
                </a:solidFill>
                <a:uFill>
                  <a:solidFill>
                    <a:srgbClr val="000000"/>
                  </a:solidFill>
                </a:uFill>
                <a:latin typeface="宋体" panose="02010600030101010101" charset="-122"/>
                <a:ea typeface="宋体" panose="02010600030101010101" charset="-122"/>
                <a:cs typeface="宋体" panose="02010600030101010101" charset="-122"/>
              </a:defRPr>
            </a:pPr>
          </a:p>
        </c:txPr>
        <c:crossAx val="331417856"/>
        <c:crosses val="autoZero"/>
        <c:crossBetween val="between"/>
      </c:valAx>
      <c:spPr>
        <a:solidFill>
          <a:srgbClr val="C0C0C0"/>
        </a:solidFill>
        <a:ln w="9506">
          <a:solidFill>
            <a:srgbClr val="808080"/>
          </a:solidFill>
          <a:prstDash val="solid"/>
        </a:ln>
      </c:spPr>
    </c:plotArea>
    <c:plotVisOnly val="1"/>
    <c:dispBlanksAs val="gap"/>
    <c:showDLblsOverMax val="0"/>
    <c:extLst>
      <c:ext uri="{0b15fc19-7d7d-44ad-8c2d-2c3a37ce22c3}">
        <chartProps xmlns="https://web.wps.cn/et/2018/main" chartId="{a9d3d4b3-7c03-4c48-b13c-c801f3152c78}"/>
      </c:ext>
    </c:extLst>
  </c:chart>
  <c:spPr>
    <a:noFill/>
    <a:ln w="6350" cap="flat" cmpd="sng" algn="ctr">
      <a:noFill/>
      <a:prstDash val="solid"/>
      <a:round/>
    </a:ln>
  </c:spPr>
  <c:txPr>
    <a:bodyPr/>
    <a:lstStyle/>
    <a:p>
      <a:pPr>
        <a:defRPr lang="zh-CN" sz="67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9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sz="1000"/>
              <a:t>收入决算结构图</a:t>
            </a:r>
            <a:endParaRPr lang="zh-CN" altLang="en-US" sz="1000"/>
          </a:p>
        </c:rich>
      </c:tx>
      <c:layout>
        <c:manualLayout>
          <c:xMode val="edge"/>
          <c:yMode val="edge"/>
          <c:x val="0.455221959623143"/>
          <c:y val="0.122277866910221"/>
        </c:manualLayout>
      </c:layout>
      <c:overlay val="0"/>
      <c:spPr>
        <a:noFill/>
        <a:ln w="19016">
          <a:noFill/>
        </a:ln>
      </c:spPr>
    </c:title>
    <c:autoTitleDeleted val="0"/>
    <c:plotArea>
      <c:layout>
        <c:manualLayout>
          <c:layoutTarget val="inner"/>
          <c:xMode val="edge"/>
          <c:yMode val="edge"/>
          <c:x val="0.439971024595051"/>
          <c:y val="0.334045801526718"/>
          <c:w val="0.229704445717029"/>
          <c:h val="0.585307969315603"/>
        </c:manualLayout>
      </c:layout>
      <c:pieChart>
        <c:varyColors val="1"/>
        <c:ser>
          <c:idx val="0"/>
          <c:order val="0"/>
          <c:tx>
            <c:strRef>
              <c:f>Sheet1!$A$2</c:f>
              <c:strCache>
                <c:ptCount val="1"/>
                <c:pt idx="0">
                  <c:v/>
                </c:pt>
              </c:strCache>
            </c:strRef>
          </c:tx>
          <c:spPr>
            <a:solidFill>
              <a:srgbClr val="9999FF"/>
            </a:solidFill>
            <a:ln w="9508">
              <a:solidFill>
                <a:srgbClr val="000000"/>
              </a:solidFill>
              <a:prstDash val="solid"/>
            </a:ln>
          </c:spPr>
          <c:explosion val="0"/>
          <c:dPt>
            <c:idx val="0"/>
            <c:bubble3D val="0"/>
            <c:spPr>
              <a:solidFill>
                <a:srgbClr val="9999FF"/>
              </a:solidFill>
              <a:ln w="9508">
                <a:solidFill>
                  <a:srgbClr val="000000"/>
                </a:solidFill>
                <a:prstDash val="solid"/>
              </a:ln>
            </c:spPr>
          </c:dPt>
          <c:dPt>
            <c:idx val="1"/>
            <c:bubble3D val="0"/>
            <c:spPr>
              <a:solidFill>
                <a:srgbClr val="993366"/>
              </a:solidFill>
              <a:ln w="9508">
                <a:solidFill>
                  <a:srgbClr val="000000"/>
                </a:solidFill>
                <a:prstDash val="solid"/>
              </a:ln>
            </c:spPr>
          </c:dPt>
          <c:dPt>
            <c:idx val="2"/>
            <c:bubble3D val="0"/>
            <c:spPr>
              <a:solidFill>
                <a:srgbClr val="9999FF"/>
              </a:solidFill>
              <a:ln w="9508">
                <a:solidFill>
                  <a:srgbClr val="000000"/>
                </a:solidFill>
                <a:prstDash val="solid"/>
              </a:ln>
            </c:spPr>
          </c:dPt>
          <c:dLbls>
            <c:dLbl>
              <c:idx val="0"/>
              <c:layout>
                <c:manualLayout>
                  <c:x val="-0.599986791901652"/>
                  <c:y val="0.192650546495837"/>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sz="1000"/>
                      <a:t>政府性基金预算</a:t>
                    </a:r>
                    <a:r>
                      <a:rPr lang="en-US" altLang="zh-CN" sz="1000"/>
                      <a:t>, 11.3%</a:t>
                    </a:r>
                    <a:endParaRPr lang="en-US" altLang="zh-CN" sz="1000"/>
                  </a:p>
                </c:rich>
              </c:tx>
              <c:numFmt formatCode="0%" sourceLinked="0"/>
              <c:spPr>
                <a:noFill/>
                <a:ln w="19016">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1"/>
              <c:showCatName val="1"/>
              <c:showSerName val="0"/>
              <c:showPercent val="1"/>
              <c:showBubbleSize val="0"/>
              <c:extLst>
                <c:ext xmlns:c15="http://schemas.microsoft.com/office/drawing/2012/chart" uri="{CE6537A1-D6FC-4f65-9D91-7224C49458BB}">
                  <c15:layout>
                    <c:manualLayout>
                      <c:w val="0.29311957247829"/>
                      <c:h val="0.237184115523466"/>
                    </c:manualLayout>
                  </c15:layout>
                </c:ext>
              </c:extLst>
            </c:dLbl>
            <c:dLbl>
              <c:idx val="1"/>
              <c:layout>
                <c:manualLayout>
                  <c:x val="-0.276537051719935"/>
                  <c:y val="-0.584194214625902"/>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sz="1000"/>
                      <a:t>一般公共预算财政拨款收入</a:t>
                    </a:r>
                    <a:r>
                      <a:rPr lang="en-US" altLang="zh-CN" sz="1000"/>
                      <a:t>, 46.4%</a:t>
                    </a:r>
                    <a:endParaRPr lang="en-US" altLang="zh-CN" sz="1000"/>
                  </a:p>
                </c:rich>
              </c:tx>
              <c:numFmt formatCode="0%" sourceLinked="0"/>
              <c:spPr>
                <a:noFill/>
                <a:ln w="19016">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1"/>
              <c:showCatName val="1"/>
              <c:showSerName val="0"/>
              <c:showPercent val="1"/>
              <c:showBubbleSize val="0"/>
              <c:extLst>
                <c:ext xmlns:c15="http://schemas.microsoft.com/office/drawing/2012/chart" uri="{CE6537A1-D6FC-4f65-9D91-7224C49458BB}">
                  <c15:layout>
                    <c:manualLayout>
                      <c:w val="0.416165664662659"/>
                      <c:h val="0.223826714801444"/>
                    </c:manualLayout>
                  </c15:layout>
                </c:ext>
              </c:extLst>
            </c:dLbl>
            <c:dLbl>
              <c:idx val="2"/>
              <c:layout>
                <c:manualLayout>
                  <c:x val="-0.0448865914388886"/>
                  <c:y val="-0.0128860176651526"/>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sz="1000"/>
                      <a:t>经营收入</a:t>
                    </a:r>
                    <a:r>
                      <a:rPr lang="en-US" altLang="zh-CN" sz="1000"/>
                      <a:t>,  42.23%</a:t>
                    </a:r>
                    <a:endParaRPr lang="en-US" altLang="zh-CN" sz="1000"/>
                  </a:p>
                </c:rich>
              </c:tx>
              <c:numFmt formatCode="0%" sourceLinked="0"/>
              <c:spPr>
                <a:noFill/>
                <a:ln w="19016">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1"/>
              <c:showCatName val="1"/>
              <c:showSerName val="0"/>
              <c:showPercent val="1"/>
              <c:showBubbleSize val="0"/>
              <c:extLst>
                <c:ext xmlns:c15="http://schemas.microsoft.com/office/drawing/2012/chart" uri="{CE6537A1-D6FC-4f65-9D91-7224C49458BB}">
                  <c15:layout>
                    <c:manualLayout>
                      <c:w val="0.345223780895124"/>
                      <c:h val="0.177617328519856"/>
                    </c:manualLayout>
                  </c15:layout>
                </c:ext>
              </c:extLst>
            </c:dLbl>
            <c:numFmt formatCode="0%" sourceLinked="0"/>
            <c:spPr>
              <a:noFill/>
              <a:ln w="19016">
                <a:noFill/>
              </a:ln>
              <a:effectLst/>
            </c:spPr>
            <c:txPr>
              <a:bodyPr rot="0" spcFirstLastPara="0" vertOverflow="ellipsis" vert="horz" wrap="square" lIns="38100" tIns="19050" rIns="38100" bIns="19050" anchor="ctr" anchorCtr="1">
                <a:spAutoFit/>
              </a:bodyPr>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1"/>
            <c:showCatName val="1"/>
            <c:showSerName val="0"/>
            <c:showPercent val="1"/>
            <c:showBubbleSize val="0"/>
            <c:showLeaderLines val="0"/>
            <c:extLst>
              <c:ext xmlns:c15="http://schemas.microsoft.com/office/drawing/2012/chart" uri="{CE6537A1-D6FC-4f65-9D91-7224C49458BB}">
                <c15:layout/>
                <c15:showLeaderLines val="0"/>
                <c15:leaderLines/>
              </c:ext>
            </c:extLst>
          </c:dLbls>
          <c:cat>
            <c:strRef>
              <c:f>Sheet1!$B$1:$D$1</c:f>
              <c:strCache>
                <c:ptCount val="3"/>
                <c:pt idx="0">
                  <c:v>一般公共预算财政拨款收入</c:v>
                </c:pt>
                <c:pt idx="1">
                  <c:v>政府性基金收入</c:v>
                </c:pt>
                <c:pt idx="2">
                  <c:v>经营收入</c:v>
                </c:pt>
              </c:strCache>
            </c:strRef>
          </c:cat>
          <c:val>
            <c:numRef>
              <c:f>Sheet1!$B$2:$D$2</c:f>
              <c:numCache>
                <c:formatCode>General</c:formatCode>
                <c:ptCount val="3"/>
                <c:pt idx="0">
                  <c:v>2439.02</c:v>
                </c:pt>
                <c:pt idx="1">
                  <c:v>594.12</c:v>
                </c:pt>
                <c:pt idx="2">
                  <c:v>2222.31</c:v>
                </c:pt>
              </c:numCache>
            </c:numRef>
          </c:val>
        </c:ser>
        <c:dLbls>
          <c:showLegendKey val="0"/>
          <c:showVal val="1"/>
          <c:showCatName val="1"/>
          <c:showSerName val="0"/>
          <c:showPercent val="1"/>
          <c:showBubbleSize val="0"/>
          <c:showLeaderLines val="0"/>
        </c:dLbls>
        <c:firstSliceAng val="0"/>
      </c:pieChart>
      <c:spPr>
        <a:solidFill>
          <a:srgbClr val="C0C0C0"/>
        </a:solidFill>
        <a:ln w="9508">
          <a:solidFill>
            <a:srgbClr val="808080"/>
          </a:solidFill>
          <a:prstDash val="solid"/>
        </a:ln>
      </c:spPr>
    </c:plotArea>
    <c:legend>
      <c:legendPos val="r"/>
      <c:layout>
        <c:manualLayout>
          <c:xMode val="edge"/>
          <c:yMode val="edge"/>
          <c:x val="0.712371261943169"/>
          <c:y val="0.0432595573440644"/>
          <c:w val="0.273234892666584"/>
          <c:h val="0.608987256874581"/>
        </c:manualLayout>
      </c:layout>
      <c:overlay val="0"/>
      <c:spPr>
        <a:noFill/>
        <a:ln w="2377">
          <a:solidFill>
            <a:srgbClr val="000000"/>
          </a:solidFill>
          <a:prstDash val="solid"/>
        </a:ln>
      </c:spPr>
      <c:txPr>
        <a:bodyPr rot="0" spcFirstLastPara="0" vertOverflow="ellipsis" vert="horz" wrap="square" anchor="ctr" anchorCtr="1"/>
        <a:lstStyle/>
        <a:p>
          <a:pPr>
            <a:defRPr lang="zh-CN" sz="82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83109491-2154-4e5e-9a29-9c2951bd4aa1}"/>
      </c:ext>
    </c:extLst>
  </c:chart>
  <c:spPr>
    <a:noFill/>
    <a:ln w="6350" cap="flat" cmpd="sng" algn="ctr">
      <a:noFill/>
      <a:prstDash val="solid"/>
      <a:round/>
    </a:ln>
  </c:spPr>
  <c:txPr>
    <a:bodyPr/>
    <a:lstStyle/>
    <a:p>
      <a:pPr>
        <a:defRPr lang="zh-CN" sz="9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sz="1000"/>
              <a:t>一般公共预算财政拨款支出决算结构图</a:t>
            </a:r>
            <a:endParaRPr lang="zh-CN" altLang="en-US" sz="1000"/>
          </a:p>
        </c:rich>
      </c:tx>
      <c:layout>
        <c:manualLayout>
          <c:xMode val="edge"/>
          <c:yMode val="edge"/>
          <c:x val="0.311427044779761"/>
          <c:y val="0.0638089005235602"/>
        </c:manualLayout>
      </c:layout>
      <c:overlay val="0"/>
      <c:spPr>
        <a:noFill/>
        <a:ln w="19014">
          <a:noFill/>
        </a:ln>
      </c:spPr>
    </c:title>
    <c:autoTitleDeleted val="0"/>
    <c:plotArea>
      <c:layout>
        <c:manualLayout>
          <c:layoutTarget val="inner"/>
          <c:xMode val="edge"/>
          <c:yMode val="edge"/>
          <c:x val="0.192427239333145"/>
          <c:y val="0.269593785156444"/>
          <c:w val="0.323727908418678"/>
          <c:h val="0.533988845441016"/>
        </c:manualLayout>
      </c:layout>
      <c:pieChart>
        <c:varyColors val="1"/>
        <c:ser>
          <c:idx val="0"/>
          <c:order val="0"/>
          <c:tx>
            <c:strRef>
              <c:f>Sheet1!$A$2</c:f>
              <c:strCache>
                <c:ptCount val="1"/>
                <c:pt idx="0">
                  <c:v/>
                </c:pt>
              </c:strCache>
            </c:strRef>
          </c:tx>
          <c:spPr>
            <a:solidFill>
              <a:srgbClr val="9999FF"/>
            </a:solidFill>
            <a:ln w="9507">
              <a:solidFill>
                <a:srgbClr val="000000"/>
              </a:solidFill>
              <a:prstDash val="solid"/>
            </a:ln>
          </c:spPr>
          <c:explosion val="0"/>
          <c:dPt>
            <c:idx val="0"/>
            <c:bubble3D val="0"/>
            <c:spPr>
              <a:solidFill>
                <a:srgbClr val="9999FF"/>
              </a:solidFill>
              <a:ln w="9507">
                <a:solidFill>
                  <a:srgbClr val="000000"/>
                </a:solidFill>
                <a:prstDash val="solid"/>
              </a:ln>
            </c:spPr>
          </c:dPt>
          <c:dPt>
            <c:idx val="1"/>
            <c:bubble3D val="0"/>
            <c:spPr>
              <a:solidFill>
                <a:srgbClr val="993366"/>
              </a:solidFill>
              <a:ln w="9507">
                <a:solidFill>
                  <a:srgbClr val="000000"/>
                </a:solidFill>
                <a:prstDash val="solid"/>
              </a:ln>
            </c:spPr>
          </c:dPt>
          <c:dPt>
            <c:idx val="2"/>
            <c:bubble3D val="0"/>
            <c:spPr>
              <a:solidFill>
                <a:srgbClr val="FFFFCC"/>
              </a:solidFill>
              <a:ln w="9507">
                <a:solidFill>
                  <a:srgbClr val="000000"/>
                </a:solidFill>
                <a:prstDash val="solid"/>
              </a:ln>
            </c:spPr>
          </c:dPt>
          <c:dLbls>
            <c:dLbl>
              <c:idx val="0"/>
              <c:layout>
                <c:manualLayout>
                  <c:x val="0.00715529057600694"/>
                  <c:y val="-0.142053328586025"/>
                </c:manualLayout>
              </c:layout>
              <c:tx>
                <c:rich>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基本支出</a:t>
                    </a:r>
                    <a:r>
                      <a:rPr lang="en-US" altLang="zh-CN"/>
                      <a:t>, 40.8%</a:t>
                    </a:r>
                    <a:endParaRPr lang="en-US" altLang="zh-CN"/>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104193800468872"/>
                  <c:y val="0"/>
                </c:manualLayout>
              </c:layout>
              <c:tx>
                <c:rich>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项目支出</a:t>
                    </a:r>
                    <a:r>
                      <a:rPr lang="en-US" altLang="zh-CN"/>
                      <a:t>, 16.8%</a:t>
                    </a:r>
                    <a:endParaRPr lang="en-US" altLang="zh-CN"/>
                  </a:p>
                </c:rich>
              </c:tx>
              <c:dLblPos val="bestFit"/>
              <c:showLegendKey val="0"/>
              <c:showVal val="1"/>
              <c:showCatName val="0"/>
              <c:showSerName val="0"/>
              <c:showPercent val="1"/>
              <c:showBubbleSize val="0"/>
              <c:extLst>
                <c:ext xmlns:c15="http://schemas.microsoft.com/office/drawing/2012/chart" uri="{CE6537A1-D6FC-4f65-9D91-7224C49458BB}">
                  <c15:layout>
                    <c:manualLayout>
                      <c:w val="0.244204219848919"/>
                      <c:h val="0.176701570680628"/>
                    </c:manualLayout>
                  </c15:layout>
                </c:ext>
              </c:extLst>
            </c:dLbl>
            <c:dLbl>
              <c:idx val="2"/>
              <c:layout>
                <c:manualLayout>
                  <c:x val="-0.0792940161493079"/>
                  <c:y val="0.0214707048875899"/>
                </c:manualLayout>
              </c:layout>
              <c:tx>
                <c:rich>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经营支出</a:t>
                    </a:r>
                    <a:r>
                      <a:rPr lang="en-US" altLang="zh-CN"/>
                      <a:t>, 42.4%</a:t>
                    </a:r>
                    <a:endParaRPr lang="en-US" altLang="zh-CN"/>
                  </a:p>
                </c:rich>
              </c:tx>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 sourceLinked="0"/>
            <c:spPr>
              <a:noFill/>
              <a:ln w="19014">
                <a:noFill/>
              </a:ln>
              <a:effectLst/>
            </c:spPr>
            <c:txPr>
              <a:bodyPr rot="0" spcFirstLastPara="0" vertOverflow="ellipsis" vert="horz" wrap="square" lIns="38100" tIns="19050" rIns="38100" bIns="19050" anchor="ctr" anchorCtr="1">
                <a:spAutoFit/>
              </a:bodyPr>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Sheet1!$B$1:$D$1</c:f>
              <c:strCache>
                <c:ptCount val="3"/>
                <c:pt idx="0">
                  <c:v>基本支出</c:v>
                </c:pt>
                <c:pt idx="1">
                  <c:v>项目支出</c:v>
                </c:pt>
                <c:pt idx="2">
                  <c:v>经营支出</c:v>
                </c:pt>
              </c:strCache>
            </c:strRef>
          </c:cat>
          <c:val>
            <c:numRef>
              <c:f>Sheet1!$B$2:$D$2</c:f>
              <c:numCache>
                <c:formatCode>General</c:formatCode>
                <c:ptCount val="3"/>
                <c:pt idx="0">
                  <c:v>2148.58</c:v>
                </c:pt>
                <c:pt idx="1">
                  <c:v>884.57</c:v>
                </c:pt>
                <c:pt idx="2">
                  <c:v>2235.6</c:v>
                </c:pt>
              </c:numCache>
            </c:numRef>
          </c:val>
        </c:ser>
        <c:dLbls>
          <c:showLegendKey val="0"/>
          <c:showVal val="1"/>
          <c:showCatName val="0"/>
          <c:showSerName val="0"/>
          <c:showPercent val="1"/>
          <c:showBubbleSize val="0"/>
          <c:showLeaderLines val="1"/>
        </c:dLbls>
        <c:firstSliceAng val="0"/>
      </c:pieChart>
      <c:spPr>
        <a:solidFill>
          <a:srgbClr val="C0C0C0"/>
        </a:solidFill>
        <a:ln w="9507">
          <a:solidFill>
            <a:srgbClr val="808080"/>
          </a:solidFill>
          <a:prstDash val="solid"/>
        </a:ln>
      </c:spPr>
    </c:plotArea>
    <c:legend>
      <c:legendPos val="r"/>
      <c:legendEntry>
        <c:idx val="0"/>
        <c:txPr>
          <a:bodyPr rot="0" spcFirstLastPara="0" vertOverflow="ellipsis" vert="horz" wrap="square" anchor="ctr" anchorCtr="1"/>
          <a:lstStyle/>
          <a:p>
            <a:pPr>
              <a:defRPr lang="zh-CN" sz="9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Entry>
      <c:legendEntry>
        <c:idx val="1"/>
        <c:txPr>
          <a:bodyPr rot="0" spcFirstLastPara="0" vertOverflow="ellipsis" vert="horz" wrap="square" anchor="ctr" anchorCtr="1"/>
          <a:lstStyle/>
          <a:p>
            <a:pPr>
              <a:defRPr lang="zh-CN" sz="9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Entry>
      <c:legendEntry>
        <c:idx val="2"/>
        <c:txPr>
          <a:bodyPr rot="0" spcFirstLastPara="0" vertOverflow="ellipsis" vert="horz" wrap="square" anchor="ctr" anchorCtr="1"/>
          <a:lstStyle/>
          <a:p>
            <a:pPr>
              <a:defRPr lang="zh-CN" sz="9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Entry>
      <c:layout>
        <c:manualLayout>
          <c:xMode val="edge"/>
          <c:yMode val="edge"/>
          <c:x val="0.599656383513101"/>
          <c:y val="0.335383676484759"/>
          <c:w val="0.385646080394272"/>
          <c:h val="0.534326614081215"/>
        </c:manualLayout>
      </c:layout>
      <c:overlay val="0"/>
      <c:spPr>
        <a:noFill/>
        <a:ln w="2377">
          <a:solidFill>
            <a:srgbClr val="000000"/>
          </a:solidFill>
          <a:prstDash val="solid"/>
        </a:ln>
      </c:spPr>
      <c:txPr>
        <a:bodyPr rot="0" spcFirstLastPara="0" vertOverflow="ellipsis" vert="horz" wrap="square" anchor="ctr" anchorCtr="1"/>
        <a:lstStyle/>
        <a:p>
          <a:pPr>
            <a:defRPr lang="zh-CN" sz="9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05501e0f-63a4-44df-8a71-e073b5f97116}"/>
      </c:ext>
    </c:extLst>
  </c:chart>
  <c:spPr>
    <a:noFill/>
    <a:ln w="6350" cap="flat" cmpd="sng" algn="ctr">
      <a:noFill/>
      <a:prstDash val="solid"/>
      <a:round/>
    </a:ln>
  </c:spPr>
  <c:txPr>
    <a:bodyPr/>
    <a:lstStyle/>
    <a:p>
      <a:pPr>
        <a:defRPr lang="zh-CN" sz="10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9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sz="1000">
                <a:solidFill>
                  <a:srgbClr val="000000"/>
                </a:solidFill>
                <a:uFillTx/>
                <a:latin typeface="宋体" panose="02010600030101010101" charset="-122"/>
              </a:rPr>
              <a:t>财政拨款收、支决算总计变动变动情况图</a:t>
            </a:r>
            <a:endParaRPr lang="zh-CN" altLang="en-US" sz="1000">
              <a:solidFill>
                <a:srgbClr val="000000"/>
              </a:solidFill>
              <a:uFillTx/>
              <a:latin typeface="宋体" panose="02010600030101010101" charset="-122"/>
            </a:endParaRPr>
          </a:p>
        </c:rich>
      </c:tx>
      <c:layout>
        <c:manualLayout>
          <c:xMode val="edge"/>
          <c:yMode val="edge"/>
          <c:x val="0.297731407169609"/>
          <c:y val="0.0236839248887442"/>
        </c:manualLayout>
      </c:layout>
      <c:overlay val="0"/>
      <c:spPr>
        <a:noFill/>
        <a:ln w="19024">
          <a:noFill/>
        </a:ln>
      </c:spPr>
    </c:title>
    <c:autoTitleDeleted val="0"/>
    <c:plotArea>
      <c:layout>
        <c:manualLayout>
          <c:layoutTarget val="inner"/>
          <c:xMode val="edge"/>
          <c:yMode val="edge"/>
          <c:x val="0.185593008739076"/>
          <c:y val="0.236726411903957"/>
          <c:w val="0.752983770287141"/>
          <c:h val="0.431653703077444"/>
        </c:manualLayout>
      </c:layout>
      <c:barChart>
        <c:barDir val="col"/>
        <c:grouping val="clustered"/>
        <c:varyColors val="0"/>
        <c:ser>
          <c:idx val="0"/>
          <c:order val="0"/>
          <c:tx>
            <c:strRef>
              <c:f>Sheet1!$A$2</c:f>
              <c:strCache>
                <c:ptCount val="1"/>
                <c:pt idx="0">
                  <c:v/>
                </c:pt>
              </c:strCache>
            </c:strRef>
          </c:tx>
          <c:spPr>
            <a:solidFill>
              <a:srgbClr val="9999FF"/>
            </a:solidFill>
            <a:ln w="9512">
              <a:solidFill>
                <a:srgbClr val="000000"/>
              </a:solidFill>
              <a:prstDash val="solid"/>
            </a:ln>
          </c:spPr>
          <c:invertIfNegative val="0"/>
          <c:dLbls>
            <c:spPr>
              <a:noFill/>
              <a:ln w="19024">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1"/>
            <c:showSerName val="0"/>
            <c:showPercent val="0"/>
            <c:showBubbleSize val="0"/>
            <c:showLeaderLines val="0"/>
            <c:extLst>
              <c:ext xmlns:c15="http://schemas.microsoft.com/office/drawing/2012/chart" uri="{CE6537A1-D6FC-4f65-9D91-7224C49458BB}">
                <c15:layout/>
                <c15:showLeaderLines val="0"/>
                <c15:leaderLines/>
              </c:ext>
            </c:extLst>
          </c:dLbls>
          <c:cat>
            <c:strRef>
              <c:f>Sheet1!$B$1:$C$1</c:f>
              <c:strCache>
                <c:ptCount val="2"/>
                <c:pt idx="0">
                  <c:v>2024年</c:v>
                </c:pt>
                <c:pt idx="1">
                  <c:v>2025年</c:v>
                </c:pt>
              </c:strCache>
            </c:strRef>
          </c:cat>
          <c:val>
            <c:numRef>
              <c:f>Sheet1!$B$2:$C$2</c:f>
              <c:numCache>
                <c:formatCode>General</c:formatCode>
                <c:ptCount val="2"/>
                <c:pt idx="0">
                  <c:v>7503.48</c:v>
                </c:pt>
                <c:pt idx="1">
                  <c:v>3033.15</c:v>
                </c:pt>
              </c:numCache>
            </c:numRef>
          </c:val>
        </c:ser>
        <c:dLbls>
          <c:showLegendKey val="0"/>
          <c:showVal val="1"/>
          <c:showCatName val="1"/>
          <c:showSerName val="0"/>
          <c:showPercent val="0"/>
          <c:showBubbleSize val="0"/>
        </c:dLbls>
        <c:gapWidth val="150"/>
        <c:axId val="331810304"/>
        <c:axId val="331813632"/>
      </c:barChart>
      <c:catAx>
        <c:axId val="331810304"/>
        <c:scaling>
          <c:orientation val="minMax"/>
        </c:scaling>
        <c:delete val="0"/>
        <c:axPos val="b"/>
        <c:title>
          <c:tx>
            <c:rich>
              <a:bodyPr rot="0" spcFirstLastPara="0" vertOverflow="ellipsis" vert="horz" wrap="square" anchor="ctr" anchorCtr="1"/>
              <a:lstStyle/>
              <a:p>
                <a:pPr>
                  <a:defRPr lang="zh-CN" sz="9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年份</a:t>
                </a:r>
                <a:endParaRPr lang="zh-CN" altLang="en-US"/>
              </a:p>
            </c:rich>
          </c:tx>
          <c:layout>
            <c:manualLayout>
              <c:xMode val="edge"/>
              <c:yMode val="edge"/>
              <c:x val="0.529934011057607"/>
              <c:y val="0.78709655554227"/>
            </c:manualLayout>
          </c:layout>
          <c:overlay val="0"/>
          <c:spPr>
            <a:noFill/>
            <a:ln w="19024">
              <a:noFill/>
            </a:ln>
          </c:spPr>
        </c:title>
        <c:numFmt formatCode="General" sourceLinked="1"/>
        <c:majorTickMark val="in"/>
        <c:minorTickMark val="none"/>
        <c:tickLblPos val="nextTo"/>
        <c:spPr>
          <a:ln w="2378" cap="flat" cmpd="sng" algn="ctr">
            <a:solidFill>
              <a:srgbClr val="000000"/>
            </a:solidFill>
            <a:prstDash val="solid"/>
            <a:round/>
          </a:ln>
        </c:spPr>
        <c:txPr>
          <a:bodyPr rot="0" spcFirstLastPara="0" vertOverflow="ellipsis" vert="horz" wrap="square" anchor="ctr" anchorCtr="1"/>
          <a:lstStyle/>
          <a:p>
            <a:pPr>
              <a:defRPr lang="zh-CN" sz="9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331813632"/>
        <c:crosses val="autoZero"/>
        <c:auto val="1"/>
        <c:lblAlgn val="ctr"/>
        <c:lblOffset val="100"/>
        <c:tickLblSkip val="1"/>
        <c:noMultiLvlLbl val="0"/>
      </c:catAx>
      <c:valAx>
        <c:axId val="331813632"/>
        <c:scaling>
          <c:orientation val="minMax"/>
        </c:scaling>
        <c:delete val="0"/>
        <c:axPos val="l"/>
        <c:majorGridlines>
          <c:spPr>
            <a:ln w="2378" cap="flat" cmpd="sng" algn="ctr">
              <a:solidFill>
                <a:srgbClr val="000000"/>
              </a:solidFill>
              <a:prstDash val="solid"/>
              <a:round/>
            </a:ln>
          </c:spPr>
        </c:majorGridlines>
        <c:title>
          <c:tx>
            <c:rich>
              <a:bodyPr rot="-5400000" spcFirstLastPara="0" vertOverflow="ellipsis" vert="horz" wrap="square" anchor="ctr" anchorCtr="1"/>
              <a:lstStyle/>
              <a:p>
                <a:pPr>
                  <a:defRPr lang="zh-CN" sz="9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金额</a:t>
                </a:r>
                <a:r>
                  <a:rPr lang="en-US" altLang="zh-CN"/>
                  <a:t>/</a:t>
                </a:r>
                <a:r>
                  <a:rPr lang="zh-CN" altLang="en-US"/>
                  <a:t>万元</a:t>
                </a:r>
                <a:endParaRPr lang="zh-CN" altLang="en-US"/>
              </a:p>
            </c:rich>
          </c:tx>
          <c:layout>
            <c:manualLayout>
              <c:xMode val="edge"/>
              <c:yMode val="edge"/>
              <c:x val="0.0646477617264135"/>
              <c:y val="0.267615184795574"/>
            </c:manualLayout>
          </c:layout>
          <c:overlay val="0"/>
          <c:spPr>
            <a:noFill/>
            <a:ln w="19024">
              <a:noFill/>
            </a:ln>
          </c:spPr>
        </c:title>
        <c:numFmt formatCode="General" sourceLinked="1"/>
        <c:majorTickMark val="in"/>
        <c:minorTickMark val="none"/>
        <c:tickLblPos val="nextTo"/>
        <c:spPr>
          <a:ln w="2378" cap="flat" cmpd="sng" algn="ctr">
            <a:solidFill>
              <a:srgbClr val="000000"/>
            </a:solidFill>
            <a:prstDash val="solid"/>
            <a:round/>
          </a:ln>
        </c:spPr>
        <c:txPr>
          <a:bodyPr rot="0" spcFirstLastPara="0" vertOverflow="ellipsis" vert="horz" wrap="square" anchor="ctr" anchorCtr="1"/>
          <a:lstStyle/>
          <a:p>
            <a:pPr>
              <a:defRPr lang="zh-CN" sz="9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331810304"/>
        <c:crosses val="autoZero"/>
        <c:crossBetween val="between"/>
      </c:valAx>
      <c:spPr>
        <a:solidFill>
          <a:srgbClr val="C0C0C0"/>
        </a:solidFill>
        <a:ln w="19024">
          <a:noFill/>
        </a:ln>
      </c:spPr>
    </c:plotArea>
    <c:plotVisOnly val="1"/>
    <c:dispBlanksAs val="gap"/>
    <c:showDLblsOverMax val="0"/>
    <c:extLst>
      <c:ext uri="{0b15fc19-7d7d-44ad-8c2d-2c3a37ce22c3}">
        <chartProps xmlns="https://web.wps.cn/et/2018/main" chartId="{1478b9fd-69b6-4f8a-8254-9b4aa49de3fb}"/>
      </c:ext>
    </c:extLst>
  </c:chart>
  <c:spPr>
    <a:noFill/>
    <a:ln w="6350" cap="flat" cmpd="sng" algn="ctr">
      <a:noFill/>
      <a:prstDash val="solid"/>
      <a:round/>
    </a:ln>
  </c:spPr>
  <c:txPr>
    <a:bodyPr/>
    <a:lstStyle/>
    <a:p>
      <a:pPr>
        <a:defRPr lang="zh-CN" sz="9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86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sz="1000"/>
              <a:t>一般公共预算财政拨款支出决算总体情况图</a:t>
            </a:r>
            <a:endParaRPr lang="zh-CN" altLang="en-US" sz="1000"/>
          </a:p>
        </c:rich>
      </c:tx>
      <c:layout>
        <c:manualLayout>
          <c:xMode val="edge"/>
          <c:yMode val="edge"/>
          <c:x val="0.274339858177898"/>
          <c:y val="0.027722712530432"/>
        </c:manualLayout>
      </c:layout>
      <c:overlay val="0"/>
      <c:spPr>
        <a:noFill/>
        <a:ln w="19021">
          <a:noFill/>
        </a:ln>
      </c:spPr>
    </c:title>
    <c:autoTitleDeleted val="0"/>
    <c:plotArea>
      <c:layout>
        <c:manualLayout>
          <c:layoutTarget val="inner"/>
          <c:xMode val="edge"/>
          <c:yMode val="edge"/>
          <c:x val="0.163758541006526"/>
          <c:y val="0.238991562208355"/>
          <c:w val="0.815734989648033"/>
          <c:h val="0.495689655172414"/>
        </c:manualLayout>
      </c:layout>
      <c:barChart>
        <c:barDir val="col"/>
        <c:grouping val="clustered"/>
        <c:varyColors val="0"/>
        <c:ser>
          <c:idx val="0"/>
          <c:order val="0"/>
          <c:tx>
            <c:strRef>
              <c:f>Sheet1!$A$2</c:f>
              <c:strCache>
                <c:ptCount val="1"/>
                <c:pt idx="0">
                  <c:v/>
                </c:pt>
              </c:strCache>
            </c:strRef>
          </c:tx>
          <c:spPr>
            <a:solidFill>
              <a:srgbClr val="9999FF"/>
            </a:solidFill>
            <a:ln w="9511">
              <a:solidFill>
                <a:srgbClr val="000000"/>
              </a:solidFill>
              <a:prstDash val="solid"/>
            </a:ln>
          </c:spPr>
          <c:invertIfNegative val="0"/>
          <c:dLbls>
            <c:dLbl>
              <c:idx val="1"/>
              <c:layout>
                <c:manualLayout>
                  <c:x val="-0.00831422018348624"/>
                  <c:y val="-0.00415251038127595"/>
                </c:manualLayout>
              </c:layout>
              <c:dLblPos val="outEnd"/>
              <c:showLegendKey val="0"/>
              <c:showVal val="1"/>
              <c:showCatName val="1"/>
              <c:showSerName val="0"/>
              <c:showPercent val="0"/>
              <c:showBubbleSize val="0"/>
              <c:extLst>
                <c:ext xmlns:c15="http://schemas.microsoft.com/office/drawing/2012/chart" uri="{CE6537A1-D6FC-4f65-9D91-7224C49458BB}">
                  <c15:layout>
                    <c:manualLayout>
                      <c:w val="0.232941513761468"/>
                      <c:h val="0.178180445451114"/>
                    </c:manualLayout>
                  </c15:layout>
                </c:ext>
              </c:extLst>
            </c:dLbl>
            <c:spPr>
              <a:noFill/>
              <a:ln w="19021">
                <a:noFill/>
              </a:ln>
              <a:effectLst/>
            </c:spPr>
            <c:txPr>
              <a:bodyPr rot="0" spcFirstLastPara="0" vertOverflow="ellipsis" vert="horz" wrap="square" lIns="38100" tIns="19050" rIns="38100" bIns="19050" anchor="ctr" anchorCtr="1">
                <a:spAutoFit/>
              </a:bodyPr>
              <a:lstStyle/>
              <a:p>
                <a:pPr>
                  <a:defRPr lang="zh-CN" sz="86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1"/>
            <c:showSerName val="0"/>
            <c:showPercent val="0"/>
            <c:showBubbleSize val="0"/>
            <c:showLeaderLines val="0"/>
            <c:extLst>
              <c:ext xmlns:c15="http://schemas.microsoft.com/office/drawing/2012/chart" uri="{CE6537A1-D6FC-4f65-9D91-7224C49458BB}">
                <c15:layout/>
                <c15:showLeaderLines val="0"/>
                <c15:leaderLines/>
              </c:ext>
            </c:extLst>
          </c:dLbls>
          <c:cat>
            <c:strRef>
              <c:f>Sheet1!$B$1:$C$1</c:f>
              <c:strCache>
                <c:ptCount val="2"/>
                <c:pt idx="0">
                  <c:v>2024年</c:v>
                </c:pt>
                <c:pt idx="1">
                  <c:v>2025年</c:v>
                </c:pt>
              </c:strCache>
            </c:strRef>
          </c:cat>
          <c:val>
            <c:numRef>
              <c:f>Sheet1!$B$2:$C$2</c:f>
              <c:numCache>
                <c:formatCode>General</c:formatCode>
                <c:ptCount val="2"/>
                <c:pt idx="0">
                  <c:v>2497.6</c:v>
                </c:pt>
                <c:pt idx="1">
                  <c:v>2439.02</c:v>
                </c:pt>
              </c:numCache>
            </c:numRef>
          </c:val>
        </c:ser>
        <c:dLbls>
          <c:showLegendKey val="0"/>
          <c:showVal val="1"/>
          <c:showCatName val="1"/>
          <c:showSerName val="0"/>
          <c:showPercent val="0"/>
          <c:showBubbleSize val="0"/>
        </c:dLbls>
        <c:gapWidth val="150"/>
        <c:axId val="331850112"/>
        <c:axId val="331853184"/>
      </c:barChart>
      <c:catAx>
        <c:axId val="331850112"/>
        <c:scaling>
          <c:orientation val="minMax"/>
        </c:scaling>
        <c:delete val="0"/>
        <c:axPos val="b"/>
        <c:title>
          <c:tx>
            <c:rich>
              <a:bodyPr rot="0" spcFirstLastPara="0" vertOverflow="ellipsis" vert="horz" wrap="square" anchor="ctr" anchorCtr="1"/>
              <a:lstStyle/>
              <a:p>
                <a:pPr>
                  <a:defRPr lang="zh-CN" sz="86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年份</a:t>
                </a:r>
                <a:endParaRPr lang="zh-CN" altLang="en-US"/>
              </a:p>
            </c:rich>
          </c:tx>
          <c:layout>
            <c:manualLayout>
              <c:xMode val="edge"/>
              <c:yMode val="edge"/>
              <c:x val="0.538104813030741"/>
              <c:y val="0.813699125916717"/>
            </c:manualLayout>
          </c:layout>
          <c:overlay val="0"/>
          <c:spPr>
            <a:noFill/>
            <a:ln w="19021">
              <a:noFill/>
            </a:ln>
          </c:spPr>
        </c:title>
        <c:numFmt formatCode="General" sourceLinked="1"/>
        <c:majorTickMark val="in"/>
        <c:minorTickMark val="none"/>
        <c:tickLblPos val="nextTo"/>
        <c:spPr>
          <a:ln w="2378" cap="flat" cmpd="sng" algn="ctr">
            <a:solidFill>
              <a:srgbClr val="000000"/>
            </a:solidFill>
            <a:prstDash val="solid"/>
            <a:round/>
          </a:ln>
        </c:spPr>
        <c:txPr>
          <a:bodyPr rot="0" spcFirstLastPara="0" vertOverflow="ellipsis" vert="horz" wrap="square" anchor="ctr" anchorCtr="1"/>
          <a:lstStyle/>
          <a:p>
            <a:pPr>
              <a:defRPr lang="zh-CN" sz="86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331853184"/>
        <c:crosses val="autoZero"/>
        <c:auto val="1"/>
        <c:lblAlgn val="ctr"/>
        <c:lblOffset val="100"/>
        <c:tickLblSkip val="1"/>
        <c:noMultiLvlLbl val="0"/>
      </c:catAx>
      <c:valAx>
        <c:axId val="331853184"/>
        <c:scaling>
          <c:orientation val="minMax"/>
        </c:scaling>
        <c:delete val="0"/>
        <c:axPos val="l"/>
        <c:majorGridlines>
          <c:spPr>
            <a:ln w="2378" cap="flat" cmpd="sng" algn="ctr">
              <a:solidFill>
                <a:srgbClr val="000000"/>
              </a:solidFill>
              <a:prstDash val="solid"/>
              <a:round/>
            </a:ln>
          </c:spPr>
        </c:majorGridlines>
        <c:title>
          <c:tx>
            <c:rich>
              <a:bodyPr rot="-5400000" spcFirstLastPara="0" vertOverflow="ellipsis" vert="horz" wrap="square" anchor="ctr" anchorCtr="1"/>
              <a:lstStyle/>
              <a:p>
                <a:pPr>
                  <a:defRPr lang="zh-CN" sz="86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金额</a:t>
                </a:r>
                <a:r>
                  <a:rPr lang="en-US" altLang="zh-CN"/>
                  <a:t>/</a:t>
                </a:r>
                <a:r>
                  <a:rPr lang="zh-CN" altLang="en-US"/>
                  <a:t>万元</a:t>
                </a:r>
                <a:endParaRPr lang="zh-CN" altLang="en-US"/>
              </a:p>
            </c:rich>
          </c:tx>
          <c:layout>
            <c:manualLayout>
              <c:xMode val="edge"/>
              <c:yMode val="edge"/>
              <c:x val="0.0328135043993325"/>
              <c:y val="0.322202342225114"/>
            </c:manualLayout>
          </c:layout>
          <c:overlay val="0"/>
          <c:spPr>
            <a:noFill/>
            <a:ln w="19021">
              <a:noFill/>
            </a:ln>
          </c:spPr>
        </c:title>
        <c:numFmt formatCode="General" sourceLinked="1"/>
        <c:majorTickMark val="in"/>
        <c:minorTickMark val="none"/>
        <c:tickLblPos val="nextTo"/>
        <c:spPr>
          <a:ln w="2378" cap="flat" cmpd="sng" algn="ctr">
            <a:solidFill>
              <a:srgbClr val="000000"/>
            </a:solidFill>
            <a:prstDash val="solid"/>
            <a:round/>
          </a:ln>
        </c:spPr>
        <c:txPr>
          <a:bodyPr rot="0" spcFirstLastPara="0" vertOverflow="ellipsis" vert="horz" wrap="square" anchor="ctr" anchorCtr="1"/>
          <a:lstStyle/>
          <a:p>
            <a:pPr>
              <a:defRPr lang="zh-CN" sz="86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331850112"/>
        <c:crosses val="autoZero"/>
        <c:crossBetween val="between"/>
      </c:valAx>
      <c:spPr>
        <a:solidFill>
          <a:srgbClr val="C0C0C0"/>
        </a:solidFill>
        <a:ln w="9511">
          <a:solidFill>
            <a:srgbClr val="808080"/>
          </a:solidFill>
          <a:prstDash val="solid"/>
        </a:ln>
      </c:spPr>
    </c:plotArea>
    <c:plotVisOnly val="1"/>
    <c:dispBlanksAs val="gap"/>
    <c:showDLblsOverMax val="0"/>
    <c:extLst>
      <c:ext uri="{0b15fc19-7d7d-44ad-8c2d-2c3a37ce22c3}">
        <chartProps xmlns="https://web.wps.cn/et/2018/main" chartId="{4add3c42-adfb-4110-bda5-ed1f4e68d2c8}"/>
      </c:ext>
    </c:extLst>
  </c:chart>
  <c:spPr>
    <a:noFill/>
    <a:ln w="6350" cap="flat" cmpd="sng" algn="ctr">
      <a:noFill/>
      <a:prstDash val="solid"/>
      <a:round/>
    </a:ln>
  </c:spPr>
  <c:txPr>
    <a:bodyPr/>
    <a:lstStyle/>
    <a:p>
      <a:pPr>
        <a:defRPr lang="zh-CN" sz="86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sz="1000"/>
              <a:t>一般公共预算财政拨款支出决算结构图</a:t>
            </a:r>
            <a:endParaRPr lang="zh-CN" altLang="en-US" sz="1000"/>
          </a:p>
        </c:rich>
      </c:tx>
      <c:layout>
        <c:manualLayout>
          <c:xMode val="edge"/>
          <c:yMode val="edge"/>
          <c:x val="0.307519777262178"/>
          <c:y val="0.0441217929117141"/>
        </c:manualLayout>
      </c:layout>
      <c:overlay val="0"/>
      <c:spPr>
        <a:noFill/>
        <a:ln w="19014">
          <a:noFill/>
        </a:ln>
      </c:spPr>
    </c:title>
    <c:autoTitleDeleted val="0"/>
    <c:plotArea>
      <c:layout>
        <c:manualLayout>
          <c:layoutTarget val="inner"/>
          <c:xMode val="edge"/>
          <c:yMode val="edge"/>
          <c:x val="0.192427239333145"/>
          <c:y val="0.269593785156444"/>
          <c:w val="0.323727908418678"/>
          <c:h val="0.533988845441016"/>
        </c:manualLayout>
      </c:layout>
      <c:pieChart>
        <c:varyColors val="1"/>
        <c:ser>
          <c:idx val="0"/>
          <c:order val="0"/>
          <c:tx>
            <c:strRef>
              <c:f>Sheet1!$A$2</c:f>
              <c:strCache>
                <c:ptCount val="1"/>
                <c:pt idx="0">
                  <c:v/>
                </c:pt>
              </c:strCache>
            </c:strRef>
          </c:tx>
          <c:spPr>
            <a:solidFill>
              <a:srgbClr val="9999FF"/>
            </a:solidFill>
            <a:ln w="9507">
              <a:solidFill>
                <a:srgbClr val="000000"/>
              </a:solidFill>
              <a:prstDash val="solid"/>
            </a:ln>
          </c:spPr>
          <c:explosion val="0"/>
          <c:dPt>
            <c:idx val="0"/>
            <c:bubble3D val="0"/>
            <c:spPr>
              <a:solidFill>
                <a:srgbClr val="9999FF"/>
              </a:solidFill>
              <a:ln w="9507">
                <a:solidFill>
                  <a:srgbClr val="000000"/>
                </a:solidFill>
                <a:prstDash val="solid"/>
              </a:ln>
            </c:spPr>
          </c:dPt>
          <c:dPt>
            <c:idx val="1"/>
            <c:bubble3D val="0"/>
            <c:spPr>
              <a:solidFill>
                <a:srgbClr val="993366"/>
              </a:solidFill>
              <a:ln w="9507">
                <a:solidFill>
                  <a:srgbClr val="000000"/>
                </a:solidFill>
                <a:prstDash val="solid"/>
              </a:ln>
            </c:spPr>
          </c:dPt>
          <c:dPt>
            <c:idx val="2"/>
            <c:bubble3D val="0"/>
            <c:spPr>
              <a:solidFill>
                <a:srgbClr val="FFFFCC"/>
              </a:solidFill>
              <a:ln w="9507">
                <a:solidFill>
                  <a:srgbClr val="000000"/>
                </a:solidFill>
                <a:prstDash val="solid"/>
              </a:ln>
            </c:spPr>
          </c:dPt>
          <c:dPt>
            <c:idx val="3"/>
            <c:bubble3D val="0"/>
            <c:spPr>
              <a:solidFill>
                <a:srgbClr val="9999FF"/>
              </a:solidFill>
              <a:ln w="9507">
                <a:solidFill>
                  <a:srgbClr val="000000"/>
                </a:solidFill>
                <a:prstDash val="solid"/>
              </a:ln>
            </c:spPr>
          </c:dPt>
          <c:dLbls>
            <c:dLbl>
              <c:idx val="0"/>
              <c:layout>
                <c:manualLayout>
                  <c:x val="-0.115527334699396"/>
                  <c:y val="0.01358392763417"/>
                </c:manualLayout>
              </c:layout>
              <c:tx>
                <c:rich>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sz="900"/>
                      <a:t>一般公共服务支出</a:t>
                    </a:r>
                    <a:r>
                      <a:rPr lang="en-US" altLang="zh-CN" sz="900"/>
                      <a:t>, 89.4%</a:t>
                    </a:r>
                    <a:endParaRPr lang="en-US" altLang="zh-CN" sz="900"/>
                  </a:p>
                </c:rich>
              </c:tx>
              <c:dLblPos val="bestFit"/>
              <c:showLegendKey val="0"/>
              <c:showVal val="1"/>
              <c:showCatName val="0"/>
              <c:showSerName val="0"/>
              <c:showPercent val="1"/>
              <c:showBubbleSize val="0"/>
              <c:extLst>
                <c:ext xmlns:c15="http://schemas.microsoft.com/office/drawing/2012/chart" uri="{CE6537A1-D6FC-4f65-9D91-7224C49458BB}">
                  <c15:layout>
                    <c:manualLayout>
                      <c:w val="0.423678041156551"/>
                      <c:h val="0.176701570680628"/>
                    </c:manualLayout>
                  </c15:layout>
                </c:ext>
              </c:extLst>
            </c:dLbl>
            <c:dLbl>
              <c:idx val="1"/>
              <c:layout>
                <c:manualLayout>
                  <c:x val="-0.128645774715651"/>
                  <c:y val="0.0979176457295576"/>
                </c:manualLayout>
              </c:layout>
              <c:tx>
                <c:rich>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sz="900"/>
                      <a:t>社会保障和就业支出</a:t>
                    </a:r>
                    <a:r>
                      <a:rPr lang="en-US" altLang="zh-CN" sz="900"/>
                      <a:t>, 9.2%</a:t>
                    </a:r>
                    <a:endParaRPr lang="en-US" altLang="zh-CN" sz="900"/>
                  </a:p>
                </c:rich>
              </c:tx>
              <c:dLblPos val="bestFit"/>
              <c:showLegendKey val="0"/>
              <c:showVal val="1"/>
              <c:showCatName val="0"/>
              <c:showSerName val="0"/>
              <c:showPercent val="1"/>
              <c:showBubbleSize val="0"/>
              <c:extLst>
                <c:ext xmlns:c15="http://schemas.microsoft.com/office/drawing/2012/chart" uri="{CE6537A1-D6FC-4f65-9D91-7224C49458BB}">
                  <c15:layout>
                    <c:manualLayout>
                      <c:w val="0.254363115394634"/>
                      <c:h val="0.294502617801047"/>
                    </c:manualLayout>
                  </c15:layout>
                </c:ext>
              </c:extLst>
            </c:dLbl>
            <c:dLbl>
              <c:idx val="2"/>
              <c:layout>
                <c:manualLayout>
                  <c:x val="0.233589993880019"/>
                  <c:y val="0.329511088698733"/>
                </c:manualLayout>
              </c:layout>
              <c:tx>
                <c:rich>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sz="900"/>
                      <a:t>城乡社区支出</a:t>
                    </a:r>
                    <a:r>
                      <a:rPr lang="en-US" altLang="zh-CN" sz="900"/>
                      <a:t>, 1.1%</a:t>
                    </a:r>
                    <a:endParaRPr lang="en-US" altLang="zh-CN" sz="900"/>
                  </a:p>
                </c:rich>
              </c:tx>
              <c:dLblPos val="bestFit"/>
              <c:showLegendKey val="0"/>
              <c:showVal val="1"/>
              <c:showCatName val="0"/>
              <c:showSerName val="0"/>
              <c:showPercent val="1"/>
              <c:showBubbleSize val="0"/>
              <c:extLst>
                <c:ext xmlns:c15="http://schemas.microsoft.com/office/drawing/2012/chart" uri="{CE6537A1-D6FC-4f65-9D91-7224C49458BB}">
                  <c15:layout>
                    <c:manualLayout>
                      <c:w val="0.184943995832248"/>
                      <c:h val="0.291557591623037"/>
                    </c:manualLayout>
                  </c15:layout>
                </c:ext>
              </c:extLst>
            </c:dLbl>
            <c:dLbl>
              <c:idx val="3"/>
              <c:layout>
                <c:manualLayout>
                  <c:x val="0.10629007100293"/>
                  <c:y val="-0.0147049001991477"/>
                </c:manualLayout>
              </c:layout>
              <c:tx>
                <c:rich>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sz="900"/>
                      <a:t>住房保障支出</a:t>
                    </a:r>
                    <a:r>
                      <a:rPr lang="en-US" altLang="zh-CN" sz="900"/>
                      <a:t>, 0.3%</a:t>
                    </a:r>
                    <a:endParaRPr lang="en-US" altLang="zh-CN" sz="900"/>
                  </a:p>
                </c:rich>
              </c:tx>
              <c:dLblPos val="bestFit"/>
              <c:showLegendKey val="0"/>
              <c:showVal val="1"/>
              <c:showCatName val="0"/>
              <c:showSerName val="0"/>
              <c:showPercent val="1"/>
              <c:showBubbleSize val="0"/>
              <c:extLst>
                <c:ext xmlns:c15="http://schemas.microsoft.com/office/drawing/2012/chart" uri="{CE6537A1-D6FC-4f65-9D91-7224C49458BB}">
                  <c15:layout>
                    <c:manualLayout>
                      <c:w val="0.376139619692628"/>
                      <c:h val="0.0983070983070983"/>
                    </c:manualLayout>
                  </c15:layout>
                </c:ext>
              </c:extLst>
            </c:dLbl>
            <c:numFmt formatCode="0%" sourceLinked="0"/>
            <c:spPr>
              <a:noFill/>
              <a:ln w="19014">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Sheet1!$B$1:$E$1</c:f>
              <c:strCache>
                <c:ptCount val="4"/>
                <c:pt idx="0">
                  <c:v>一般公共服务支出</c:v>
                </c:pt>
                <c:pt idx="1">
                  <c:v>社会保障和就业支出</c:v>
                </c:pt>
                <c:pt idx="2">
                  <c:v>城乡社区支出</c:v>
                </c:pt>
                <c:pt idx="3">
                  <c:v>住房保障支出</c:v>
                </c:pt>
              </c:strCache>
            </c:strRef>
          </c:cat>
          <c:val>
            <c:numRef>
              <c:f>Sheet1!$B$2:$E$2</c:f>
              <c:numCache>
                <c:formatCode>General</c:formatCode>
                <c:ptCount val="4"/>
                <c:pt idx="0">
                  <c:v>2180.18</c:v>
                </c:pt>
                <c:pt idx="1">
                  <c:v>224.54</c:v>
                </c:pt>
                <c:pt idx="2">
                  <c:v>26</c:v>
                </c:pt>
                <c:pt idx="3">
                  <c:v>8.3</c:v>
                </c:pt>
              </c:numCache>
            </c:numRef>
          </c:val>
        </c:ser>
        <c:dLbls>
          <c:showLegendKey val="0"/>
          <c:showVal val="1"/>
          <c:showCatName val="0"/>
          <c:showSerName val="0"/>
          <c:showPercent val="1"/>
          <c:showBubbleSize val="0"/>
          <c:showLeaderLines val="1"/>
        </c:dLbls>
        <c:firstSliceAng val="0"/>
      </c:pieChart>
      <c:spPr>
        <a:solidFill>
          <a:srgbClr val="C0C0C0"/>
        </a:solidFill>
        <a:ln w="9507">
          <a:solidFill>
            <a:srgbClr val="808080"/>
          </a:solidFill>
          <a:prstDash val="solid"/>
        </a:ln>
      </c:spPr>
    </c:plotArea>
    <c:legend>
      <c:legendPos val="r"/>
      <c:legendEntry>
        <c:idx val="0"/>
        <c:txPr>
          <a:bodyPr rot="0" spcFirstLastPara="0" vertOverflow="ellipsis" vert="horz" wrap="square" anchor="ctr" anchorCtr="1"/>
          <a:lstStyle/>
          <a:p>
            <a:pPr>
              <a:defRPr lang="zh-CN" sz="9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Entry>
      <c:legendEntry>
        <c:idx val="1"/>
        <c:txPr>
          <a:bodyPr rot="0" spcFirstLastPara="0" vertOverflow="ellipsis" vert="horz" wrap="square" anchor="ctr" anchorCtr="1"/>
          <a:lstStyle/>
          <a:p>
            <a:pPr>
              <a:defRPr lang="zh-CN" sz="9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Entry>
      <c:legendEntry>
        <c:idx val="2"/>
        <c:txPr>
          <a:bodyPr rot="0" spcFirstLastPara="0" vertOverflow="ellipsis" vert="horz" wrap="square" anchor="ctr" anchorCtr="1"/>
          <a:lstStyle/>
          <a:p>
            <a:pPr>
              <a:defRPr lang="zh-CN" sz="9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Entry>
      <c:layout>
        <c:manualLayout>
          <c:xMode val="edge"/>
          <c:yMode val="edge"/>
          <c:x val="0.680906486064079"/>
          <c:y val="0.269960732984293"/>
          <c:w val="0.31245115915603"/>
          <c:h val="0.534358638743455"/>
        </c:manualLayout>
      </c:layout>
      <c:overlay val="0"/>
      <c:spPr>
        <a:noFill/>
        <a:ln w="2377">
          <a:solidFill>
            <a:srgbClr val="000000"/>
          </a:solidFill>
          <a:prstDash val="solid"/>
        </a:ln>
      </c:spPr>
      <c:txPr>
        <a:bodyPr rot="0" spcFirstLastPara="0" vertOverflow="ellipsis" vert="horz" wrap="square" anchor="ctr" anchorCtr="1"/>
        <a:lstStyle/>
        <a:p>
          <a:pPr>
            <a:defRPr lang="zh-CN" sz="9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4049d9b3-d8ba-46ea-b220-703c4b5c9960}"/>
      </c:ext>
    </c:extLst>
  </c:chart>
  <c:spPr>
    <a:noFill/>
    <a:ln w="6350" cap="flat" cmpd="sng" algn="ctr">
      <a:noFill/>
      <a:prstDash val="solid"/>
      <a:round/>
    </a:ln>
  </c:spPr>
  <c:txPr>
    <a:bodyPr/>
    <a:lstStyle/>
    <a:p>
      <a:pPr>
        <a:defRPr lang="zh-CN" sz="10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17</Pages>
  <Words>36</Words>
  <Characters>43</Characters>
  <Lines>39</Lines>
  <Paragraphs>11</Paragraphs>
  <TotalTime>1</TotalTime>
  <ScaleCrop>false</ScaleCrop>
  <LinksUpToDate>false</LinksUpToDate>
  <CharactersWithSpaces>44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Yonney</cp:lastModifiedBy>
  <cp:lastPrinted>2026-08-03T09:27:00Z</cp:lastPrinted>
  <dcterms:modified xsi:type="dcterms:W3CDTF">2026-09-03T09:21:16Z</dcterms:modified>
  <dc:title>四川省***</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400D301575C74348A5277D00A7902E06</vt:lpwstr>
  </property>
  <property fmtid="{D5CDD505-2E9C-101B-9397-08002B2CF9AE}" pid="4" name="KSOTemplateDocerSaveRecord">
    <vt:lpwstr>eyJoZGlkIjoiZWE0MjVkNWNhMjY4YTBmNGNiOGUzNDhiMzc5ODc3OGMiLCJ1c2VySWQiOiI0MjUxMjUxNjIifQ==</vt:lpwstr>
  </property>
</Properties>
</file>