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8A416">
      <w:pPr>
        <w:tabs>
          <w:tab w:val="left" w:pos="10080"/>
        </w:tabs>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w:t>
      </w:r>
      <w:bookmarkStart w:id="0" w:name="_GoBack"/>
      <w:bookmarkEnd w:id="0"/>
    </w:p>
    <w:p w14:paraId="6866A9C8">
      <w:pPr>
        <w:tabs>
          <w:tab w:val="left" w:pos="10080"/>
        </w:tabs>
        <w:jc w:val="center"/>
        <w:rPr>
          <w:rFonts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lang w:eastAsia="zh-CN"/>
        </w:rPr>
        <w:t>攀枝花市医疗机构药械质量管理</w:t>
      </w:r>
    </w:p>
    <w:p w14:paraId="1BEEFA00">
      <w:pPr>
        <w:tabs>
          <w:tab w:val="left" w:pos="10080"/>
        </w:tabs>
        <w:jc w:val="center"/>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lang w:eastAsia="zh-CN"/>
        </w:rPr>
        <w:t>规范化建设指导意见</w:t>
      </w:r>
    </w:p>
    <w:p w14:paraId="5B3A1E1E">
      <w:pPr>
        <w:tabs>
          <w:tab w:val="left" w:pos="10080"/>
        </w:tabs>
        <w:jc w:val="center"/>
        <w:rPr>
          <w:rFonts w:hint="eastAsia" w:ascii="方正大标宋_GBK" w:hAnsi="方正大标宋_GBK" w:eastAsia="方正大标宋_GBK" w:cs="方正大标宋_GBK"/>
          <w:sz w:val="44"/>
          <w:szCs w:val="44"/>
          <w:lang w:eastAsia="zh-CN"/>
        </w:rPr>
      </w:pPr>
      <w:r>
        <w:rPr>
          <w:rFonts w:hint="eastAsia" w:ascii="方正仿宋_GBK" w:hAnsi="方正仿宋_GBK" w:eastAsia="方正仿宋_GBK" w:cs="方正仿宋_GBK"/>
          <w:sz w:val="32"/>
          <w:szCs w:val="32"/>
          <w:lang w:eastAsia="zh-CN"/>
        </w:rPr>
        <w:t>（征求意见稿）</w:t>
      </w:r>
    </w:p>
    <w:p w14:paraId="5772A594">
      <w:pPr>
        <w:tabs>
          <w:tab w:val="left" w:pos="10080"/>
        </w:tabs>
        <w:jc w:val="center"/>
        <w:rPr>
          <w:rFonts w:hint="eastAsia" w:ascii="黑体" w:hAnsi="黑体" w:eastAsia="黑体" w:cs="黑体"/>
          <w:sz w:val="32"/>
          <w:szCs w:val="32"/>
        </w:rPr>
      </w:pPr>
      <w:r>
        <w:rPr>
          <w:rFonts w:hint="eastAsia" w:ascii="黑体" w:hAnsi="黑体" w:eastAsia="黑体" w:cs="黑体"/>
          <w:sz w:val="32"/>
          <w:szCs w:val="32"/>
        </w:rPr>
        <w:t>第一章  总则</w:t>
      </w:r>
    </w:p>
    <w:p w14:paraId="4D38633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第一条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规范攀枝花市医疗机构药品和医疗器械（以下简称“药械”）使用质量管理，压实医疗机构药械质量管理主体责任，提升药械管理规范化水平，保障公众用药用械安全有效，依据《药品管理法》《药品管理法实施条例》《医疗器械监督管理条例》《医疗机构管理条例》</w:t>
      </w:r>
      <w:r>
        <w:rPr>
          <w:rFonts w:hint="eastAsia" w:ascii="方正仿宋_GBK" w:hAnsi="方正仿宋_GBK" w:eastAsia="方正仿宋_GBK" w:cs="方正仿宋_GBK"/>
          <w:sz w:val="32"/>
          <w:szCs w:val="32"/>
          <w:lang w:eastAsia="zh-CN"/>
        </w:rPr>
        <w:t>《医疗保障基金使用监督管理条例》</w:t>
      </w:r>
      <w:r>
        <w:rPr>
          <w:rFonts w:hint="eastAsia" w:ascii="方正仿宋_GBK" w:hAnsi="方正仿宋_GBK" w:eastAsia="方正仿宋_GBK" w:cs="方正仿宋_GBK"/>
          <w:sz w:val="32"/>
          <w:szCs w:val="32"/>
        </w:rPr>
        <w:t>《四川省医疗机构管理条例》《麻醉药品和精神药品管理条例》《药品经营和使用质量监督管理办法》《医疗器械使用质量监督管理办法》</w:t>
      </w:r>
      <w:r>
        <w:rPr>
          <w:rFonts w:hint="eastAsia" w:ascii="方正仿宋_GBK" w:hAnsi="方正仿宋_GBK" w:eastAsia="方正仿宋_GBK" w:cs="方正仿宋_GBK"/>
          <w:sz w:val="32"/>
          <w:szCs w:val="32"/>
          <w:lang w:eastAsia="zh-CN"/>
        </w:rPr>
        <w:t>《医疗机构药事管理规定》</w:t>
      </w:r>
      <w:r>
        <w:rPr>
          <w:rFonts w:hint="eastAsia" w:ascii="方正仿宋_GBK" w:hAnsi="方正仿宋_GBK" w:eastAsia="方正仿宋_GBK" w:cs="方正仿宋_GBK"/>
          <w:sz w:val="32"/>
          <w:szCs w:val="32"/>
        </w:rPr>
        <w:t>《医疗机构药品监督管理办法（试行）》</w:t>
      </w:r>
      <w:r>
        <w:rPr>
          <w:rFonts w:ascii="方正仿宋_GBK" w:hAnsi="方正仿宋_GBK" w:eastAsia="方正仿宋_GBK" w:cs="方正仿宋_GBK"/>
          <w:sz w:val="32"/>
          <w:szCs w:val="32"/>
        </w:rPr>
        <w:t>《国家卫生健康委关于印发加强医疗机构药事管理促进合理用药的意见的通知》（国卫医发〔2020〕2号）</w:t>
      </w:r>
      <w:r>
        <w:rPr>
          <w:rFonts w:hint="eastAsia" w:ascii="方正仿宋_GBK" w:hAnsi="方正仿宋_GBK" w:eastAsia="方正仿宋_GBK" w:cs="方正仿宋_GBK"/>
          <w:sz w:val="32"/>
          <w:szCs w:val="32"/>
        </w:rPr>
        <w:t>《四川省人民政府办公厅关于进一步完善药品和医用耗材集中采购制度的指导意见》（川办发〔2020〕62号）等相关法律法规、规章和规范性文件有关规定，结合我市实际，制定本指导意见。</w:t>
      </w:r>
    </w:p>
    <w:p w14:paraId="08E4A78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第二条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指导意见所称医疗机构，是指依据《医疗机构管理条例》及其细则的规定，经登记取得《医疗机构执业许可证》或医疗机构备案凭证的机构。包括：医院、社区卫生服务中心（站）、卫生院、门诊部、诊所、妇幼保健院（所、站）等，全市医疗机构的药械使用质量管理及其监督管理活动，应当遵守本指导意见。</w:t>
      </w:r>
    </w:p>
    <w:p w14:paraId="39B08A1E">
      <w:pPr>
        <w:ind w:firstLine="640" w:firstLineChars="200"/>
        <w:rPr>
          <w:rFonts w:hint="eastAsia" w:ascii="黑体" w:hAnsi="黑体" w:eastAsia="黑体" w:cs="黑体"/>
          <w:sz w:val="32"/>
          <w:szCs w:val="32"/>
        </w:rPr>
      </w:pPr>
      <w:r>
        <w:rPr>
          <w:rFonts w:hint="eastAsia" w:ascii="方正仿宋_GBK" w:hAnsi="方正仿宋_GBK" w:eastAsia="方正仿宋_GBK" w:cs="方正仿宋_GBK"/>
          <w:sz w:val="32"/>
          <w:szCs w:val="32"/>
        </w:rPr>
        <w:t xml:space="preserve">第三条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医疗机构是药械使用质量安全第一责任人，</w:t>
      </w:r>
      <w:r>
        <w:rPr>
          <w:rFonts w:ascii="方正仿宋_GBK" w:hAnsi="方正仿宋_GBK" w:eastAsia="方正仿宋_GBK" w:cs="方正仿宋_GBK"/>
          <w:sz w:val="32"/>
          <w:szCs w:val="32"/>
        </w:rPr>
        <w:t>应当对所使用药品的质量负责，依据本规范建立包括组织机构、职责制度、过程管理和设施设备等方面的质量管理体系，并保证有效运行，</w:t>
      </w:r>
      <w:r>
        <w:rPr>
          <w:rFonts w:hint="eastAsia" w:ascii="方正仿宋_GBK" w:hAnsi="方正仿宋_GBK" w:eastAsia="方正仿宋_GBK" w:cs="方正仿宋_GBK"/>
          <w:sz w:val="32"/>
          <w:szCs w:val="32"/>
        </w:rPr>
        <w:t>依法依规使用药械，确保药械使用环节质量安全。</w:t>
      </w:r>
    </w:p>
    <w:p w14:paraId="2486F0F8">
      <w:pPr>
        <w:jc w:val="center"/>
        <w:rPr>
          <w:rFonts w:hint="eastAsia" w:ascii="黑体" w:hAnsi="黑体" w:eastAsia="黑体" w:cs="黑体"/>
          <w:sz w:val="32"/>
          <w:szCs w:val="32"/>
        </w:rPr>
      </w:pPr>
      <w:r>
        <w:rPr>
          <w:rFonts w:hint="eastAsia" w:ascii="黑体" w:hAnsi="黑体" w:eastAsia="黑体" w:cs="黑体"/>
          <w:sz w:val="32"/>
          <w:szCs w:val="32"/>
        </w:rPr>
        <w:t>第二章  机构与管理制度</w:t>
      </w:r>
    </w:p>
    <w:p w14:paraId="3DCA9A9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第四条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医院应当设置专门机构分别负责药品质量管理和医疗器械质量管理，其他医疗机构应该指定专人负责药械质量管理；</w:t>
      </w:r>
      <w:r>
        <w:rPr>
          <w:rFonts w:ascii="方正仿宋_GBK" w:hAnsi="方正仿宋_GBK" w:eastAsia="方正仿宋_GBK" w:cs="方正仿宋_GBK"/>
          <w:sz w:val="32"/>
          <w:szCs w:val="32"/>
        </w:rPr>
        <w:t>医疗机构应</w:t>
      </w:r>
      <w:r>
        <w:rPr>
          <w:rFonts w:hint="eastAsia" w:ascii="方正仿宋_GBK" w:hAnsi="方正仿宋_GBK" w:eastAsia="方正仿宋_GBK" w:cs="方正仿宋_GBK"/>
          <w:sz w:val="32"/>
          <w:szCs w:val="32"/>
        </w:rPr>
        <w:t>建立健全药械质量管理体系，完善药械购进、验收、储存、养护及使用等全过程的质量管理制度，明确各环节的岗位责任。</w:t>
      </w:r>
    </w:p>
    <w:p w14:paraId="18FEF59E">
      <w:pPr>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第五条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医疗机构应当组织制订药械质量管理制度，并指导、督促制度的执行。制度内容应涵盖：各级药械质量管理岗位职责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员培训与健康体检管理，药械购进、验收、储存、养护、出库、使用等环节质量管理，药械追溯管理，药械召回管理，药械安全事件处置，不合格药械和退货药械管理，调配和审核处方管理，特殊药品管理，拆零药品管理，医疗器械维护维修管理，医疗器械转让管理，医疗器械使用前质量检查以及药械不良反应/事件监测和报告等。</w:t>
      </w:r>
    </w:p>
    <w:p w14:paraId="063E4E8E">
      <w:pPr>
        <w:jc w:val="center"/>
        <w:rPr>
          <w:rFonts w:hint="eastAsia" w:ascii="黑体" w:hAnsi="黑体" w:eastAsia="黑体" w:cs="黑体"/>
          <w:sz w:val="32"/>
          <w:szCs w:val="32"/>
        </w:rPr>
      </w:pPr>
      <w:r>
        <w:rPr>
          <w:rFonts w:hint="eastAsia" w:ascii="黑体" w:hAnsi="黑体" w:eastAsia="黑体" w:cs="黑体"/>
          <w:sz w:val="32"/>
          <w:szCs w:val="32"/>
        </w:rPr>
        <w:t>第三章  人员与培训</w:t>
      </w:r>
    </w:p>
    <w:p w14:paraId="47789316">
      <w:pPr>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auto"/>
          <w:sz w:val="32"/>
          <w:szCs w:val="32"/>
        </w:rPr>
        <w:t xml:space="preserve">第六条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医疗机构应当配备与其</w:t>
      </w:r>
      <w:r>
        <w:rPr>
          <w:rFonts w:ascii="方正仿宋_GBK" w:hAnsi="方正仿宋_GBK" w:eastAsia="方正仿宋_GBK" w:cs="方正仿宋_GBK"/>
          <w:color w:val="auto"/>
          <w:sz w:val="32"/>
          <w:szCs w:val="32"/>
        </w:rPr>
        <w:t>所用药械</w:t>
      </w:r>
      <w:r>
        <w:rPr>
          <w:rFonts w:hint="eastAsia" w:ascii="方正仿宋_GBK" w:hAnsi="方正仿宋_GBK" w:eastAsia="方正仿宋_GBK" w:cs="方正仿宋_GBK"/>
          <w:color w:val="auto"/>
          <w:sz w:val="32"/>
          <w:szCs w:val="32"/>
        </w:rPr>
        <w:t>规模相适应的依法经过资格认定的药师或者其他药学相关专业技术人员</w:t>
      </w:r>
      <w:r>
        <w:rPr>
          <w:rFonts w:ascii="方正仿宋_GBK" w:hAnsi="方正仿宋_GBK" w:eastAsia="方正仿宋_GBK" w:cs="方正仿宋_GBK"/>
          <w:color w:val="auto"/>
          <w:sz w:val="32"/>
          <w:szCs w:val="32"/>
        </w:rPr>
        <w:t>及医疗器械质量管理人员</w:t>
      </w:r>
      <w:r>
        <w:rPr>
          <w:rFonts w:hint="eastAsia" w:ascii="方正仿宋_GBK" w:hAnsi="方正仿宋_GBK" w:eastAsia="方正仿宋_GBK" w:cs="方正仿宋_GBK"/>
          <w:color w:val="auto"/>
          <w:sz w:val="32"/>
          <w:szCs w:val="32"/>
        </w:rPr>
        <w:t>负责本单位的药</w:t>
      </w:r>
      <w:r>
        <w:rPr>
          <w:rFonts w:ascii="方正仿宋_GBK" w:hAnsi="方正仿宋_GBK" w:eastAsia="方正仿宋_GBK" w:cs="方正仿宋_GBK"/>
          <w:color w:val="auto"/>
          <w:sz w:val="32"/>
          <w:szCs w:val="32"/>
        </w:rPr>
        <w:t>械</w:t>
      </w:r>
      <w:r>
        <w:rPr>
          <w:rFonts w:hint="eastAsia" w:ascii="方正仿宋_GBK" w:hAnsi="方正仿宋_GBK" w:eastAsia="方正仿宋_GBK" w:cs="方正仿宋_GBK"/>
          <w:color w:val="auto"/>
          <w:sz w:val="32"/>
          <w:szCs w:val="32"/>
        </w:rPr>
        <w:t>质量管理、购进、验收、储存、保管、养护、调配及合理用药指导等工作。</w:t>
      </w:r>
      <w:r>
        <w:rPr>
          <w:rFonts w:ascii="方正仿宋_GBK" w:hAnsi="方正仿宋_GBK" w:eastAsia="方正仿宋_GBK" w:cs="方正仿宋_GBK"/>
          <w:sz w:val="32"/>
          <w:szCs w:val="32"/>
        </w:rPr>
        <w:t>使用中药饮片的医疗机构，应配备依法经过资格认定的中药师或者其他中药学技术人员。</w:t>
      </w:r>
    </w:p>
    <w:p w14:paraId="6710DF8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直接接触药品、无菌医疗器械的工作人员，应当每年进行健康检查，并建立健康档案。患有精神病、传染病或者其他可能污染</w:t>
      </w:r>
      <w:r>
        <w:rPr>
          <w:rFonts w:hint="eastAsia" w:ascii="方正仿宋_GBK" w:hAnsi="方正仿宋_GBK" w:eastAsia="方正仿宋_GBK" w:cs="方正仿宋_GBK"/>
          <w:sz w:val="32"/>
          <w:szCs w:val="32"/>
          <w:lang w:eastAsia="zh-CN"/>
        </w:rPr>
        <w:t>、混淆</w:t>
      </w:r>
      <w:r>
        <w:rPr>
          <w:rFonts w:hint="eastAsia" w:ascii="方正仿宋_GBK" w:hAnsi="方正仿宋_GBK" w:eastAsia="方正仿宋_GBK" w:cs="方正仿宋_GBK"/>
          <w:sz w:val="32"/>
          <w:szCs w:val="32"/>
        </w:rPr>
        <w:t>药品、无菌医疗器械疾病的</w:t>
      </w:r>
      <w:r>
        <w:rPr>
          <w:rFonts w:ascii="方正仿宋_GBK" w:hAnsi="方正仿宋_GBK" w:eastAsia="方正仿宋_GBK" w:cs="方正仿宋_GBK"/>
          <w:sz w:val="32"/>
          <w:szCs w:val="32"/>
        </w:rPr>
        <w:t>人员</w:t>
      </w:r>
      <w:r>
        <w:rPr>
          <w:rFonts w:hint="eastAsia" w:ascii="方正仿宋_GBK" w:hAnsi="方正仿宋_GBK" w:eastAsia="方正仿宋_GBK" w:cs="方正仿宋_GBK"/>
          <w:sz w:val="32"/>
          <w:szCs w:val="32"/>
        </w:rPr>
        <w:t>，不得从事直接接触药品、无菌医疗器械的工作。</w:t>
      </w:r>
    </w:p>
    <w:p w14:paraId="4A3FC449">
      <w:pPr>
        <w:ind w:firstLine="640" w:firstLineChars="200"/>
        <w:jc w:val="left"/>
        <w:rPr>
          <w:rFonts w:hint="eastAsia" w:ascii="黑体" w:hAnsi="黑体" w:eastAsia="黑体" w:cs="黑体"/>
          <w:sz w:val="32"/>
          <w:szCs w:val="32"/>
        </w:rPr>
      </w:pPr>
      <w:r>
        <w:rPr>
          <w:rFonts w:hint="eastAsia" w:ascii="方正仿宋_GBK" w:hAnsi="方正仿宋_GBK" w:eastAsia="方正仿宋_GBK" w:cs="方正仿宋_GBK"/>
          <w:sz w:val="32"/>
          <w:szCs w:val="32"/>
        </w:rPr>
        <w:t>第八条  医疗机构应定期对药械质量管理人员进行药械相关法律法规和专业知识培训，加强对从事医疗器械维护维修的技术人员的培训考核，培训工作应当做好记录并建立培训档案。</w:t>
      </w:r>
    </w:p>
    <w:p w14:paraId="03601D18">
      <w:pPr>
        <w:jc w:val="center"/>
        <w:rPr>
          <w:rFonts w:hint="eastAsia" w:ascii="黑体" w:hAnsi="黑体" w:eastAsia="黑体" w:cs="黑体"/>
          <w:sz w:val="32"/>
          <w:szCs w:val="32"/>
        </w:rPr>
      </w:pPr>
      <w:r>
        <w:rPr>
          <w:rFonts w:hint="eastAsia" w:ascii="黑体" w:hAnsi="黑体" w:eastAsia="黑体" w:cs="黑体"/>
          <w:sz w:val="32"/>
          <w:szCs w:val="32"/>
        </w:rPr>
        <w:t>第四章 场</w:t>
      </w:r>
      <w:r>
        <w:rPr>
          <w:rFonts w:ascii="黑体" w:hAnsi="黑体" w:eastAsia="黑体" w:cs="黑体"/>
          <w:sz w:val="32"/>
          <w:szCs w:val="32"/>
        </w:rPr>
        <w:t>所</w:t>
      </w:r>
      <w:r>
        <w:rPr>
          <w:rFonts w:hint="eastAsia" w:ascii="黑体" w:hAnsi="黑体" w:eastAsia="黑体" w:cs="黑体"/>
          <w:sz w:val="32"/>
          <w:szCs w:val="32"/>
        </w:rPr>
        <w:t>与设施</w:t>
      </w:r>
      <w:r>
        <w:rPr>
          <w:rFonts w:ascii="黑体" w:hAnsi="黑体" w:eastAsia="黑体" w:cs="黑体"/>
          <w:sz w:val="32"/>
          <w:szCs w:val="32"/>
        </w:rPr>
        <w:t>设备</w:t>
      </w:r>
    </w:p>
    <w:p w14:paraId="4644D998">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医疗机构应当设置与诊疗范围和所使用药械相适应的</w:t>
      </w:r>
      <w:r>
        <w:rPr>
          <w:rFonts w:ascii="方正仿宋_GBK" w:hAnsi="方正仿宋_GBK" w:eastAsia="方正仿宋_GBK" w:cs="方正仿宋_GBK"/>
          <w:sz w:val="32"/>
          <w:szCs w:val="32"/>
        </w:rPr>
        <w:t>储存</w:t>
      </w:r>
      <w:r>
        <w:rPr>
          <w:rFonts w:hint="eastAsia" w:ascii="方正仿宋_GBK" w:hAnsi="方正仿宋_GBK" w:eastAsia="方正仿宋_GBK" w:cs="方正仿宋_GBK"/>
          <w:sz w:val="32"/>
          <w:szCs w:val="32"/>
        </w:rPr>
        <w:t>场所、设备、设施和卫生环境，满足药械安全合理</w:t>
      </w:r>
      <w:r>
        <w:rPr>
          <w:rFonts w:ascii="方正仿宋_GBK" w:hAnsi="方正仿宋_GBK" w:eastAsia="方正仿宋_GBK" w:cs="方正仿宋_GBK"/>
          <w:sz w:val="32"/>
          <w:szCs w:val="32"/>
        </w:rPr>
        <w:t>储存</w:t>
      </w:r>
      <w:r>
        <w:rPr>
          <w:rFonts w:hint="eastAsia" w:ascii="方正仿宋_GBK" w:hAnsi="方正仿宋_GBK" w:eastAsia="方正仿宋_GBK" w:cs="方正仿宋_GBK"/>
          <w:sz w:val="32"/>
          <w:szCs w:val="32"/>
        </w:rPr>
        <w:t>所需的面积和条件。</w:t>
      </w:r>
    </w:p>
    <w:p w14:paraId="45D0261D">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药械储存场所应当独立设置，与办公区、生活区等其它功能区域分开或有效隔离，并明显标示。</w:t>
      </w:r>
    </w:p>
    <w:p w14:paraId="4F7A3CE8">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药械储存场所的地面、墙壁、顶棚应光洁平整，门窗结构严密，环境卫生整洁、无污染源，符合药械</w:t>
      </w:r>
      <w:r>
        <w:rPr>
          <w:rFonts w:ascii="方正仿宋_GBK" w:hAnsi="方正仿宋_GBK" w:eastAsia="方正仿宋_GBK" w:cs="方正仿宋_GBK"/>
          <w:sz w:val="32"/>
          <w:szCs w:val="32"/>
        </w:rPr>
        <w:t>储存</w:t>
      </w:r>
      <w:r>
        <w:rPr>
          <w:rFonts w:hint="eastAsia" w:ascii="方正仿宋_GBK" w:hAnsi="方正仿宋_GBK" w:eastAsia="方正仿宋_GBK" w:cs="方正仿宋_GBK"/>
          <w:sz w:val="32"/>
          <w:szCs w:val="32"/>
        </w:rPr>
        <w:t>要求和安全要求。</w:t>
      </w:r>
    </w:p>
    <w:p w14:paraId="00A2A5D6">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药械储存场所应根据质量管理需要配备符合安全用电的照明、控温、防潮、避光、通风、防火、防虫、防鼠、防污染等设施设备。</w:t>
      </w:r>
    </w:p>
    <w:p w14:paraId="6EC5CF69">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药械储存场所应配置能有效监测和调控温度</w:t>
      </w:r>
      <w:r>
        <w:rPr>
          <w:rFonts w:ascii="方正仿宋_GBK" w:hAnsi="方正仿宋_GBK" w:eastAsia="方正仿宋_GBK" w:cs="方正仿宋_GBK"/>
          <w:sz w:val="32"/>
          <w:szCs w:val="32"/>
        </w:rPr>
        <w:t>的设备（含冷库、冷柜、阴凉柜、空调等）</w:t>
      </w:r>
      <w:r>
        <w:rPr>
          <w:rFonts w:hint="eastAsia" w:ascii="方正仿宋_GBK" w:hAnsi="方正仿宋_GBK" w:eastAsia="方正仿宋_GBK" w:cs="方正仿宋_GBK"/>
          <w:sz w:val="32"/>
          <w:szCs w:val="32"/>
        </w:rPr>
        <w:t>，鼓励医疗机构配备电子化自动监测、记录温湿度的设备。其中等级医院使用的冷藏冷冻设备应配备温度自动监测系统，并按要求进行验证。养护（保管）人员每日应上、下午各1次定时对药械储存场所（柜、架）及冷藏设施的温湿度进行监测并予以记录，温湿度超出规定范围时应及时采用调控措施并予以记录。</w:t>
      </w:r>
    </w:p>
    <w:p w14:paraId="652730F6">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药械储存场所应根据实际需要配备货架、货柜、垫板、操作台等药械储存、调配专用的设施设备，其中药房配备摆放药品的货架（柜），药品应按品种、规格、剂型作用等分类摆放，内服药与外用药应分开摆放，不合格药品、退</w:t>
      </w:r>
      <w:r>
        <w:rPr>
          <w:rFonts w:ascii="方正仿宋_GBK" w:hAnsi="方正仿宋_GBK" w:eastAsia="方正仿宋_GBK" w:cs="方正仿宋_GBK"/>
          <w:sz w:val="32"/>
          <w:szCs w:val="32"/>
        </w:rPr>
        <w:t>货</w:t>
      </w:r>
      <w:r>
        <w:rPr>
          <w:rFonts w:hint="eastAsia" w:ascii="方正仿宋_GBK" w:hAnsi="方正仿宋_GBK" w:eastAsia="方正仿宋_GBK" w:cs="方正仿宋_GBK"/>
          <w:sz w:val="32"/>
          <w:szCs w:val="32"/>
        </w:rPr>
        <w:t>药品应单独存放并有明显标识。</w:t>
      </w:r>
    </w:p>
    <w:p w14:paraId="373E8BB4">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rPr>
        <w:t>五条  药房应设置合理的调剂区域，并配备符合规定的计量器具</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符合卫生要求及相应调配要求的药品调配工具、包装用品等设备。需拆零药品的，要根据临床需要设立独立的拆零场所和拆零工具，并保持工作环境和拆零工具的卫生洁净。</w:t>
      </w:r>
    </w:p>
    <w:p w14:paraId="3A2EFEF5">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第十六条  医疗机构使用中药饮片的，药房应配备储存中药饮片的专用斗柜（容器），并标明正名正字，药库内的中药饮片应设专库或专区存放。</w:t>
      </w:r>
    </w:p>
    <w:p w14:paraId="401924B0">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第十七条  医院的门诊、住院部、急诊室、病区护士站等需要临时存放药械的，应配备药械专用存放场地（柜）并满足相应储存条件。</w:t>
      </w:r>
    </w:p>
    <w:p w14:paraId="5EE27A51">
      <w:pPr>
        <w:ind w:firstLine="640" w:firstLineChars="200"/>
        <w:rPr>
          <w:rFonts w:ascii="Lucida Sans" w:hAnsi="方正仿宋_GBK" w:eastAsia="方正仿宋_GBK" w:cs="方正仿宋_GBK"/>
          <w:sz w:val="32"/>
          <w:szCs w:val="32"/>
        </w:rPr>
      </w:pPr>
      <w:r>
        <w:rPr>
          <w:rFonts w:ascii="方正仿宋_GBK" w:hAnsi="方正仿宋_GBK" w:eastAsia="方正仿宋_GBK" w:cs="方正仿宋_GBK"/>
          <w:sz w:val="32"/>
          <w:szCs w:val="32"/>
        </w:rPr>
        <w:t>第十八条</w:t>
      </w:r>
      <w:r>
        <w:rPr>
          <w:rFonts w:ascii="Lucida Sans" w:hAnsi="方正仿宋_GBK" w:eastAsia="方正仿宋_GBK" w:cs="方正仿宋_GBK"/>
          <w:sz w:val="32"/>
          <w:szCs w:val="32"/>
        </w:rPr>
        <w:t xml:space="preserve">  医疗机构应当按照要求配备相应的软硬件设施设备，开展药品追溯数据校验和采集，按规定提供药品追溯信息。</w:t>
      </w:r>
    </w:p>
    <w:p w14:paraId="6D6D4685">
      <w:pPr>
        <w:ind w:firstLine="640" w:firstLineChars="200"/>
        <w:rPr>
          <w:rFonts w:ascii="方正仿宋_GBK" w:hAnsi="方正仿宋_GBK" w:eastAsia="方正仿宋_GBK" w:cs="方正仿宋_GBK"/>
          <w:sz w:val="32"/>
          <w:szCs w:val="32"/>
        </w:rPr>
      </w:pPr>
      <w:r>
        <w:rPr>
          <w:rFonts w:ascii="Lucida Sans" w:hAnsi="方正仿宋_GBK" w:eastAsia="方正仿宋_GBK" w:cs="方正仿宋_GBK"/>
          <w:sz w:val="32"/>
          <w:szCs w:val="32"/>
        </w:rPr>
        <w:t>鼓励医疗机构建立、实施医疗器械唯一标识制度，配备具有采集、记录医疗器械唯一标识功能的计算机系统。</w:t>
      </w:r>
    </w:p>
    <w:p w14:paraId="55738E33">
      <w:pPr>
        <w:ind w:left="0"/>
        <w:rPr>
          <w:rFonts w:ascii="方正仿宋_GBK" w:hAnsi="方正仿宋_GBK" w:eastAsia="方正仿宋_GBK" w:cs="方正仿宋_GBK"/>
          <w:sz w:val="32"/>
          <w:szCs w:val="32"/>
        </w:rPr>
      </w:pPr>
    </w:p>
    <w:p w14:paraId="11FB0FD7">
      <w:pPr>
        <w:jc w:val="center"/>
        <w:rPr>
          <w:rFonts w:ascii="黑体" w:hAnsi="黑体" w:eastAsia="黑体" w:cs="黑体"/>
          <w:sz w:val="32"/>
          <w:szCs w:val="32"/>
        </w:rPr>
      </w:pPr>
      <w:r>
        <w:rPr>
          <w:rFonts w:hint="eastAsia" w:ascii="黑体" w:hAnsi="黑体" w:eastAsia="黑体" w:cs="黑体"/>
          <w:sz w:val="32"/>
          <w:szCs w:val="32"/>
        </w:rPr>
        <w:t>第五章  购进与验收</w:t>
      </w:r>
    </w:p>
    <w:p w14:paraId="4C4E68C1">
      <w:pPr>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第十九条  医疗机构应当从具有合法药械生产、经营资格的企业购进药械。公立医疗机构在用药械必须全口径通过四川省医疗保障信息大数据一体化平台药品和医用耗材招采管理子系统采购，优先采购集采中选品，适当采购质优价廉的非中选品。因临床急需进口少量药械的，按照《药品管理法实施条例》《医疗器械监督管理条例》等有关规定办理。</w:t>
      </w:r>
    </w:p>
    <w:p w14:paraId="5F9750B7">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第二十条  医疗机构使用的药械当按照规定由专门部门或指定专人统一采购，禁止医疗机构其他科室和医务人员自行采购。购进药械时，必须严格审核供货单位、购进药械及销售人员的资质，建立供货单位档案，分类索取以下资料。</w:t>
      </w:r>
    </w:p>
    <w:p w14:paraId="778736ED">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药品：（一）药品上市许可持有人生产许可证或药品经营企业</w:t>
      </w:r>
      <w:r>
        <w:rPr>
          <w:rFonts w:hint="eastAsia" w:ascii="方正仿宋_GBK" w:hAnsi="方正仿宋_GBK" w:eastAsia="方正仿宋_GBK" w:cs="方正仿宋_GBK"/>
          <w:sz w:val="32"/>
          <w:szCs w:val="32"/>
          <w:lang w:eastAsia="zh-CN"/>
        </w:rPr>
        <w:t>的经营</w:t>
      </w:r>
      <w:r>
        <w:rPr>
          <w:rFonts w:ascii="方正仿宋_GBK" w:hAnsi="方正仿宋_GBK" w:eastAsia="方正仿宋_GBK" w:cs="方正仿宋_GBK"/>
          <w:sz w:val="32"/>
          <w:szCs w:val="32"/>
        </w:rPr>
        <w:t>许可证；（二）使用药品的批准证明文件复印件；（三）企业法定代表人印章（或者签名）的授权委托书原件，授权委托书应当载明授权销售药品的品种、地域、期限、销售人员的身份证号码；（四）随货同行单、发票样式（含企业样章或者出库样章）。</w:t>
      </w:r>
    </w:p>
    <w:p w14:paraId="7799698A">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医疗器械：（一）医疗器械注册人、备案人生产许可证或者备案凭证，或者医疗器械经营企业的经营许可证或者备案凭证，营业执照；（二）使用医疗器械的注册或备案证明文件复印件；（三）载明授权销售的品种、地域、期限、销售人员身份证件号码的授权书，以及销售人员身份证件复印件；（四）随货同行单、发票样式（含企业样章或者出库样章）。</w:t>
      </w:r>
    </w:p>
    <w:p w14:paraId="65CB0D9F">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本条所涉资料，均应加盖供货单位原印章，鼓励医疗机构建立和使用相关证明文件的电子档案，其符合要求的电子文件具有同等效力，保存期限不得少于五年。采购进口药品的，应当查验进口批准证明文件或检验质量报告书；采购生物制品时，还应索取批签发批件。医疗机构接受捐赠或租赁医疗器械的，捐赠方或出租方应当提供医疗器械的相关合法证明文件。 </w:t>
      </w:r>
    </w:p>
    <w:p w14:paraId="426FDE84">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第二十一条  医疗机构购进药械时应当索取、留存合法票据，包括税票及详细清单（随货同行单）。</w:t>
      </w:r>
    </w:p>
    <w:p w14:paraId="53FCF2A9">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药品清单（随货同行单）应当载明：供货单位名称、药品通用名称、药品上市许可持有人（中药饮片应标明生产企业、产地）、批准文号、产品批号、剂型、规格、销售数量、销售价格等内容。票据保存不得少于三年，且不少于药品有效期满后一年。</w:t>
      </w:r>
    </w:p>
    <w:p w14:paraId="635418A3">
      <w:pPr>
        <w:ind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医疗器械清单（随货同行单）应载明：供货企业名称，医疗器械注册人、备案人和受托生产企业名称，医疗器械的名称、型号、规格、注册证编号或者备案编号，医疗器械的生产批号或者序列号、使用期限或者失效日期、数量，收货单位名称、收货地址、联系方式、发货日期等。</w:t>
      </w:r>
    </w:p>
    <w:p w14:paraId="2B1EB46D">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第二十二条  医疗机构购进药械应当逐批验收，并建立真实、完整的记录。</w:t>
      </w:r>
    </w:p>
    <w:p w14:paraId="7C996926">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药品购进验收记录应包括：药品的通用名称、剂型、规格、生产批号、生产日期、有效期、上市许可持有人、生产企业、批准文号、供货单位、购货数量、购货日期、购进价格、验收结论及验收人签名等内容。</w:t>
      </w:r>
    </w:p>
    <w:p w14:paraId="75AB0518">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药品购进验收记录和相关资料的保存期为药品有效期期满后1年；药品有效期不满2年的，保存期不得少于3年；麻醉药品和第一类精神药品的专用账册的保存期限，应当自药品有效期期满之日起不少于5年；医疗机构接受捐赠药品、从其他医疗机构调入急救药品应当遵守本条规定。</w:t>
      </w:r>
    </w:p>
    <w:p w14:paraId="4A784E0A">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医疗器械购进验收记录应包括：医疗器械的名称、型号、规格、数量，医疗器械注册证编号或者备案编号，医疗器械注册人、备案人和受托生产企业的名称，医疗器械的生产批号或序列号、使用期限或者失效日期、购货日期，供货者的名称、地址以及联系方式，验收结论、验收人员、验收日期等。</w:t>
      </w:r>
    </w:p>
    <w:p w14:paraId="4B0B6741">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医疗器械购进验收记录应当保存至医疗器械规定使用期限届满后2年或者使用终止后2年；大型医疗器械进货查验记录应当保存至医疗器械规定使用期限届满后5年或者使用终止后5年；植入性医疗器械进货查验记录应当永久保存。医疗机构接受捐赠和租赁医疗器械应当遵守本条规定。</w:t>
      </w:r>
    </w:p>
    <w:p w14:paraId="4BD32250">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第二十三条  医疗机构之间转让在用医疗器械，转让双方应当签订协议，移交产品说明书、使用和维修记录档案复印件等资料，并经有资质的检验机构检验合格后方可转让。转让方应当确保所转让的医疗器械安全、有效，并提供产品合法证明文件，受让方应当按照规定进行进货查验，符合要求后方可使用。</w:t>
      </w:r>
    </w:p>
    <w:p w14:paraId="580FB91E">
      <w:pPr>
        <w:ind w:firstLine="640" w:firstLineChars="200"/>
        <w:rPr>
          <w:rFonts w:hint="eastAsia"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 xml:space="preserve">第二十四条  </w:t>
      </w:r>
      <w:r>
        <w:rPr>
          <w:rFonts w:hint="eastAsia" w:ascii="方正仿宋_GBK" w:hAnsi="方正仿宋_GBK" w:eastAsia="方正仿宋_GBK" w:cs="方正仿宋_GBK"/>
          <w:color w:val="auto"/>
          <w:sz w:val="32"/>
          <w:szCs w:val="32"/>
        </w:rPr>
        <w:t>医疗机构</w:t>
      </w:r>
      <w:r>
        <w:rPr>
          <w:rFonts w:ascii="方正仿宋_GBK" w:hAnsi="方正仿宋_GBK" w:eastAsia="方正仿宋_GBK" w:cs="方正仿宋_GBK"/>
          <w:color w:val="auto"/>
          <w:sz w:val="32"/>
          <w:szCs w:val="32"/>
        </w:rPr>
        <w:t>药品验收（入库）时应扫描药品追溯码并进行核对，</w:t>
      </w:r>
      <w:r>
        <w:rPr>
          <w:rFonts w:hint="eastAsia" w:ascii="方正仿宋_GBK" w:hAnsi="方正仿宋_GBK" w:eastAsia="方正仿宋_GBK" w:cs="方正仿宋_GBK"/>
          <w:color w:val="auto"/>
          <w:sz w:val="32"/>
          <w:szCs w:val="32"/>
        </w:rPr>
        <w:t>及时将追溯信息上传至所采购药品的持有人、境内责任人、生产企业自建或委托第三方建设的药品信息化追溯系统</w:t>
      </w:r>
      <w:r>
        <w:rPr>
          <w:rFonts w:ascii="方正仿宋_GBK" w:hAnsi="方正仿宋_GBK" w:eastAsia="方正仿宋_GBK" w:cs="方正仿宋_GBK"/>
          <w:color w:val="auto"/>
          <w:sz w:val="32"/>
          <w:szCs w:val="32"/>
        </w:rPr>
        <w:t>，如出现货物和上游追溯信息或数量不一致时，不得通过验收、入库，及时反馈上游企业查明原因并作出相应处置，退货时同步更新药品追溯状态。</w:t>
      </w:r>
      <w:r>
        <w:rPr>
          <w:rFonts w:hint="eastAsia" w:ascii="方正仿宋_GBK" w:hAnsi="方正仿宋_GBK" w:eastAsia="方正仿宋_GBK" w:cs="方正仿宋_GBK"/>
          <w:color w:val="auto"/>
          <w:sz w:val="32"/>
          <w:szCs w:val="32"/>
        </w:rPr>
        <w:t>医保定点医疗机构应当同时按规定将药品追溯信息上传至医保信息系统。</w:t>
      </w:r>
    </w:p>
    <w:p w14:paraId="47841E83">
      <w:pPr>
        <w:ind w:firstLine="480" w:firstLineChars="15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第二十五条  医疗机构在接收冷藏、冷冻药械时，应当对其运输方式及运输过程的温度记录、运输时间等质量控制状况进行重点检查并记录，不符合温度要求的应当拒收。</w:t>
      </w:r>
    </w:p>
    <w:p w14:paraId="29723E1A">
      <w:pPr>
        <w:ind w:firstLine="480" w:firstLineChars="150"/>
        <w:jc w:val="center"/>
        <w:rPr>
          <w:rFonts w:hint="eastAsia" w:ascii="黑体" w:hAnsi="黑体" w:eastAsia="黑体" w:cs="黑体"/>
          <w:sz w:val="32"/>
          <w:szCs w:val="32"/>
        </w:rPr>
      </w:pPr>
      <w:r>
        <w:rPr>
          <w:rFonts w:hint="eastAsia" w:ascii="黑体" w:hAnsi="黑体" w:eastAsia="黑体" w:cs="黑体"/>
          <w:sz w:val="32"/>
          <w:szCs w:val="32"/>
        </w:rPr>
        <w:t>第六章  储存与养护</w:t>
      </w:r>
    </w:p>
    <w:p w14:paraId="1DE8EE38">
      <w:pPr>
        <w:ind w:firstLine="640" w:firstLineChars="200"/>
        <w:rPr>
          <w:rFonts w:eastAsia="方正仿宋_GBK" w:cs="Times New Roman"/>
          <w:sz w:val="32"/>
          <w:szCs w:val="32"/>
        </w:rPr>
      </w:pPr>
      <w:r>
        <w:rPr>
          <w:rFonts w:eastAsia="方正仿宋_GBK" w:cs="Times New Roman"/>
          <w:sz w:val="32"/>
          <w:szCs w:val="32"/>
        </w:rPr>
        <w:t>第二十六条  医疗机构应当按照药械标签、说明书标示的条件储存药械，没有标示具体温度等条件的，应按照《中华人民共和国药典》规定贮藏要求进行储存：其中常温（10～30</w:t>
      </w:r>
      <w:r>
        <w:rPr>
          <w:rFonts w:hint="eastAsia" w:ascii="方正仿宋_GBK" w:eastAsia="方正仿宋_GBK" w:cs="Times New Roman"/>
          <w:sz w:val="32"/>
          <w:szCs w:val="32"/>
        </w:rPr>
        <w:t>℃</w:t>
      </w:r>
      <w:r>
        <w:rPr>
          <w:rFonts w:eastAsia="方正仿宋_GBK" w:cs="Times New Roman"/>
          <w:sz w:val="32"/>
          <w:szCs w:val="32"/>
        </w:rPr>
        <w:t>），阴凉（≤20</w:t>
      </w:r>
      <w:r>
        <w:rPr>
          <w:rFonts w:hint="eastAsia" w:ascii="方正仿宋_GBK" w:eastAsia="方正仿宋_GBK" w:cs="Times New Roman"/>
          <w:sz w:val="32"/>
          <w:szCs w:val="32"/>
        </w:rPr>
        <w:t>℃</w:t>
      </w:r>
      <w:r>
        <w:rPr>
          <w:rFonts w:eastAsia="方正仿宋_GBK" w:cs="Times New Roman"/>
          <w:sz w:val="32"/>
          <w:szCs w:val="32"/>
        </w:rPr>
        <w:t>），冷藏（2～10</w:t>
      </w:r>
      <w:r>
        <w:rPr>
          <w:rFonts w:hint="eastAsia" w:ascii="方正仿宋_GBK" w:eastAsia="方正仿宋_GBK" w:cs="Times New Roman"/>
          <w:sz w:val="32"/>
          <w:szCs w:val="32"/>
        </w:rPr>
        <w:t>℃</w:t>
      </w:r>
      <w:r>
        <w:rPr>
          <w:rFonts w:eastAsia="方正仿宋_GBK" w:cs="Times New Roman"/>
          <w:sz w:val="32"/>
          <w:szCs w:val="32"/>
        </w:rPr>
        <w:t>），相对湿度应保持在35%～75%。</w:t>
      </w:r>
    </w:p>
    <w:p w14:paraId="354C223B">
      <w:pPr>
        <w:ind w:firstLine="480" w:firstLineChars="150"/>
        <w:rPr>
          <w:rFonts w:eastAsia="方正仿宋_GBK" w:cs="Times New Roman"/>
          <w:sz w:val="32"/>
          <w:szCs w:val="32"/>
        </w:rPr>
      </w:pPr>
      <w:r>
        <w:rPr>
          <w:rFonts w:eastAsia="方正仿宋_GBK" w:cs="Times New Roman"/>
          <w:sz w:val="32"/>
          <w:szCs w:val="32"/>
        </w:rPr>
        <w:t xml:space="preserve">第二十七条  </w:t>
      </w:r>
      <w:r>
        <w:rPr>
          <w:rFonts w:hint="eastAsia" w:eastAsia="方正仿宋_GBK" w:cs="Times New Roman"/>
          <w:sz w:val="32"/>
          <w:szCs w:val="32"/>
        </w:rPr>
        <w:t>药械储存场所（柜、架）划分验收区、合格区、待验区、退货区、不合格区等专用场所，各区实行色标管理，合格区为绿色，待验区、退货区为黄色，不合格区为红色。</w:t>
      </w:r>
    </w:p>
    <w:p w14:paraId="777676C6">
      <w:pPr>
        <w:ind w:firstLine="640" w:firstLineChars="200"/>
        <w:rPr>
          <w:rFonts w:hint="eastAsia" w:eastAsia="方正仿宋_GBK" w:cs="Times New Roman"/>
          <w:sz w:val="32"/>
          <w:szCs w:val="32"/>
        </w:rPr>
      </w:pPr>
      <w:r>
        <w:rPr>
          <w:rFonts w:eastAsia="方正仿宋_GBK" w:cs="Times New Roman"/>
          <w:sz w:val="32"/>
          <w:szCs w:val="32"/>
        </w:rPr>
        <w:t xml:space="preserve">第二十八条  </w:t>
      </w:r>
      <w:r>
        <w:rPr>
          <w:rFonts w:hint="eastAsia" w:eastAsia="方正仿宋_GBK" w:cs="Times New Roman"/>
          <w:sz w:val="32"/>
          <w:szCs w:val="32"/>
        </w:rPr>
        <w:t>医疗机构储存药</w:t>
      </w:r>
      <w:r>
        <w:rPr>
          <w:rFonts w:hint="eastAsia" w:eastAsia="方正仿宋_GBK" w:cs="Times New Roman"/>
          <w:sz w:val="32"/>
          <w:szCs w:val="32"/>
          <w:lang w:eastAsia="zh-CN"/>
        </w:rPr>
        <w:t>械</w:t>
      </w:r>
      <w:r>
        <w:rPr>
          <w:rFonts w:hint="eastAsia" w:eastAsia="方正仿宋_GBK" w:cs="Times New Roman"/>
          <w:sz w:val="32"/>
          <w:szCs w:val="32"/>
        </w:rPr>
        <w:t>，应当按照药品属性</w:t>
      </w:r>
      <w:r>
        <w:rPr>
          <w:rFonts w:eastAsia="方正仿宋_GBK" w:cs="Times New Roman"/>
          <w:sz w:val="32"/>
          <w:szCs w:val="32"/>
        </w:rPr>
        <w:t>、</w:t>
      </w:r>
      <w:r>
        <w:rPr>
          <w:rFonts w:hint="eastAsia" w:eastAsia="方正仿宋_GBK" w:cs="Times New Roman"/>
          <w:sz w:val="32"/>
          <w:szCs w:val="32"/>
        </w:rPr>
        <w:t>类别</w:t>
      </w:r>
      <w:r>
        <w:rPr>
          <w:rFonts w:eastAsia="方正仿宋_GBK" w:cs="Times New Roman"/>
          <w:sz w:val="32"/>
          <w:szCs w:val="32"/>
        </w:rPr>
        <w:t>和医疗器械品种、类别等</w:t>
      </w:r>
      <w:r>
        <w:rPr>
          <w:rFonts w:hint="eastAsia" w:eastAsia="方正仿宋_GBK" w:cs="Times New Roman"/>
          <w:sz w:val="32"/>
          <w:szCs w:val="32"/>
        </w:rPr>
        <w:t>分库、分区、分垛存放</w:t>
      </w:r>
      <w:r>
        <w:rPr>
          <w:rFonts w:eastAsia="方正仿宋_GBK" w:cs="Times New Roman"/>
          <w:sz w:val="32"/>
          <w:szCs w:val="32"/>
        </w:rPr>
        <w:t>，</w:t>
      </w:r>
      <w:r>
        <w:rPr>
          <w:rFonts w:hint="eastAsia" w:eastAsia="方正仿宋_GBK" w:cs="Times New Roman"/>
          <w:sz w:val="32"/>
          <w:szCs w:val="32"/>
        </w:rPr>
        <w:t>药</w:t>
      </w:r>
      <w:r>
        <w:rPr>
          <w:rFonts w:eastAsia="方正仿宋_GBK" w:cs="Times New Roman"/>
          <w:sz w:val="32"/>
          <w:szCs w:val="32"/>
        </w:rPr>
        <w:t>械</w:t>
      </w:r>
      <w:r>
        <w:rPr>
          <w:rFonts w:hint="eastAsia" w:eastAsia="方正仿宋_GBK" w:cs="Times New Roman"/>
          <w:sz w:val="32"/>
          <w:szCs w:val="32"/>
          <w:lang w:eastAsia="zh-CN"/>
        </w:rPr>
        <w:t>应</w:t>
      </w:r>
      <w:r>
        <w:rPr>
          <w:rFonts w:eastAsia="方正仿宋_GBK" w:cs="Times New Roman"/>
          <w:sz w:val="32"/>
          <w:szCs w:val="32"/>
        </w:rPr>
        <w:t>与</w:t>
      </w:r>
      <w:r>
        <w:rPr>
          <w:rFonts w:hint="eastAsia" w:eastAsia="方正仿宋_GBK" w:cs="Times New Roman"/>
          <w:sz w:val="32"/>
          <w:szCs w:val="32"/>
        </w:rPr>
        <w:t>非</w:t>
      </w:r>
      <w:r>
        <w:rPr>
          <w:rFonts w:hint="eastAsia" w:eastAsia="方正仿宋_GBK" w:cs="Times New Roman"/>
          <w:sz w:val="32"/>
          <w:szCs w:val="32"/>
          <w:lang w:eastAsia="zh-CN"/>
        </w:rPr>
        <w:t>药</w:t>
      </w:r>
      <w:r>
        <w:rPr>
          <w:rFonts w:eastAsia="方正仿宋_GBK" w:cs="Times New Roman"/>
          <w:sz w:val="32"/>
          <w:szCs w:val="32"/>
        </w:rPr>
        <w:t>械</w:t>
      </w:r>
      <w:r>
        <w:rPr>
          <w:rFonts w:hint="eastAsia" w:eastAsia="方正仿宋_GBK" w:cs="Times New Roman"/>
          <w:sz w:val="32"/>
          <w:szCs w:val="32"/>
        </w:rPr>
        <w:t>分开存放</w:t>
      </w:r>
      <w:r>
        <w:rPr>
          <w:rFonts w:eastAsia="方正仿宋_GBK" w:cs="Times New Roman"/>
          <w:sz w:val="32"/>
          <w:szCs w:val="32"/>
        </w:rPr>
        <w:t>，</w:t>
      </w:r>
      <w:r>
        <w:rPr>
          <w:rFonts w:hint="eastAsia" w:eastAsia="方正仿宋_GBK" w:cs="Times New Roman"/>
          <w:sz w:val="32"/>
          <w:szCs w:val="32"/>
        </w:rPr>
        <w:t>中药饮片、中成药、化学药、生物制品分类存放</w:t>
      </w:r>
      <w:r>
        <w:rPr>
          <w:rFonts w:eastAsia="方正仿宋_GBK" w:cs="Times New Roman"/>
          <w:sz w:val="32"/>
          <w:szCs w:val="32"/>
        </w:rPr>
        <w:t>，</w:t>
      </w:r>
      <w:r>
        <w:rPr>
          <w:rFonts w:hint="eastAsia" w:eastAsia="方正仿宋_GBK" w:cs="Times New Roman"/>
          <w:sz w:val="32"/>
          <w:szCs w:val="32"/>
        </w:rPr>
        <w:t>过期、变质、被污染等药</w:t>
      </w:r>
      <w:r>
        <w:rPr>
          <w:rFonts w:hint="eastAsia" w:eastAsia="方正仿宋_GBK" w:cs="Times New Roman"/>
          <w:sz w:val="32"/>
          <w:szCs w:val="32"/>
          <w:lang w:eastAsia="zh-CN"/>
        </w:rPr>
        <w:t>械</w:t>
      </w:r>
      <w:r>
        <w:rPr>
          <w:rFonts w:hint="eastAsia" w:eastAsia="方正仿宋_GBK" w:cs="Times New Roman"/>
          <w:sz w:val="32"/>
          <w:szCs w:val="32"/>
        </w:rPr>
        <w:t>应当放置在不合格区</w:t>
      </w:r>
      <w:r>
        <w:rPr>
          <w:rFonts w:eastAsia="方正仿宋_GBK" w:cs="Times New Roman"/>
          <w:sz w:val="32"/>
          <w:szCs w:val="32"/>
        </w:rPr>
        <w:t>，</w:t>
      </w:r>
      <w:r>
        <w:rPr>
          <w:rFonts w:hint="eastAsia" w:eastAsia="方正仿宋_GBK" w:cs="Times New Roman"/>
          <w:sz w:val="32"/>
          <w:szCs w:val="32"/>
        </w:rPr>
        <w:t>麻醉药品、精神药品、医疗用毒性药品等特殊管理药品应当按照相关规定存放，并采取有效的安全保证措施。</w:t>
      </w:r>
    </w:p>
    <w:p w14:paraId="416C3D5B">
      <w:pPr>
        <w:ind w:firstLine="640" w:firstLineChars="200"/>
        <w:rPr>
          <w:rFonts w:eastAsia="方正仿宋_GBK" w:cs="Times New Roman"/>
          <w:sz w:val="32"/>
          <w:szCs w:val="32"/>
        </w:rPr>
      </w:pPr>
      <w:r>
        <w:rPr>
          <w:rFonts w:eastAsia="方正仿宋_GBK" w:cs="Times New Roman"/>
          <w:sz w:val="32"/>
          <w:szCs w:val="32"/>
        </w:rPr>
        <w:t>第二十九条  药械仓库库存药械与地面、墙、顶之间应有相应的间隔或隔离措施，药械与墙、屋顶（梁）的间距不小于30厘米，与地面间距不小于10厘米，药品垛堆的间距不小于5厘米。</w:t>
      </w:r>
    </w:p>
    <w:p w14:paraId="5ADB953E">
      <w:pPr>
        <w:ind w:firstLine="640" w:firstLineChars="200"/>
        <w:rPr>
          <w:rFonts w:eastAsia="方正仿宋_GBK" w:cs="Times New Roman"/>
          <w:sz w:val="32"/>
          <w:szCs w:val="32"/>
        </w:rPr>
      </w:pPr>
      <w:r>
        <w:rPr>
          <w:rFonts w:eastAsia="方正仿宋_GBK" w:cs="Times New Roman"/>
          <w:sz w:val="32"/>
          <w:szCs w:val="32"/>
        </w:rPr>
        <w:t>第三十条  医疗机构应配备专（兼）职药械养护人员，定期对储存、陈列的药械进行检查和养护，监测和记录储存区域的温湿度，维护储存设施设备，对检查中发现的问题应及时采取有效措施予以处置，并建立相应的养护档案。</w:t>
      </w:r>
    </w:p>
    <w:p w14:paraId="6C32FEEE">
      <w:pPr>
        <w:ind w:firstLine="640" w:firstLineChars="200"/>
        <w:rPr>
          <w:rFonts w:eastAsia="方正仿宋_GBK" w:cs="Times New Roman"/>
          <w:sz w:val="32"/>
          <w:szCs w:val="32"/>
        </w:rPr>
      </w:pPr>
      <w:r>
        <w:rPr>
          <w:rFonts w:eastAsia="方正仿宋_GBK" w:cs="Times New Roman"/>
          <w:sz w:val="32"/>
          <w:szCs w:val="32"/>
        </w:rPr>
        <w:t>第三十一条  储存药械的区域、货架、货柜、托盘等设施设备应当保持清洁、无杂物堆放，储存药械的冷藏冷冻设备不得存放食品等与药械无关的物品。</w:t>
      </w:r>
    </w:p>
    <w:p w14:paraId="55B27FE2">
      <w:pPr>
        <w:ind w:firstLine="640" w:firstLineChars="200"/>
        <w:rPr>
          <w:rFonts w:eastAsia="方正仿宋_GBK" w:cs="Times New Roman"/>
          <w:sz w:val="32"/>
          <w:szCs w:val="32"/>
        </w:rPr>
      </w:pPr>
      <w:r>
        <w:rPr>
          <w:rFonts w:eastAsia="方正仿宋_GBK" w:cs="Times New Roman"/>
          <w:sz w:val="32"/>
          <w:szCs w:val="32"/>
        </w:rPr>
        <w:t>第三十二条  医疗机构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14:paraId="052E914C">
      <w:pPr>
        <w:ind w:firstLine="640" w:firstLineChars="200"/>
        <w:rPr>
          <w:rFonts w:eastAsia="方正仿宋_GBK" w:cs="Times New Roman"/>
          <w:sz w:val="32"/>
          <w:szCs w:val="32"/>
        </w:rPr>
      </w:pPr>
      <w:r>
        <w:rPr>
          <w:rFonts w:eastAsia="方正仿宋_GBK" w:cs="Times New Roman"/>
          <w:sz w:val="32"/>
          <w:szCs w:val="32"/>
        </w:rPr>
        <w:t>第三十三条  中药饮片装斗前应当复核，防止错斗、串斗，应当定期清斗，防止饮片生虫、发霉、变质，不同批号的饮片装斗前应当清斗，斗内应留存实际装斗中药饮片对应的标签。</w:t>
      </w:r>
    </w:p>
    <w:p w14:paraId="1803BF96">
      <w:pPr>
        <w:jc w:val="center"/>
        <w:rPr>
          <w:rFonts w:hint="eastAsia" w:ascii="黑体" w:hAnsi="黑体" w:eastAsia="黑体" w:cs="黑体"/>
          <w:sz w:val="32"/>
          <w:szCs w:val="32"/>
        </w:rPr>
      </w:pPr>
      <w:r>
        <w:rPr>
          <w:rFonts w:hint="eastAsia" w:ascii="黑体" w:hAnsi="黑体" w:eastAsia="黑体" w:cs="黑体"/>
          <w:sz w:val="32"/>
          <w:szCs w:val="32"/>
        </w:rPr>
        <w:t>第七章  调配与使用</w:t>
      </w:r>
    </w:p>
    <w:p w14:paraId="0EAF162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w:t>
      </w:r>
      <w:r>
        <w:rPr>
          <w:rFonts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 xml:space="preserve">条  </w:t>
      </w:r>
      <w:r>
        <w:rPr>
          <w:rFonts w:ascii="方正仿宋_GBK" w:hAnsi="方正仿宋_GBK" w:eastAsia="方正仿宋_GBK" w:cs="方正仿宋_GBK"/>
          <w:sz w:val="32"/>
          <w:szCs w:val="32"/>
        </w:rPr>
        <w:t>医疗机构应</w:t>
      </w:r>
      <w:r>
        <w:rPr>
          <w:rFonts w:hint="eastAsia" w:ascii="方正仿宋_GBK" w:hAnsi="方正仿宋_GBK" w:eastAsia="方正仿宋_GBK" w:cs="方正仿宋_GBK"/>
          <w:sz w:val="32"/>
          <w:szCs w:val="32"/>
        </w:rPr>
        <w:t>凭本单位医生处方调配药品，调配的药品应当与诊疗范围相适应，普通处方、急诊处方、儿科处方保存期限为1年，医疗用毒性药品、第二类精神药品处方保存期限为2年，麻醉药品和第一类精神药品处方保存期限为3年。</w:t>
      </w:r>
    </w:p>
    <w:p w14:paraId="701E793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w:t>
      </w:r>
      <w:r>
        <w:rPr>
          <w:rFonts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rPr>
        <w:t>条  处方开具当日有效</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特殊情况下需延长有效期的，由开具处方的医师注明有效期限，但有效期最长不得超过3天。</w:t>
      </w:r>
    </w:p>
    <w:p w14:paraId="07D266D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w:t>
      </w:r>
      <w:r>
        <w:rPr>
          <w:rFonts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rPr>
        <w:t>条  药师应认真审方，不得随意更改处方内容</w:t>
      </w:r>
      <w:r>
        <w:rPr>
          <w:rFonts w:ascii="方正仿宋_GBK" w:hAnsi="方正仿宋_GBK" w:eastAsia="方正仿宋_GBK" w:cs="方正仿宋_GBK"/>
          <w:sz w:val="32"/>
          <w:szCs w:val="32"/>
        </w:rPr>
        <w:t>，药</w:t>
      </w:r>
      <w:r>
        <w:rPr>
          <w:rFonts w:hint="eastAsia" w:ascii="方正仿宋_GBK" w:hAnsi="方正仿宋_GBK" w:eastAsia="方正仿宋_GBK" w:cs="方正仿宋_GBK"/>
          <w:sz w:val="32"/>
          <w:szCs w:val="32"/>
        </w:rPr>
        <w:t>师经处方审核后，认为存在用药不适宜时，应当告知处方医师，请其确认或者重新开具处方</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严重不合理用药或者用药错误，应当拒绝调剂，及时告知处方医师，应当按照有关规定记录</w:t>
      </w:r>
      <w:r>
        <w:rPr>
          <w:rFonts w:ascii="方正仿宋_GBK" w:hAnsi="方正仿宋_GBK" w:eastAsia="方正仿宋_GBK" w:cs="方正仿宋_GBK"/>
          <w:sz w:val="32"/>
          <w:szCs w:val="32"/>
        </w:rPr>
        <w:t>并</w:t>
      </w:r>
      <w:r>
        <w:rPr>
          <w:rFonts w:hint="eastAsia" w:ascii="方正仿宋_GBK" w:hAnsi="方正仿宋_GBK" w:eastAsia="方正仿宋_GBK" w:cs="方正仿宋_GBK"/>
          <w:sz w:val="32"/>
          <w:szCs w:val="32"/>
        </w:rPr>
        <w:t>报告。在完成处方调剂后，应当在处方上签名或者加盖专用签章。</w:t>
      </w:r>
    </w:p>
    <w:p w14:paraId="1791B8C6">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w:t>
      </w:r>
      <w:r>
        <w:rPr>
          <w:rFonts w:ascii="方正仿宋_GBK" w:hAnsi="方正仿宋_GBK" w:eastAsia="方正仿宋_GBK" w:cs="方正仿宋_GBK"/>
          <w:sz w:val="32"/>
          <w:szCs w:val="32"/>
        </w:rPr>
        <w:t>七</w:t>
      </w:r>
      <w:r>
        <w:rPr>
          <w:rFonts w:hint="eastAsia" w:ascii="方正仿宋_GBK" w:hAnsi="方正仿宋_GBK" w:eastAsia="方正仿宋_GBK" w:cs="方正仿宋_GBK"/>
          <w:sz w:val="32"/>
          <w:szCs w:val="32"/>
        </w:rPr>
        <w:t>条  药品发放应当遵循“先产先出、“近期先出”和按批号发放的原则。拆零药品应并保留原包装，拆零后的药品包装袋表面，应当注明药品名称、规格、生产批号、有效期、用法、用量</w:t>
      </w:r>
      <w:r>
        <w:rPr>
          <w:rFonts w:ascii="方正仿宋_GBK" w:hAnsi="方正仿宋_GBK" w:eastAsia="方正仿宋_GBK" w:cs="方正仿宋_GBK"/>
          <w:sz w:val="32"/>
          <w:szCs w:val="32"/>
        </w:rPr>
        <w:t>、拆零日期</w:t>
      </w:r>
      <w:r>
        <w:rPr>
          <w:rFonts w:hint="eastAsia" w:ascii="方正仿宋_GBK" w:hAnsi="方正仿宋_GBK" w:eastAsia="方正仿宋_GBK" w:cs="方正仿宋_GBK"/>
          <w:sz w:val="32"/>
          <w:szCs w:val="32"/>
        </w:rPr>
        <w:t>等内容。</w:t>
      </w:r>
    </w:p>
    <w:p w14:paraId="77619AAD">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第三十八条</w:t>
      </w:r>
      <w:r>
        <w:rPr>
          <w:rFonts w:ascii="Lucida Sans" w:hAnsi="方正仿宋_GBK" w:eastAsia="方正仿宋_GBK" w:cs="方正仿宋_GBK"/>
          <w:sz w:val="32"/>
          <w:szCs w:val="32"/>
        </w:rPr>
        <w:t xml:space="preserve">  </w:t>
      </w:r>
      <w:r>
        <w:rPr>
          <w:rFonts w:hint="eastAsia" w:ascii="方正仿宋_GBK" w:hAnsi="方正仿宋_GBK" w:eastAsia="方正仿宋_GBK" w:cs="方正仿宋_GBK"/>
          <w:sz w:val="32"/>
          <w:szCs w:val="32"/>
        </w:rPr>
        <w:t>医疗机构配制的制剂</w:t>
      </w:r>
      <w:r>
        <w:rPr>
          <w:rFonts w:ascii="方正仿宋_GBK" w:hAnsi="方正仿宋_GBK" w:eastAsia="方正仿宋_GBK" w:cs="方正仿宋_GBK"/>
          <w:sz w:val="32"/>
          <w:szCs w:val="32"/>
        </w:rPr>
        <w:t>，应当是本单位临床需要而市场上没有供应的品种，并应当经省级药监部门批准或备案后方可配制，医疗机构配制的制剂不得在市场上销售，医疗机构之间</w:t>
      </w:r>
      <w:r>
        <w:rPr>
          <w:rFonts w:hint="eastAsia" w:ascii="方正仿宋_GBK" w:hAnsi="方正仿宋_GBK" w:eastAsia="方正仿宋_GBK" w:cs="方正仿宋_GBK"/>
          <w:sz w:val="32"/>
          <w:szCs w:val="32"/>
        </w:rPr>
        <w:t>调剂使用制剂应经省级药监部门批准。</w:t>
      </w:r>
    </w:p>
    <w:p w14:paraId="1851BC80">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第八章  监测与处置</w:t>
      </w:r>
    </w:p>
    <w:p w14:paraId="0C68F34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ascii="Lucida Sans" w:hAnsi="方正仿宋_GBK" w:eastAsia="方正仿宋_GBK" w:cs="方正仿宋_GBK"/>
          <w:sz w:val="32"/>
          <w:szCs w:val="32"/>
        </w:rPr>
        <w:t xml:space="preserve">   第三十九条  </w:t>
      </w:r>
      <w:r>
        <w:rPr>
          <w:rFonts w:hint="eastAsia" w:ascii="方正仿宋_GBK" w:hAnsi="方正仿宋_GBK" w:eastAsia="方正仿宋_GBK" w:cs="方正仿宋_GBK"/>
          <w:sz w:val="32"/>
          <w:szCs w:val="32"/>
        </w:rPr>
        <w:t>医疗机构应</w:t>
      </w:r>
      <w:r>
        <w:rPr>
          <w:rFonts w:ascii="方正仿宋_GBK" w:hAnsi="方正仿宋_GBK" w:eastAsia="方正仿宋_GBK" w:cs="方正仿宋_GBK"/>
          <w:sz w:val="32"/>
          <w:szCs w:val="32"/>
        </w:rPr>
        <w:t>当履行不良反应报告和监测职责，设立或者指定机构并配备专（兼）职人员，</w:t>
      </w:r>
      <w:r>
        <w:rPr>
          <w:rFonts w:hint="eastAsia" w:ascii="方正仿宋_GBK" w:hAnsi="方正仿宋_GBK" w:eastAsia="方正仿宋_GBK" w:cs="方正仿宋_GBK"/>
          <w:sz w:val="32"/>
          <w:szCs w:val="32"/>
        </w:rPr>
        <w:t>发现可能与药械有关的不良反应，按照国家有关药械不良反应/事件报告管理的规定，收集、报告所发现的药械不良反应/事件信息。</w:t>
      </w:r>
      <w:r>
        <w:rPr>
          <w:rFonts w:ascii="方正仿宋_GBK" w:hAnsi="方正仿宋_GBK" w:eastAsia="方正仿宋_GBK" w:cs="方正仿宋_GBK"/>
          <w:sz w:val="32"/>
          <w:szCs w:val="32"/>
        </w:rPr>
        <w:t>配合监管部门开展不良反应</w:t>
      </w:r>
      <w:r>
        <w:rPr>
          <w:rFonts w:hint="eastAsia" w:ascii="方正仿宋_GBK" w:hAnsi="方正仿宋_GBK" w:eastAsia="方正仿宋_GBK" w:cs="方正仿宋_GBK"/>
          <w:sz w:val="32"/>
          <w:szCs w:val="32"/>
        </w:rPr>
        <w:t>/事件</w:t>
      </w:r>
      <w:r>
        <w:rPr>
          <w:rFonts w:ascii="方正仿宋_GBK" w:hAnsi="方正仿宋_GBK" w:eastAsia="方正仿宋_GBK" w:cs="方正仿宋_GBK"/>
          <w:sz w:val="32"/>
          <w:szCs w:val="32"/>
        </w:rPr>
        <w:t>调查，并提供调查所需的资料。</w:t>
      </w:r>
    </w:p>
    <w:p w14:paraId="672B6768">
      <w:pPr>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第四十条</w:t>
      </w:r>
      <w:r>
        <w:rPr>
          <w:rFonts w:ascii="Lucida Sans" w:hAnsi="方正仿宋_GBK" w:eastAsia="方正仿宋_GBK" w:cs="方正仿宋_GBK"/>
          <w:sz w:val="32"/>
          <w:szCs w:val="32"/>
        </w:rPr>
        <w:t xml:space="preserve">  </w:t>
      </w:r>
      <w:r>
        <w:rPr>
          <w:rFonts w:hint="eastAsia" w:ascii="方正仿宋_GBK" w:hAnsi="方正仿宋_GBK" w:eastAsia="方正仿宋_GBK" w:cs="方正仿宋_GBK"/>
          <w:sz w:val="32"/>
          <w:szCs w:val="32"/>
        </w:rPr>
        <w:t>医疗机构发现使用的药械存在质量问题或者其他安全隐患的，应当立即停止使用，统一存放在待验区或退货区，向供货单位反馈并及时向所在地市</w:t>
      </w:r>
      <w:r>
        <w:rPr>
          <w:rFonts w:ascii="方正仿宋_GBK" w:hAnsi="方正仿宋_GBK" w:eastAsia="方正仿宋_GBK" w:cs="方正仿宋_GBK"/>
          <w:sz w:val="32"/>
          <w:szCs w:val="32"/>
        </w:rPr>
        <w:t>级或</w:t>
      </w:r>
      <w:r>
        <w:rPr>
          <w:rFonts w:hint="eastAsia" w:ascii="方正仿宋_GBK" w:hAnsi="方正仿宋_GBK" w:eastAsia="方正仿宋_GBK" w:cs="方正仿宋_GBK"/>
          <w:sz w:val="32"/>
          <w:szCs w:val="32"/>
        </w:rPr>
        <w:t>县级</w:t>
      </w:r>
      <w:r>
        <w:rPr>
          <w:rFonts w:ascii="方正仿宋_GBK" w:hAnsi="方正仿宋_GBK" w:eastAsia="方正仿宋_GBK" w:cs="方正仿宋_GBK"/>
          <w:sz w:val="32"/>
          <w:szCs w:val="32"/>
        </w:rPr>
        <w:t>药品</w:t>
      </w:r>
      <w:r>
        <w:rPr>
          <w:rFonts w:hint="eastAsia" w:ascii="方正仿宋_GBK" w:hAnsi="方正仿宋_GBK" w:eastAsia="方正仿宋_GBK" w:cs="方正仿宋_GBK"/>
          <w:sz w:val="32"/>
          <w:szCs w:val="32"/>
        </w:rPr>
        <w:t>监管部门、卫健部门报告。</w:t>
      </w:r>
    </w:p>
    <w:p w14:paraId="34E61A69">
      <w:pPr>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第四十一条</w:t>
      </w:r>
      <w:r>
        <w:rPr>
          <w:rFonts w:ascii="Lucida Sans" w:hAnsi="方正仿宋_GBK" w:eastAsia="方正仿宋_GBK" w:cs="方正仿宋_GBK"/>
          <w:sz w:val="32"/>
          <w:szCs w:val="32"/>
        </w:rPr>
        <w:t xml:space="preserve">  </w:t>
      </w:r>
      <w:r>
        <w:rPr>
          <w:rFonts w:hint="eastAsia" w:ascii="方正仿宋_GBK" w:hAnsi="方正仿宋_GBK" w:eastAsia="方正仿宋_GBK" w:cs="方正仿宋_GBK"/>
          <w:sz w:val="32"/>
          <w:szCs w:val="32"/>
        </w:rPr>
        <w:t>医疗机构应当积极协助药品上市许可持有人、中药饮片生产企业、药品批发企业</w:t>
      </w:r>
      <w:r>
        <w:rPr>
          <w:rFonts w:ascii="方正仿宋_GBK" w:hAnsi="方正仿宋_GBK" w:eastAsia="方正仿宋_GBK" w:cs="方正仿宋_GBK"/>
          <w:sz w:val="32"/>
          <w:szCs w:val="32"/>
        </w:rPr>
        <w:t>及</w:t>
      </w:r>
      <w:r>
        <w:rPr>
          <w:rFonts w:hint="eastAsia" w:ascii="方正仿宋_GBK" w:hAnsi="方正仿宋_GBK" w:eastAsia="方正仿宋_GBK" w:cs="方正仿宋_GBK"/>
          <w:sz w:val="32"/>
          <w:szCs w:val="32"/>
        </w:rPr>
        <w:t>医疗器械注册人、备案人履行</w:t>
      </w:r>
      <w:r>
        <w:rPr>
          <w:rFonts w:ascii="方正仿宋_GBK" w:hAnsi="方正仿宋_GBK" w:eastAsia="方正仿宋_GBK" w:cs="方正仿宋_GBK"/>
          <w:sz w:val="32"/>
          <w:szCs w:val="32"/>
        </w:rPr>
        <w:t>药械召</w:t>
      </w:r>
      <w:r>
        <w:rPr>
          <w:rFonts w:hint="eastAsia" w:ascii="方正仿宋_GBK" w:hAnsi="方正仿宋_GBK" w:eastAsia="方正仿宋_GBK" w:cs="方正仿宋_GBK"/>
          <w:sz w:val="32"/>
          <w:szCs w:val="32"/>
          <w:lang w:eastAsia="zh-CN"/>
        </w:rPr>
        <w:t>回</w:t>
      </w:r>
      <w:r>
        <w:rPr>
          <w:rFonts w:ascii="方正仿宋_GBK" w:hAnsi="方正仿宋_GBK" w:eastAsia="方正仿宋_GBK" w:cs="方正仿宋_GBK"/>
          <w:sz w:val="32"/>
          <w:szCs w:val="32"/>
        </w:rPr>
        <w:t>、追</w:t>
      </w:r>
      <w:r>
        <w:rPr>
          <w:rFonts w:hint="eastAsia" w:ascii="方正仿宋_GBK" w:hAnsi="方正仿宋_GBK" w:eastAsia="方正仿宋_GBK" w:cs="方正仿宋_GBK"/>
          <w:sz w:val="32"/>
          <w:szCs w:val="32"/>
          <w:lang w:eastAsia="zh-CN"/>
        </w:rPr>
        <w:t>回</w:t>
      </w:r>
      <w:r>
        <w:rPr>
          <w:rFonts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rPr>
        <w:t>义务，</w:t>
      </w:r>
      <w:r>
        <w:rPr>
          <w:rFonts w:ascii="方正仿宋_GBK" w:hAnsi="方正仿宋_GBK" w:eastAsia="方正仿宋_GBK" w:cs="方正仿宋_GBK"/>
          <w:sz w:val="32"/>
          <w:szCs w:val="32"/>
        </w:rPr>
        <w:t>协助</w:t>
      </w:r>
      <w:r>
        <w:rPr>
          <w:rFonts w:hint="eastAsia" w:ascii="方正仿宋_GBK" w:hAnsi="方正仿宋_GBK" w:eastAsia="方正仿宋_GBK" w:cs="方正仿宋_GBK"/>
          <w:sz w:val="32"/>
          <w:szCs w:val="32"/>
        </w:rPr>
        <w:t>控制和收回缺陷产品。</w:t>
      </w:r>
    </w:p>
    <w:p w14:paraId="130E4D01">
      <w:pPr>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第四十二条</w:t>
      </w:r>
      <w:r>
        <w:rPr>
          <w:rFonts w:ascii="Lucida Sans" w:hAnsi="方正仿宋_GBK" w:eastAsia="方正仿宋_GBK" w:cs="方正仿宋_GBK"/>
          <w:sz w:val="32"/>
          <w:szCs w:val="32"/>
        </w:rPr>
        <w:t xml:space="preserve">  </w:t>
      </w:r>
      <w:r>
        <w:rPr>
          <w:rFonts w:hint="eastAsia" w:ascii="方正仿宋_GBK" w:hAnsi="方正仿宋_GBK" w:eastAsia="方正仿宋_GBK" w:cs="方正仿宋_GBK"/>
          <w:sz w:val="32"/>
          <w:szCs w:val="32"/>
        </w:rPr>
        <w:t>医疗机构应当建立覆盖药械购进、储存、使用的全过程追溯体系，开展追溯数据校验和采集，按规定提供药械追溯信息，实现药械来源可溯、去向可查、风险可控。</w:t>
      </w:r>
    </w:p>
    <w:sectPr>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大标宋_GBK">
    <w:panose1 w:val="02000000000000000000"/>
    <w:charset w:val="86"/>
    <w:family w:val="script"/>
    <w:pitch w:val="default"/>
    <w:sig w:usb0="A00002BF" w:usb1="08CF7CFA" w:usb2="00000000" w:usb3="00000000" w:csb0="00040001" w:csb1="00000000"/>
  </w:font>
  <w:font w:name="方正仿宋_GBK">
    <w:panose1 w:val="02000000000000000000"/>
    <w:charset w:val="86"/>
    <w:family w:val="script"/>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
  <w:rsids>
    <w:rsidRoot w:val="00000000"/>
    <w:rsid w:val="1EDFA670"/>
    <w:rsid w:val="7BFF9653"/>
    <w:rsid w:val="7FF69B16"/>
    <w:rsid w:val="7FFB859D"/>
    <w:rsid w:val="9FB70D63"/>
    <w:rsid w:val="FFEE6AE0"/>
    <w:rsid w:val="FFF28A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Lucida Sans"/>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602E5E18-08E7-446C-9E49-F7EFDFFBBA5D}">
  <ds:schemaRefs/>
</ds:datastoreItem>
</file>

<file path=docProps/app.xml><?xml version="1.0" encoding="utf-8"?>
<Properties xmlns="http://schemas.openxmlformats.org/officeDocument/2006/extended-properties" xmlns:vt="http://schemas.openxmlformats.org/officeDocument/2006/docPropsVTypes">
  <Template>Normal.eit</Template>
  <Pages>12</Pages>
  <Words>0</Words>
  <Characters>4443</Characters>
  <Lines>0</Lines>
  <Paragraphs>63</Paragraphs>
  <TotalTime>25</TotalTime>
  <ScaleCrop>false</ScaleCrop>
  <LinksUpToDate>false</LinksUpToDate>
  <CharactersWithSpaces>5925</CharactersWithSpaces>
  <Application>WPS Office_12.1.2.24730_F1E327BC-269C-435d-A152-05C5408002CA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2026-05-12T16:44:00Z</dcterms:created>
  <dc:creator>user</dc:creator>
  <cp:lastModifiedBy>user</cp:lastModifiedBy>
  <cp:lastPrinted>2026-05-18T17:37:58Z</cp:lastPrinted>
  <dcterms:modified xsi:type="dcterms:W3CDTF">2026-05-18T17:45:07Z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0BF085796A70F06933C90A6A03676A84_42</vt:lpwstr>
  </property>
</Properties>
</file>