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0B95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3DD6129F">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8953FB1">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77A36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0A492FC">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4A7779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AA1F73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526C2A5C">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lang w:eastAsia="zh-CN"/>
              </w:rPr>
              <w:t>5</w:t>
            </w:r>
            <w:r>
              <w:rPr>
                <w:rFonts w:hint="eastAsia"/>
                <w:lang w:val="en-US" w:eastAsia="zh-CN"/>
              </w:rPr>
              <w:t>104</w:t>
            </w:r>
            <w:r>
              <w:fldChar w:fldCharType="end"/>
            </w:r>
            <w:bookmarkEnd w:id="3"/>
          </w:p>
        </w:tc>
      </w:tr>
    </w:tbl>
    <w:p w14:paraId="5296EDF9">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四川省（攀枝花市）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3344B3E">
      <w:pPr>
        <w:pStyle w:val="195"/>
        <w:rPr>
          <w:lang w:val="fr-FR"/>
        </w:rPr>
      </w:pPr>
      <w:r>
        <w:rPr>
          <w:rFonts w:ascii="Times New Roman"/>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en-US" w:eastAsia="zh-CN"/>
        </w:rPr>
        <w:t>5104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8373E94">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A6857F5">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0033893">
      <w:pPr>
        <w:pStyle w:val="50"/>
        <w:framePr w:w="9639" w:h="6976" w:hRule="exact" w:hSpace="0" w:vSpace="0" w:wrap="around" w:hAnchor="page" w:y="6408"/>
        <w:jc w:val="center"/>
        <w:rPr>
          <w:rFonts w:hint="eastAsia" w:ascii="黑体" w:hAnsi="黑体" w:eastAsia="黑体"/>
          <w:b w:val="0"/>
          <w:bCs w:val="0"/>
          <w:w w:val="100"/>
        </w:rPr>
      </w:pPr>
    </w:p>
    <w:p w14:paraId="369E1D25">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青花椒低产林管理技术规程</w:t>
      </w:r>
      <w:r>
        <w:fldChar w:fldCharType="end"/>
      </w:r>
      <w:bookmarkEnd w:id="9"/>
    </w:p>
    <w:p w14:paraId="6AD0E1B1">
      <w:pPr>
        <w:framePr w:w="9639" w:h="6974" w:hRule="exact" w:wrap="around" w:vAnchor="page" w:hAnchor="page" w:x="1419" w:y="6408" w:anchorLock="1"/>
        <w:ind w:left="-1418"/>
      </w:pPr>
    </w:p>
    <w:p w14:paraId="6A6F278D">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Regulation for Low-yield Forest Management of Green Pepper</w:t>
      </w:r>
      <w:r>
        <w:rPr>
          <w:rFonts w:eastAsia="黑体"/>
          <w:szCs w:val="28"/>
        </w:rPr>
        <w:fldChar w:fldCharType="end"/>
      </w:r>
      <w:bookmarkEnd w:id="10"/>
    </w:p>
    <w:p w14:paraId="454D4DEC">
      <w:pPr>
        <w:framePr w:w="9639" w:h="6974" w:hRule="exact" w:wrap="around" w:vAnchor="page" w:hAnchor="page" w:x="1419" w:y="6408" w:anchorLock="1"/>
        <w:spacing w:line="760" w:lineRule="exact"/>
        <w:ind w:left="-1418"/>
      </w:pPr>
    </w:p>
    <w:p w14:paraId="41B340AF">
      <w:pPr>
        <w:pStyle w:val="125"/>
        <w:framePr w:w="9639" w:h="6974" w:hRule="exact" w:wrap="around" w:vAnchor="page" w:hAnchor="page" w:x="1419" w:y="6408" w:anchorLock="1"/>
        <w:textAlignment w:val="bottom"/>
        <w:rPr>
          <w:rFonts w:eastAsia="黑体"/>
          <w:szCs w:val="28"/>
        </w:rPr>
      </w:pPr>
    </w:p>
    <w:p w14:paraId="14C54D46">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03225C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EE06211">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11EFC1F">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CBAF1D9">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ADD01B3">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攀枝花市市场监督管理局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B971135">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0F97AA1">
      <w:pPr>
        <w:pStyle w:val="91"/>
        <w:bidi w:val="0"/>
        <w:rPr>
          <w:rFonts w:hint="eastAsia"/>
          <w:lang w:eastAsia="zh-CN"/>
        </w:rPr>
      </w:pPr>
      <w:bookmarkStart w:id="21" w:name="BookMark1"/>
      <w:r>
        <w:rPr>
          <w:rFonts w:hint="eastAsia"/>
          <w:spacing w:val="320"/>
          <w:lang w:eastAsia="zh-CN"/>
        </w:rPr>
        <w:t>目</w:t>
      </w:r>
      <w:r>
        <w:rPr>
          <w:rFonts w:hint="eastAsia"/>
          <w:lang w:eastAsia="zh-CN"/>
        </w:rPr>
        <w:t>次</w:t>
      </w:r>
    </w:p>
    <w:p w14:paraId="061522FD">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TOC \o "1-1" \h</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_Toc29911 </w:instrText>
      </w:r>
      <w:r>
        <w:rPr>
          <w:rFonts w:hint="eastAsia"/>
          <w:spacing w:val="0"/>
          <w:lang w:eastAsia="zh-CN"/>
        </w:rPr>
        <w:fldChar w:fldCharType="separate"/>
      </w:r>
      <w:r>
        <w:rPr>
          <w:rFonts w:hint="eastAsia"/>
          <w:spacing w:val="0"/>
          <w:lang w:eastAsia="zh-CN"/>
        </w:rPr>
        <w:t>前</w:t>
      </w:r>
      <w:r>
        <w:rPr>
          <w:rFonts w:hint="eastAsia"/>
          <w:spacing w:val="0"/>
          <w:lang w:val="en-US" w:eastAsia="zh-CN"/>
        </w:rPr>
        <w:t xml:space="preserve"> </w:t>
      </w:r>
      <w:r>
        <w:rPr>
          <w:rFonts w:hint="eastAsia"/>
          <w:spacing w:val="0"/>
          <w:lang w:eastAsia="zh-CN"/>
        </w:rPr>
        <w:t>言</w:t>
      </w:r>
      <w:r>
        <w:rPr>
          <w:spacing w:val="0"/>
        </w:rPr>
        <w:tab/>
      </w:r>
      <w:r>
        <w:rPr>
          <w:spacing w:val="0"/>
        </w:rPr>
        <w:fldChar w:fldCharType="begin"/>
      </w:r>
      <w:r>
        <w:rPr>
          <w:spacing w:val="0"/>
        </w:rPr>
        <w:instrText xml:space="preserve"> PAGEREF _Toc29911 \h </w:instrText>
      </w:r>
      <w:r>
        <w:rPr>
          <w:spacing w:val="0"/>
        </w:rPr>
        <w:fldChar w:fldCharType="separate"/>
      </w:r>
      <w:r>
        <w:rPr>
          <w:spacing w:val="0"/>
        </w:rPr>
        <w:t>II</w:t>
      </w:r>
      <w:r>
        <w:rPr>
          <w:spacing w:val="0"/>
        </w:rPr>
        <w:fldChar w:fldCharType="end"/>
      </w:r>
      <w:r>
        <w:rPr>
          <w:rFonts w:hint="eastAsia"/>
          <w:spacing w:val="0"/>
          <w:lang w:eastAsia="zh-CN"/>
        </w:rPr>
        <w:fldChar w:fldCharType="end"/>
      </w:r>
    </w:p>
    <w:p w14:paraId="54FF4571">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_Toc30305 </w:instrText>
      </w:r>
      <w:r>
        <w:rPr>
          <w:rFonts w:hint="eastAsia"/>
          <w:spacing w:val="0"/>
          <w:lang w:eastAsia="zh-CN"/>
        </w:rPr>
        <w:fldChar w:fldCharType="separate"/>
      </w:r>
      <w:r>
        <w:rPr>
          <w:rFonts w:hint="eastAsia" w:ascii="黑体" w:eastAsia="黑体"/>
          <w:i w:val="0"/>
          <w:spacing w:val="0"/>
        </w:rPr>
        <w:t>1</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范围</w:t>
      </w:r>
      <w:r>
        <w:rPr>
          <w:spacing w:val="0"/>
        </w:rPr>
        <w:tab/>
      </w:r>
      <w:r>
        <w:rPr>
          <w:spacing w:val="0"/>
        </w:rPr>
        <w:fldChar w:fldCharType="begin"/>
      </w:r>
      <w:r>
        <w:rPr>
          <w:spacing w:val="0"/>
        </w:rPr>
        <w:instrText xml:space="preserve"> PAGEREF _Toc30305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037FC750">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_Toc23728 </w:instrText>
      </w:r>
      <w:r>
        <w:rPr>
          <w:rFonts w:hint="eastAsia"/>
          <w:spacing w:val="0"/>
          <w:lang w:eastAsia="zh-CN"/>
        </w:rPr>
        <w:fldChar w:fldCharType="separate"/>
      </w:r>
      <w:r>
        <w:rPr>
          <w:rFonts w:hint="eastAsia" w:ascii="黑体" w:eastAsia="黑体"/>
          <w:i w:val="0"/>
          <w:spacing w:val="0"/>
        </w:rPr>
        <w:t>2</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规范性引用文件</w:t>
      </w:r>
      <w:r>
        <w:rPr>
          <w:spacing w:val="0"/>
        </w:rPr>
        <w:tab/>
      </w:r>
      <w:r>
        <w:rPr>
          <w:spacing w:val="0"/>
        </w:rPr>
        <w:fldChar w:fldCharType="begin"/>
      </w:r>
      <w:r>
        <w:rPr>
          <w:spacing w:val="0"/>
        </w:rPr>
        <w:instrText xml:space="preserve"> PAGEREF _Toc23728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0CFDDDA4">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_Toc21805 </w:instrText>
      </w:r>
      <w:r>
        <w:rPr>
          <w:rFonts w:hint="eastAsia"/>
          <w:spacing w:val="0"/>
          <w:lang w:eastAsia="zh-CN"/>
        </w:rPr>
        <w:fldChar w:fldCharType="separate"/>
      </w:r>
      <w:r>
        <w:rPr>
          <w:rFonts w:hint="eastAsia" w:ascii="黑体" w:eastAsia="黑体"/>
          <w:i w:val="0"/>
          <w:spacing w:val="0"/>
        </w:rPr>
        <w:t>3</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szCs w:val="21"/>
        </w:rPr>
        <w:t>术语和定义</w:t>
      </w:r>
      <w:r>
        <w:rPr>
          <w:spacing w:val="0"/>
        </w:rPr>
        <w:tab/>
      </w:r>
      <w:r>
        <w:rPr>
          <w:spacing w:val="0"/>
        </w:rPr>
        <w:fldChar w:fldCharType="begin"/>
      </w:r>
      <w:r>
        <w:rPr>
          <w:spacing w:val="0"/>
        </w:rPr>
        <w:instrText xml:space="preserve"> PAGEREF _Toc21805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17957B78">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_Toc25836 </w:instrText>
      </w:r>
      <w:r>
        <w:rPr>
          <w:rFonts w:hint="eastAsia"/>
          <w:spacing w:val="0"/>
          <w:lang w:eastAsia="zh-CN"/>
        </w:rPr>
        <w:fldChar w:fldCharType="separate"/>
      </w:r>
      <w:r>
        <w:rPr>
          <w:rFonts w:hint="eastAsia" w:ascii="黑体" w:eastAsia="黑体"/>
          <w:i w:val="0"/>
          <w:spacing w:val="0"/>
        </w:rPr>
        <w:t>4</w:t>
      </w:r>
      <w:r>
        <w:rPr>
          <w:rFonts w:hint="eastAsia" w:ascii="黑体" w:eastAsia="黑体"/>
          <w:i w:val="0"/>
          <w:spacing w:val="0"/>
          <w:lang w:eastAsia="zh-CN"/>
        </w:rPr>
        <w:t xml:space="preserve"> </w:t>
      </w:r>
      <w:r>
        <w:rPr>
          <w:rFonts w:hint="eastAsia" w:ascii="黑体" w:eastAsia="黑体"/>
          <w:i w:val="0"/>
          <w:spacing w:val="0"/>
        </w:rPr>
        <w:t xml:space="preserve"> </w:t>
      </w:r>
      <w:r>
        <w:rPr>
          <w:spacing w:val="0"/>
        </w:rPr>
        <w:t>花前调节及病虫害综合防控</w:t>
      </w:r>
      <w:r>
        <w:rPr>
          <w:spacing w:val="0"/>
        </w:rPr>
        <w:tab/>
      </w:r>
      <w:r>
        <w:rPr>
          <w:spacing w:val="0"/>
        </w:rPr>
        <w:fldChar w:fldCharType="begin"/>
      </w:r>
      <w:r>
        <w:rPr>
          <w:spacing w:val="0"/>
        </w:rPr>
        <w:instrText xml:space="preserve"> PAGEREF _Toc25836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789B86F8">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_Toc6073 </w:instrText>
      </w:r>
      <w:r>
        <w:rPr>
          <w:rFonts w:hint="eastAsia"/>
          <w:spacing w:val="0"/>
          <w:lang w:eastAsia="zh-CN"/>
        </w:rPr>
        <w:fldChar w:fldCharType="separate"/>
      </w:r>
      <w:r>
        <w:rPr>
          <w:rFonts w:hint="eastAsia" w:ascii="黑体" w:eastAsia="黑体"/>
          <w:i w:val="0"/>
          <w:spacing w:val="0"/>
        </w:rPr>
        <w:t>5</w:t>
      </w:r>
      <w:r>
        <w:rPr>
          <w:rFonts w:hint="eastAsia" w:ascii="黑体" w:eastAsia="黑体"/>
          <w:i w:val="0"/>
          <w:spacing w:val="0"/>
          <w:lang w:eastAsia="zh-CN"/>
        </w:rPr>
        <w:t xml:space="preserve"> </w:t>
      </w:r>
      <w:r>
        <w:rPr>
          <w:rFonts w:hint="eastAsia" w:ascii="黑体" w:eastAsia="黑体"/>
          <w:i w:val="0"/>
          <w:spacing w:val="0"/>
        </w:rPr>
        <w:t xml:space="preserve"> </w:t>
      </w:r>
      <w:r>
        <w:rPr>
          <w:spacing w:val="0"/>
        </w:rPr>
        <w:t>保花保果及病虫害综合防控</w:t>
      </w:r>
      <w:r>
        <w:rPr>
          <w:spacing w:val="0"/>
        </w:rPr>
        <w:tab/>
      </w:r>
      <w:r>
        <w:rPr>
          <w:spacing w:val="0"/>
        </w:rPr>
        <w:fldChar w:fldCharType="begin"/>
      </w:r>
      <w:r>
        <w:rPr>
          <w:spacing w:val="0"/>
        </w:rPr>
        <w:instrText xml:space="preserve"> PAGEREF _Toc6073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0FCD7783">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_Toc12326 </w:instrText>
      </w:r>
      <w:r>
        <w:rPr>
          <w:rFonts w:hint="eastAsia"/>
          <w:spacing w:val="0"/>
          <w:lang w:eastAsia="zh-CN"/>
        </w:rPr>
        <w:fldChar w:fldCharType="separate"/>
      </w:r>
      <w:r>
        <w:rPr>
          <w:rFonts w:hint="eastAsia" w:ascii="黑体" w:eastAsia="黑体"/>
          <w:i w:val="0"/>
          <w:spacing w:val="0"/>
        </w:rPr>
        <w:t>6</w:t>
      </w:r>
      <w:r>
        <w:rPr>
          <w:rFonts w:hint="eastAsia" w:ascii="黑体" w:eastAsia="黑体"/>
          <w:i w:val="0"/>
          <w:spacing w:val="0"/>
          <w:lang w:eastAsia="zh-CN"/>
        </w:rPr>
        <w:t xml:space="preserve"> </w:t>
      </w:r>
      <w:r>
        <w:rPr>
          <w:rFonts w:hint="eastAsia" w:ascii="黑体" w:eastAsia="黑体"/>
          <w:i w:val="0"/>
          <w:spacing w:val="0"/>
        </w:rPr>
        <w:t xml:space="preserve"> </w:t>
      </w:r>
      <w:r>
        <w:rPr>
          <w:spacing w:val="0"/>
        </w:rPr>
        <w:t>土肥水管理</w:t>
      </w:r>
      <w:r>
        <w:rPr>
          <w:spacing w:val="0"/>
        </w:rPr>
        <w:tab/>
      </w:r>
      <w:r>
        <w:rPr>
          <w:spacing w:val="0"/>
        </w:rPr>
        <w:fldChar w:fldCharType="begin"/>
      </w:r>
      <w:r>
        <w:rPr>
          <w:spacing w:val="0"/>
        </w:rPr>
        <w:instrText xml:space="preserve"> PAGEREF _Toc12326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129A2C10">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_Toc3983 </w:instrText>
      </w:r>
      <w:r>
        <w:rPr>
          <w:rFonts w:hint="eastAsia"/>
          <w:spacing w:val="0"/>
          <w:lang w:eastAsia="zh-CN"/>
        </w:rPr>
        <w:fldChar w:fldCharType="separate"/>
      </w:r>
      <w:r>
        <w:rPr>
          <w:rFonts w:hint="eastAsia" w:ascii="黑体" w:eastAsia="黑体"/>
          <w:i w:val="0"/>
          <w:spacing w:val="0"/>
        </w:rPr>
        <w:t>7</w:t>
      </w:r>
      <w:r>
        <w:rPr>
          <w:rFonts w:hint="eastAsia" w:ascii="黑体" w:eastAsia="黑体"/>
          <w:i w:val="0"/>
          <w:spacing w:val="0"/>
          <w:lang w:eastAsia="zh-CN"/>
        </w:rPr>
        <w:t xml:space="preserve"> </w:t>
      </w:r>
      <w:r>
        <w:rPr>
          <w:rFonts w:hint="eastAsia" w:ascii="黑体" w:eastAsia="黑体"/>
          <w:i w:val="0"/>
          <w:spacing w:val="0"/>
        </w:rPr>
        <w:t xml:space="preserve"> </w:t>
      </w:r>
      <w:r>
        <w:rPr>
          <w:spacing w:val="0"/>
        </w:rPr>
        <w:t>整形修剪</w:t>
      </w:r>
      <w:r>
        <w:rPr>
          <w:spacing w:val="0"/>
        </w:rPr>
        <w:tab/>
      </w:r>
      <w:r>
        <w:rPr>
          <w:spacing w:val="0"/>
        </w:rPr>
        <w:fldChar w:fldCharType="begin"/>
      </w:r>
      <w:r>
        <w:rPr>
          <w:spacing w:val="0"/>
        </w:rPr>
        <w:instrText xml:space="preserve"> PAGEREF _Toc3983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0FCE9572">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_Toc1458 </w:instrText>
      </w:r>
      <w:r>
        <w:rPr>
          <w:rFonts w:hint="eastAsia"/>
          <w:spacing w:val="0"/>
          <w:lang w:eastAsia="zh-CN"/>
        </w:rPr>
        <w:fldChar w:fldCharType="separate"/>
      </w:r>
      <w:r>
        <w:rPr>
          <w:rFonts w:hint="eastAsia" w:ascii="黑体" w:eastAsia="黑体"/>
          <w:i w:val="0"/>
          <w:spacing w:val="0"/>
        </w:rPr>
        <w:t>8</w:t>
      </w:r>
      <w:r>
        <w:rPr>
          <w:rFonts w:hint="eastAsia" w:ascii="黑体" w:eastAsia="黑体"/>
          <w:i w:val="0"/>
          <w:spacing w:val="0"/>
          <w:lang w:eastAsia="zh-CN"/>
        </w:rPr>
        <w:t xml:space="preserve"> </w:t>
      </w:r>
      <w:r>
        <w:rPr>
          <w:rFonts w:hint="eastAsia" w:ascii="黑体" w:eastAsia="黑体"/>
          <w:i w:val="0"/>
          <w:spacing w:val="0"/>
        </w:rPr>
        <w:t xml:space="preserve"> </w:t>
      </w:r>
      <w:r>
        <w:rPr>
          <w:spacing w:val="0"/>
        </w:rPr>
        <w:t>控销及病虫害综合防控</w:t>
      </w:r>
      <w:r>
        <w:rPr>
          <w:spacing w:val="0"/>
        </w:rPr>
        <w:tab/>
      </w:r>
      <w:r>
        <w:rPr>
          <w:spacing w:val="0"/>
        </w:rPr>
        <w:fldChar w:fldCharType="begin"/>
      </w:r>
      <w:r>
        <w:rPr>
          <w:spacing w:val="0"/>
        </w:rPr>
        <w:instrText xml:space="preserve"> PAGEREF _Toc1458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42436C0A">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_Toc31457 </w:instrText>
      </w:r>
      <w:r>
        <w:rPr>
          <w:rFonts w:hint="eastAsia"/>
          <w:spacing w:val="0"/>
          <w:lang w:eastAsia="zh-CN"/>
        </w:rPr>
        <w:fldChar w:fldCharType="separate"/>
      </w:r>
      <w:r>
        <w:rPr>
          <w:rFonts w:hint="eastAsia"/>
          <w:spacing w:val="0"/>
        </w:rPr>
        <w:t>附录A</w:t>
      </w:r>
      <w:r>
        <w:rPr>
          <w:spacing w:val="0"/>
        </w:rPr>
        <w:t xml:space="preserve"> </w:t>
      </w:r>
      <w:r>
        <w:rPr>
          <w:rFonts w:hint="eastAsia"/>
          <w:spacing w:val="0"/>
          <w:lang w:eastAsia="zh-CN"/>
        </w:rPr>
        <w:t>（资料性 ） 青花椒常用农药推荐产品</w:t>
      </w:r>
      <w:r>
        <w:rPr>
          <w:spacing w:val="0"/>
        </w:rPr>
        <w:tab/>
      </w:r>
      <w:r>
        <w:rPr>
          <w:spacing w:val="0"/>
        </w:rPr>
        <w:fldChar w:fldCharType="begin"/>
      </w:r>
      <w:r>
        <w:rPr>
          <w:spacing w:val="0"/>
        </w:rPr>
        <w:instrText xml:space="preserve"> PAGEREF _Toc31457 \h </w:instrText>
      </w:r>
      <w:r>
        <w:rPr>
          <w:spacing w:val="0"/>
        </w:rPr>
        <w:fldChar w:fldCharType="separate"/>
      </w:r>
      <w:r>
        <w:rPr>
          <w:spacing w:val="0"/>
        </w:rPr>
        <w:t>5</w:t>
      </w:r>
      <w:r>
        <w:rPr>
          <w:spacing w:val="0"/>
        </w:rPr>
        <w:fldChar w:fldCharType="end"/>
      </w:r>
      <w:r>
        <w:rPr>
          <w:rFonts w:hint="eastAsia"/>
          <w:spacing w:val="0"/>
          <w:lang w:eastAsia="zh-CN"/>
        </w:rPr>
        <w:fldChar w:fldCharType="end"/>
      </w:r>
    </w:p>
    <w:p w14:paraId="553710D4">
      <w:pPr>
        <w:pStyle w:val="91"/>
        <w:bidi w:val="0"/>
        <w:rPr>
          <w:rFonts w:hint="eastAsia"/>
          <w:spacing w:val="0"/>
          <w:lang w:eastAsia="zh-CN"/>
        </w:rPr>
        <w:sectPr>
          <w:headerReference r:id="rId9" w:type="default"/>
          <w:footerReference r:id="rId10" w:type="default"/>
          <w:pgSz w:w="11906" w:h="16838"/>
          <w:pgMar w:top="1928" w:right="1134" w:bottom="1134" w:left="1134" w:header="1418" w:footer="1134" w:gutter="284"/>
          <w:pgNumType w:fmt="upperRoman" w:start="1"/>
          <w:cols w:space="425" w:num="1"/>
          <w:formProt w:val="0"/>
          <w:docGrid w:type="lines" w:linePitch="312" w:charSpace="0"/>
        </w:sectPr>
      </w:pPr>
      <w:r>
        <w:rPr>
          <w:rFonts w:hint="eastAsia"/>
          <w:spacing w:val="0"/>
          <w:lang w:eastAsia="zh-CN"/>
        </w:rPr>
        <w:fldChar w:fldCharType="end"/>
      </w:r>
    </w:p>
    <w:bookmarkEnd w:id="21"/>
    <w:p w14:paraId="3831556C">
      <w:pPr>
        <w:pStyle w:val="89"/>
        <w:bidi w:val="0"/>
        <w:spacing w:before="560"/>
        <w:rPr>
          <w:rFonts w:hint="eastAsia"/>
          <w:lang w:eastAsia="zh-CN"/>
        </w:rPr>
      </w:pPr>
      <w:bookmarkStart w:id="22" w:name="_Toc29911"/>
      <w:bookmarkStart w:id="23" w:name="BookMark2"/>
      <w:r>
        <w:rPr>
          <w:rFonts w:hint="eastAsia"/>
          <w:spacing w:val="320"/>
          <w:lang w:eastAsia="zh-CN"/>
        </w:rPr>
        <w:t>前</w:t>
      </w:r>
      <w:r>
        <w:rPr>
          <w:rFonts w:hint="eastAsia"/>
          <w:lang w:eastAsia="zh-CN"/>
        </w:rPr>
        <w:t>言</w:t>
      </w:r>
      <w:bookmarkEnd w:id="22"/>
    </w:p>
    <w:p w14:paraId="6358EFA5">
      <w:pPr>
        <w:pStyle w:val="56"/>
        <w:bidi w:val="0"/>
        <w:rPr>
          <w:rFonts w:hint="eastAsia"/>
          <w:lang w:eastAsia="zh-CN"/>
        </w:rPr>
      </w:pPr>
      <w:r>
        <w:rPr>
          <w:rFonts w:hint="eastAsia"/>
          <w:lang w:eastAsia="zh-CN"/>
        </w:rPr>
        <w:t>本文件按照GB/T 1.1—2020《标准化工作导则  第1部分：标准化文件的结构和起草规则》的规定起草。</w:t>
      </w:r>
    </w:p>
    <w:p w14:paraId="75C9B22E">
      <w:pPr>
        <w:pStyle w:val="56"/>
        <w:bidi w:val="0"/>
      </w:pPr>
      <w:r>
        <w:rPr>
          <w:rFonts w:hint="eastAsia"/>
        </w:rPr>
        <w:t>请注意本文件的某些内容可能涉及专利。本文件的发布机构不承担识别这些专利的责任。</w:t>
      </w:r>
    </w:p>
    <w:p w14:paraId="7CCDC90A">
      <w:pPr>
        <w:pStyle w:val="56"/>
        <w:bidi w:val="0"/>
      </w:pPr>
      <w:r>
        <w:rPr>
          <w:rFonts w:hint="eastAsia"/>
        </w:rPr>
        <w:t>本文件由攀枝花市农业农村局提出并归口。</w:t>
      </w:r>
    </w:p>
    <w:p w14:paraId="2BAFA449">
      <w:pPr>
        <w:pStyle w:val="56"/>
        <w:bidi w:val="0"/>
      </w:pPr>
      <w:r>
        <w:rPr>
          <w:rFonts w:hint="eastAsia"/>
        </w:rPr>
        <w:t>本文件起草单位：四川省林业科学研究院、四川省农业科学院农产品加工研究所、攀枝花市农林科学院、汉源县农业农村局、攀枝花市农业农村局、盐边县农业农村局、米易县农业农村局、</w:t>
      </w:r>
      <w:r>
        <w:t>西区农业农村和交通运输局、仁和区农业农村局、攀枝花市众甫农业科技有限公司。</w:t>
      </w:r>
    </w:p>
    <w:p w14:paraId="35E6E77F">
      <w:pPr>
        <w:pStyle w:val="56"/>
        <w:bidi w:val="0"/>
      </w:pPr>
      <w:r>
        <w:rPr>
          <w:rFonts w:hint="eastAsia"/>
        </w:rPr>
        <w:t>本文件主要起草人：陈善波、赵驰、刘诚诚、胡文、王莎、李治华、王丽华、黄朝举、刁祥芬、沈杰、张成浩、蒋祺</w:t>
      </w:r>
      <w:r>
        <w:t>、余凌帆、曹洋、宋小军、陈华、杨志武、罗慧、刘彦兵、金银春、骆健、刘均利</w:t>
      </w:r>
      <w:r>
        <w:rPr>
          <w:rFonts w:hint="eastAsia"/>
        </w:rPr>
        <w:t>、刘海鹰、</w:t>
      </w:r>
      <w:r>
        <w:t>刘茂、陈刘、黄洋、张春燕、杨柳璐、何春霞、叶敏、卓士鸿</w:t>
      </w:r>
      <w:r>
        <w:rPr>
          <w:rFonts w:hint="eastAsia"/>
        </w:rPr>
        <w:t>。</w:t>
      </w:r>
    </w:p>
    <w:p w14:paraId="3C6AB0F3">
      <w:pPr>
        <w:pStyle w:val="56"/>
        <w:bidi w:val="0"/>
        <w:rPr>
          <w:rFonts w:hint="eastAsia"/>
        </w:rPr>
      </w:pPr>
      <w:r>
        <w:rPr>
          <w:rFonts w:hint="eastAsia"/>
        </w:rPr>
        <w:t>本文件首次制定发布。</w:t>
      </w:r>
    </w:p>
    <w:p w14:paraId="04655573">
      <w:pPr>
        <w:pStyle w:val="56"/>
        <w:bidi w:val="0"/>
        <w:rPr>
          <w:rFonts w:hint="eastAsia"/>
          <w:lang w:eastAsia="zh-CN"/>
        </w:rPr>
      </w:pPr>
    </w:p>
    <w:p w14:paraId="6BAF26E6">
      <w:pPr>
        <w:pStyle w:val="56"/>
        <w:bidi w:val="0"/>
        <w:rPr>
          <w:rFonts w:hint="eastAsia"/>
          <w:lang w:eastAsia="zh-CN"/>
        </w:rPr>
        <w:sectPr>
          <w:pgSz w:w="11906" w:h="16838"/>
          <w:pgMar w:top="1928" w:right="1134" w:bottom="1134" w:left="1134" w:header="1418" w:footer="1134" w:gutter="284"/>
          <w:pgNumType w:fmt="upperRoman"/>
          <w:cols w:space="425" w:num="1"/>
          <w:formProt w:val="0"/>
          <w:docGrid w:type="lines" w:linePitch="312" w:charSpace="0"/>
        </w:sectPr>
      </w:pPr>
    </w:p>
    <w:bookmarkEnd w:id="23"/>
    <w:p w14:paraId="38919220">
      <w:pPr>
        <w:spacing w:line="20" w:lineRule="exact"/>
        <w:jc w:val="center"/>
        <w:rPr>
          <w:rFonts w:hint="eastAsia" w:ascii="黑体" w:hAnsi="黑体" w:eastAsia="黑体"/>
          <w:sz w:val="32"/>
          <w:szCs w:val="32"/>
        </w:rPr>
      </w:pPr>
      <w:bookmarkStart w:id="24" w:name="BookMark4"/>
    </w:p>
    <w:p w14:paraId="3B4ABB77">
      <w:pPr>
        <w:spacing w:line="20" w:lineRule="exact"/>
        <w:jc w:val="center"/>
        <w:rPr>
          <w:rFonts w:hint="eastAsia" w:ascii="黑体" w:hAnsi="黑体" w:eastAsia="黑体"/>
          <w:sz w:val="32"/>
          <w:szCs w:val="32"/>
        </w:rPr>
      </w:pPr>
    </w:p>
    <w:sdt>
      <w:sdtPr>
        <w:tag w:val="NEW_STAND_NAME"/>
        <w:id w:val="595910757"/>
        <w:lock w:val="sdtLocked"/>
        <w:placeholder>
          <w:docPart w:val="44A38090058141E5BCF867FEE79180DC"/>
        </w:placeholder>
      </w:sdtPr>
      <w:sdtContent>
        <w:p w14:paraId="3D0690CF">
          <w:pPr>
            <w:pStyle w:val="177"/>
            <w:bidi w:val="0"/>
            <w:spacing w:before="313" w:beforeLines="100" w:after="687" w:afterLines="220"/>
            <w:rPr>
              <w:rFonts w:hint="eastAsia"/>
            </w:rPr>
          </w:pPr>
          <w:bookmarkStart w:id="25" w:name="NEW_STAND_NAME"/>
          <w:r>
            <w:rPr>
              <w:rFonts w:hint="eastAsia"/>
              <w:lang w:eastAsia="zh-CN"/>
            </w:rPr>
            <w:t>青花椒低产林管理技术规程</w:t>
          </w:r>
        </w:p>
      </w:sdtContent>
    </w:sdt>
    <w:bookmarkEnd w:id="25"/>
    <w:p w14:paraId="3FEE211A">
      <w:pPr>
        <w:pStyle w:val="104"/>
        <w:spacing w:before="312" w:after="312"/>
      </w:pPr>
      <w:bookmarkStart w:id="26" w:name="_Toc26986771"/>
      <w:bookmarkStart w:id="27" w:name="_Toc17233325"/>
      <w:bookmarkStart w:id="28" w:name="_Toc26718930"/>
      <w:bookmarkStart w:id="29" w:name="_Toc17233333"/>
      <w:bookmarkStart w:id="30" w:name="_Toc24884218"/>
      <w:bookmarkStart w:id="31" w:name="_Toc24884211"/>
      <w:bookmarkStart w:id="32" w:name="_Toc26986530"/>
      <w:bookmarkStart w:id="33" w:name="_Toc11955"/>
      <w:bookmarkStart w:id="34" w:name="_Toc30305"/>
      <w:bookmarkStart w:id="35" w:name="_Toc97191423"/>
      <w:bookmarkStart w:id="36" w:name="_Toc26648465"/>
      <w:r>
        <w:rPr>
          <w:rFonts w:hint="eastAsia"/>
        </w:rPr>
        <w:t>范围</w:t>
      </w:r>
      <w:bookmarkEnd w:id="26"/>
      <w:bookmarkEnd w:id="27"/>
      <w:bookmarkEnd w:id="28"/>
      <w:bookmarkEnd w:id="29"/>
      <w:bookmarkEnd w:id="30"/>
      <w:bookmarkEnd w:id="31"/>
      <w:bookmarkEnd w:id="32"/>
      <w:bookmarkEnd w:id="33"/>
      <w:bookmarkEnd w:id="34"/>
      <w:bookmarkEnd w:id="35"/>
      <w:bookmarkEnd w:id="36"/>
    </w:p>
    <w:p w14:paraId="17775D15">
      <w:pPr>
        <w:pStyle w:val="230"/>
        <w:rPr>
          <w:rFonts w:ascii="Times New Roman" w:eastAsia="Times New Roman"/>
        </w:rPr>
      </w:pPr>
      <w:r>
        <w:rPr>
          <w:rFonts w:ascii="Times New Roman" w:eastAsia="Times New Roman"/>
        </w:rPr>
        <w:t>本文件规定了攀枝花青花椒低产林的术语和定义、花前调节及病虫害防控、保花保果及病虫害防控、土肥水管理、整形修剪、控梢及病虫害综合防治等技术的要求。</w:t>
      </w:r>
    </w:p>
    <w:p w14:paraId="2D78BC5C">
      <w:pPr>
        <w:pStyle w:val="56"/>
        <w:rPr>
          <w:rFonts w:hint="eastAsia" w:eastAsia="宋体"/>
          <w:lang w:eastAsia="zh-CN"/>
        </w:rPr>
      </w:pPr>
      <w:r>
        <w:rPr>
          <w:rFonts w:ascii="Times New Roman" w:eastAsia="Times New Roman"/>
        </w:rPr>
        <w:t>本文件适用于攀枝花青花椒生产管理。</w:t>
      </w:r>
      <w:bookmarkStart w:id="37" w:name="_Toc26648466"/>
      <w:bookmarkStart w:id="38" w:name="_Toc17233334"/>
      <w:bookmarkStart w:id="39" w:name="_Toc24884212"/>
      <w:bookmarkStart w:id="40" w:name="_Toc17233326"/>
      <w:bookmarkStart w:id="41" w:name="_Toc24884219"/>
    </w:p>
    <w:p w14:paraId="0BDEEE11">
      <w:pPr>
        <w:pStyle w:val="104"/>
        <w:spacing w:before="312" w:after="312"/>
      </w:pPr>
      <w:bookmarkStart w:id="42" w:name="_Toc23728"/>
      <w:bookmarkStart w:id="43" w:name="_Toc26986772"/>
      <w:bookmarkStart w:id="44" w:name="_Toc26986531"/>
      <w:bookmarkStart w:id="45" w:name="_Toc8927"/>
      <w:bookmarkStart w:id="46" w:name="_Toc26718931"/>
      <w:bookmarkStart w:id="47" w:name="_Toc97191424"/>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83ACEA082902419DAEC754314F0D250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25FB116">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29F1AF8">
      <w:pPr>
        <w:pStyle w:val="230"/>
        <w:rPr>
          <w:rFonts w:hint="eastAsia" w:ascii="宋体" w:hAnsi="宋体" w:eastAsia="宋体" w:cs="宋体"/>
        </w:rPr>
      </w:pPr>
      <w:r>
        <w:rPr>
          <w:rFonts w:hint="eastAsia" w:ascii="宋体" w:hAnsi="宋体" w:eastAsia="宋体" w:cs="宋体"/>
        </w:rPr>
        <w:t>GB 5084 农田灌溉水质标准</w:t>
      </w:r>
    </w:p>
    <w:p w14:paraId="6377DD99">
      <w:pPr>
        <w:pStyle w:val="230"/>
        <w:rPr>
          <w:rFonts w:hint="eastAsia" w:ascii="宋体" w:hAnsi="宋体" w:eastAsia="宋体" w:cs="宋体"/>
        </w:rPr>
      </w:pPr>
      <w:r>
        <w:rPr>
          <w:rFonts w:hint="eastAsia" w:ascii="宋体" w:hAnsi="宋体" w:eastAsia="宋体" w:cs="宋体"/>
        </w:rPr>
        <w:t>GB/T 8321.10 农药合理使用准则（十）</w:t>
      </w:r>
    </w:p>
    <w:p w14:paraId="18A99A9F">
      <w:pPr>
        <w:pStyle w:val="230"/>
        <w:rPr>
          <w:rFonts w:hint="eastAsia" w:ascii="宋体" w:hAnsi="宋体" w:eastAsia="宋体" w:cs="宋体"/>
        </w:rPr>
      </w:pPr>
      <w:r>
        <w:rPr>
          <w:rFonts w:hint="eastAsia" w:ascii="宋体" w:hAnsi="宋体" w:eastAsia="宋体" w:cs="宋体"/>
        </w:rPr>
        <w:t>GB/T 15063 复合肥料</w:t>
      </w:r>
    </w:p>
    <w:p w14:paraId="0234C922">
      <w:pPr>
        <w:pStyle w:val="230"/>
        <w:rPr>
          <w:rFonts w:hint="eastAsia" w:ascii="宋体" w:hAnsi="宋体" w:eastAsia="宋体" w:cs="宋体"/>
        </w:rPr>
      </w:pPr>
      <w:r>
        <w:rPr>
          <w:rFonts w:hint="eastAsia" w:ascii="宋体" w:hAnsi="宋体" w:eastAsia="宋体" w:cs="宋体"/>
        </w:rPr>
        <w:t>NY/T 496 肥料合理使用准则 通则</w:t>
      </w:r>
    </w:p>
    <w:p w14:paraId="2F45D647">
      <w:pPr>
        <w:pStyle w:val="230"/>
        <w:rPr>
          <w:rFonts w:hint="eastAsia" w:ascii="宋体" w:hAnsi="宋体" w:eastAsia="宋体" w:cs="宋体"/>
          <w:lang w:eastAsia="zh-CN"/>
        </w:rPr>
      </w:pPr>
      <w:r>
        <w:rPr>
          <w:rFonts w:hint="eastAsia" w:ascii="宋体" w:hAnsi="宋体" w:eastAsia="宋体" w:cs="宋体"/>
        </w:rPr>
        <w:t>NY/T 1868 肥料合理使用准则 有机肥料</w:t>
      </w:r>
    </w:p>
    <w:p w14:paraId="5FE83CAA">
      <w:pPr>
        <w:pStyle w:val="104"/>
        <w:spacing w:before="312" w:after="312"/>
      </w:pPr>
      <w:bookmarkStart w:id="48" w:name="_Toc32435"/>
      <w:bookmarkStart w:id="49" w:name="_Toc97191425"/>
      <w:bookmarkStart w:id="50" w:name="_Toc21805"/>
      <w:r>
        <w:rPr>
          <w:rFonts w:hint="eastAsia"/>
          <w:szCs w:val="21"/>
        </w:rPr>
        <w:t>术语和定义</w:t>
      </w:r>
      <w:bookmarkEnd w:id="48"/>
      <w:bookmarkEnd w:id="49"/>
      <w:bookmarkEnd w:id="50"/>
    </w:p>
    <w:sdt>
      <w:sdtPr>
        <w:id w:val="-1909835108"/>
        <w:placeholder>
          <w:docPart w:val="1300A4C75D794D6291D16A5282D6F457"/>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B6C3A7E">
          <w:pPr>
            <w:pStyle w:val="56"/>
            <w:ind w:firstLine="420"/>
          </w:pPr>
          <w:bookmarkStart w:id="51" w:name="_Toc26986532"/>
          <w:bookmarkEnd w:id="51"/>
          <w:r>
            <w:rPr>
              <w:rFonts w:ascii="Times New Roman" w:hAnsi="Times New Roman" w:eastAsia="宋体" w:cs="Times New Roman"/>
              <w:sz w:val="21"/>
              <w:lang w:val="en-US" w:eastAsia="zh-CN" w:bidi="ar-SA"/>
            </w:rPr>
            <w:t>下列术语和定义适用于本文件。</w:t>
          </w:r>
        </w:p>
      </w:sdtContent>
    </w:sdt>
    <w:p w14:paraId="320CF3D4">
      <w:pPr>
        <w:pStyle w:val="56"/>
        <w:ind w:firstLine="420"/>
      </w:pPr>
    </w:p>
    <w:p w14:paraId="5A35D587">
      <w:pPr>
        <w:pStyle w:val="223"/>
        <w:bidi w:val="0"/>
        <w:spacing w:after="0" w:afterLines="0"/>
        <w:ind w:left="420" w:hanging="420" w:hangingChars="200"/>
        <w:rPr>
          <w:rFonts w:hint="eastAsia" w:ascii="黑体" w:hAnsi="黑体" w:eastAsia="黑体" w:cs="黑体"/>
        </w:rPr>
      </w:pPr>
      <w:r>
        <w:rPr>
          <w:rFonts w:hint="eastAsia" w:ascii="黑体" w:hAnsi="黑体" w:eastAsia="黑体" w:cs="黑体"/>
        </w:rPr>
        <w:br w:type="textWrapping"/>
      </w:r>
      <w:r>
        <w:rPr>
          <w:rFonts w:hint="eastAsia" w:ascii="黑体" w:hAnsi="黑体" w:eastAsia="黑体" w:cs="黑体"/>
        </w:rPr>
        <w:t>低产林</w:t>
      </w:r>
    </w:p>
    <w:p w14:paraId="68275266">
      <w:pPr>
        <w:pStyle w:val="230"/>
        <w:rPr>
          <w:rFonts w:ascii="Times New Roman"/>
          <w:bCs/>
          <w:color w:val="000000"/>
          <w:szCs w:val="21"/>
        </w:rPr>
      </w:pPr>
      <w:r>
        <w:rPr>
          <w:rFonts w:ascii="Times New Roman"/>
          <w:bCs/>
          <w:color w:val="000000"/>
          <w:szCs w:val="21"/>
        </w:rPr>
        <w:t>由于管理不当等</w:t>
      </w:r>
      <w:r>
        <w:rPr>
          <w:rFonts w:hint="eastAsia" w:ascii="Times New Roman"/>
          <w:bCs/>
          <w:color w:val="000000"/>
          <w:szCs w:val="21"/>
        </w:rPr>
        <w:t>原因</w:t>
      </w:r>
      <w:r>
        <w:rPr>
          <w:rFonts w:ascii="Times New Roman"/>
          <w:bCs/>
          <w:color w:val="000000"/>
          <w:szCs w:val="21"/>
        </w:rPr>
        <w:t>，导致盛产期青花椒的干花椒产量</w:t>
      </w:r>
      <w:r>
        <w:rPr>
          <w:rFonts w:ascii="Times New Roman" w:hAnsi="宋体"/>
          <w:bCs/>
          <w:color w:val="000000"/>
          <w:szCs w:val="21"/>
        </w:rPr>
        <w:t>＜</w:t>
      </w:r>
      <w:r>
        <w:rPr>
          <w:rFonts w:ascii="Times New Roman"/>
          <w:bCs/>
          <w:color w:val="000000"/>
          <w:szCs w:val="21"/>
        </w:rPr>
        <w:t>30 kg/667 m</w:t>
      </w:r>
      <w:r>
        <w:rPr>
          <w:rFonts w:ascii="Times New Roman"/>
          <w:bCs/>
          <w:color w:val="000000"/>
          <w:szCs w:val="21"/>
          <w:vertAlign w:val="superscript"/>
        </w:rPr>
        <w:t>2</w:t>
      </w:r>
      <w:r>
        <w:rPr>
          <w:rFonts w:ascii="Times New Roman"/>
          <w:bCs/>
          <w:color w:val="000000"/>
          <w:szCs w:val="21"/>
        </w:rPr>
        <w:t>。</w:t>
      </w:r>
    </w:p>
    <w:p w14:paraId="63717FE1">
      <w:pPr>
        <w:pStyle w:val="223"/>
        <w:bidi w:val="0"/>
        <w:spacing w:after="0" w:afterLines="0"/>
        <w:ind w:left="420" w:hanging="420" w:hangingChars="200"/>
        <w:rPr>
          <w:rFonts w:hint="eastAsia" w:ascii="黑体" w:hAnsi="黑体" w:eastAsia="黑体" w:cs="黑体"/>
        </w:rPr>
      </w:pPr>
      <w:r>
        <w:rPr>
          <w:rFonts w:hint="eastAsia" w:ascii="黑体" w:hAnsi="黑体" w:eastAsia="黑体" w:cs="黑体"/>
        </w:rPr>
        <w:br w:type="textWrapping"/>
      </w:r>
      <w:r>
        <w:rPr>
          <w:rFonts w:hint="eastAsia" w:ascii="黑体" w:hAnsi="黑体" w:eastAsia="黑体" w:cs="黑体"/>
        </w:rPr>
        <w:t>以采代剪</w:t>
      </w:r>
    </w:p>
    <w:p w14:paraId="42D2D7E6">
      <w:pPr>
        <w:pStyle w:val="230"/>
        <w:rPr>
          <w:rFonts w:ascii="Times New Roman"/>
          <w:bCs/>
          <w:color w:val="000000"/>
          <w:szCs w:val="21"/>
        </w:rPr>
      </w:pPr>
      <w:r>
        <w:rPr>
          <w:rFonts w:ascii="Times New Roman"/>
          <w:szCs w:val="21"/>
        </w:rPr>
        <w:t>在青花椒</w:t>
      </w:r>
      <w:r>
        <w:rPr>
          <w:rFonts w:ascii="Times New Roman"/>
        </w:rPr>
        <w:t>果实商品成熟时，</w:t>
      </w:r>
      <w:r>
        <w:rPr>
          <w:rFonts w:ascii="Times New Roman"/>
          <w:szCs w:val="21"/>
        </w:rPr>
        <w:t>将整株树骨干侧枝上的一年生枝条进行重剪（下桩），基部保留1 cm～2 cm，将青花椒的修枝整形和果实采收同时进行</w:t>
      </w:r>
      <w:r>
        <w:rPr>
          <w:rFonts w:hint="eastAsia" w:ascii="Times New Roman"/>
          <w:szCs w:val="21"/>
        </w:rPr>
        <w:t>的一项采收技术</w:t>
      </w:r>
      <w:r>
        <w:rPr>
          <w:rFonts w:ascii="Times New Roman"/>
          <w:szCs w:val="21"/>
        </w:rPr>
        <w:t>。</w:t>
      </w:r>
    </w:p>
    <w:p w14:paraId="30A34701">
      <w:pPr>
        <w:pStyle w:val="223"/>
        <w:bidi w:val="0"/>
        <w:spacing w:after="0" w:afterLines="0"/>
        <w:ind w:left="420" w:hanging="420" w:hangingChars="200"/>
        <w:rPr>
          <w:rFonts w:hint="eastAsia" w:ascii="黑体" w:hAnsi="黑体" w:eastAsia="黑体" w:cs="黑体"/>
        </w:rPr>
      </w:pPr>
      <w:r>
        <w:rPr>
          <w:rFonts w:hint="eastAsia" w:ascii="黑体" w:hAnsi="黑体" w:eastAsia="黑体" w:cs="黑体"/>
        </w:rPr>
        <w:br w:type="textWrapping"/>
      </w:r>
      <w:r>
        <w:rPr>
          <w:rFonts w:hint="eastAsia" w:ascii="黑体" w:hAnsi="黑体" w:eastAsia="黑体" w:cs="黑体"/>
        </w:rPr>
        <w:t>侧枝轮换修剪</w:t>
      </w:r>
    </w:p>
    <w:p w14:paraId="68921FEF">
      <w:pPr>
        <w:pStyle w:val="230"/>
        <w:jc w:val="left"/>
        <w:rPr>
          <w:rFonts w:ascii="Times New Roman"/>
          <w:szCs w:val="21"/>
        </w:rPr>
      </w:pPr>
      <w:r>
        <w:rPr>
          <w:rFonts w:ascii="Times New Roman"/>
          <w:szCs w:val="21"/>
        </w:rPr>
        <w:t>在青花椒果实商品成熟时，根据树体结果状况，将侧枝上二年生及以上的枝条进行缩剪（回缩），保留一年生枝条作为第二年的结果枝，有计划地轮换更新。</w:t>
      </w:r>
    </w:p>
    <w:p w14:paraId="00614E95">
      <w:pPr>
        <w:pStyle w:val="104"/>
        <w:bidi w:val="0"/>
      </w:pPr>
      <w:bookmarkStart w:id="52" w:name="_Toc25836"/>
      <w:r>
        <w:t>花前调节及病虫害综合防控</w:t>
      </w:r>
      <w:bookmarkEnd w:id="52"/>
    </w:p>
    <w:p w14:paraId="067C89AA">
      <w:pPr>
        <w:pStyle w:val="56"/>
        <w:bidi w:val="0"/>
      </w:pPr>
      <w:r>
        <w:rPr>
          <w:rFonts w:hint="eastAsia"/>
        </w:rPr>
        <w:t>2</w:t>
      </w:r>
      <w:r>
        <w:t>月</w:t>
      </w:r>
      <w:r>
        <w:rPr>
          <w:rFonts w:hint="eastAsia"/>
        </w:rPr>
        <w:t>上</w:t>
      </w:r>
      <w:r>
        <w:t>旬～2月下旬，使用“植物生长调节剂+叶面肥+杀菌剂+杀虫剂或杀螨剂”在枝条中下部位喷施1次</w:t>
      </w:r>
      <w:r>
        <w:rPr>
          <w:rFonts w:hint="eastAsia"/>
        </w:rPr>
        <w:t>；</w:t>
      </w:r>
      <w:r>
        <w:t>若叶片脱落严重的椒园，间隔15</w:t>
      </w:r>
      <w:r>
        <w:rPr>
          <w:rFonts w:hint="eastAsia"/>
        </w:rPr>
        <w:t xml:space="preserve"> d</w:t>
      </w:r>
      <w:r>
        <w:t>～20</w:t>
      </w:r>
      <w:r>
        <w:rPr>
          <w:rFonts w:hint="eastAsia"/>
        </w:rPr>
        <w:t xml:space="preserve"> d</w:t>
      </w:r>
      <w:r>
        <w:t>，再喷施</w:t>
      </w:r>
      <w:r>
        <w:rPr>
          <w:rFonts w:hint="eastAsia"/>
        </w:rPr>
        <w:t>1次</w:t>
      </w:r>
      <w:r>
        <w:t>。</w:t>
      </w:r>
      <w:r>
        <w:rPr>
          <w:rFonts w:hint="eastAsia"/>
        </w:rPr>
        <w:t>农药使用应符合</w:t>
      </w:r>
      <w:bookmarkStart w:id="53" w:name="OLE_LINK1"/>
      <w:r>
        <w:t>GB/T 8321.1</w:t>
      </w:r>
      <w:r>
        <w:rPr>
          <w:rFonts w:hint="eastAsia"/>
        </w:rPr>
        <w:t>0</w:t>
      </w:r>
      <w:bookmarkEnd w:id="53"/>
      <w:r>
        <w:rPr>
          <w:rFonts w:hint="eastAsia"/>
        </w:rPr>
        <w:t>的规定。</w:t>
      </w:r>
    </w:p>
    <w:p w14:paraId="41668FE1">
      <w:pPr>
        <w:pStyle w:val="104"/>
        <w:bidi w:val="0"/>
      </w:pPr>
      <w:bookmarkStart w:id="54" w:name="_Toc6073"/>
      <w:r>
        <w:t>保花保果及病虫害综合防控</w:t>
      </w:r>
      <w:bookmarkEnd w:id="54"/>
    </w:p>
    <w:p w14:paraId="5B5FA6CA">
      <w:pPr>
        <w:pStyle w:val="105"/>
        <w:bidi w:val="0"/>
      </w:pPr>
      <w:r>
        <w:t>谢花后期</w:t>
      </w:r>
    </w:p>
    <w:p w14:paraId="73AD76E0">
      <w:pPr>
        <w:pStyle w:val="56"/>
        <w:bidi w:val="0"/>
        <w:rPr>
          <w:rFonts w:ascii="Times New Roman"/>
          <w:bCs/>
          <w:color w:val="000000"/>
          <w:szCs w:val="21"/>
        </w:rPr>
      </w:pPr>
      <w:r>
        <w:rPr>
          <w:rFonts w:ascii="Times New Roman"/>
          <w:bCs/>
          <w:color w:val="000000"/>
          <w:szCs w:val="21"/>
        </w:rPr>
        <w:t>开花结束后，使用“植物生长调节剂+叶面肥+杀菌剂+杀虫剂”喷施1次。海拔在1800 m以下</w:t>
      </w:r>
      <w:r>
        <w:rPr>
          <w:rFonts w:hint="eastAsia" w:ascii="Times New Roman"/>
          <w:bCs/>
          <w:color w:val="000000"/>
          <w:szCs w:val="21"/>
        </w:rPr>
        <w:t>区域</w:t>
      </w:r>
      <w:r>
        <w:rPr>
          <w:rFonts w:ascii="Times New Roman"/>
          <w:bCs/>
          <w:color w:val="000000"/>
          <w:szCs w:val="21"/>
        </w:rPr>
        <w:t>，3月底或4月上旬喷施；海拔在1800</w:t>
      </w:r>
      <w:r>
        <w:rPr>
          <w:rFonts w:hint="eastAsia" w:ascii="Times New Roman"/>
          <w:bCs/>
          <w:color w:val="000000"/>
          <w:szCs w:val="21"/>
        </w:rPr>
        <w:t xml:space="preserve"> </w:t>
      </w:r>
      <w:r>
        <w:rPr>
          <w:rFonts w:ascii="Times New Roman"/>
          <w:bCs/>
          <w:color w:val="000000"/>
          <w:szCs w:val="21"/>
        </w:rPr>
        <w:t>m以上的</w:t>
      </w:r>
      <w:r>
        <w:rPr>
          <w:rFonts w:hint="eastAsia" w:ascii="Times New Roman"/>
          <w:bCs/>
          <w:color w:val="000000"/>
          <w:szCs w:val="21"/>
        </w:rPr>
        <w:t>区域</w:t>
      </w:r>
      <w:r>
        <w:rPr>
          <w:rFonts w:hint="eastAsia" w:ascii="Times New Roman"/>
          <w:bCs/>
          <w:color w:val="FF0000"/>
          <w:szCs w:val="21"/>
        </w:rPr>
        <w:t xml:space="preserve"> </w:t>
      </w:r>
      <w:r>
        <w:rPr>
          <w:rFonts w:ascii="Times New Roman"/>
          <w:bCs/>
          <w:color w:val="000000"/>
          <w:szCs w:val="21"/>
        </w:rPr>
        <w:t>，4月上旬或中旬喷施。</w:t>
      </w:r>
      <w:r>
        <w:rPr>
          <w:rFonts w:hint="eastAsia" w:ascii="Times New Roman"/>
          <w:bCs/>
          <w:color w:val="000000"/>
          <w:szCs w:val="21"/>
        </w:rPr>
        <w:t>农药使用应符合</w:t>
      </w:r>
      <w:r>
        <w:rPr>
          <w:rFonts w:ascii="Times New Roman"/>
          <w:bCs/>
          <w:color w:val="000000"/>
          <w:szCs w:val="21"/>
        </w:rPr>
        <w:t>GB/T 8321.1</w:t>
      </w:r>
      <w:r>
        <w:rPr>
          <w:rFonts w:hint="eastAsia" w:ascii="Times New Roman"/>
          <w:bCs/>
          <w:color w:val="000000"/>
          <w:szCs w:val="21"/>
        </w:rPr>
        <w:t>0的规定。</w:t>
      </w:r>
      <w:r>
        <w:rPr>
          <w:rFonts w:ascii="Times New Roman"/>
          <w:bCs/>
          <w:color w:val="000000"/>
          <w:szCs w:val="21"/>
        </w:rPr>
        <w:t>另外结合黄色粘板。</w:t>
      </w:r>
    </w:p>
    <w:p w14:paraId="21E2FEC2">
      <w:pPr>
        <w:pStyle w:val="105"/>
        <w:bidi w:val="0"/>
      </w:pPr>
      <w:r>
        <w:t>生长期</w:t>
      </w:r>
    </w:p>
    <w:p w14:paraId="78E87FF1">
      <w:pPr>
        <w:pStyle w:val="56"/>
        <w:bidi w:val="0"/>
        <w:rPr>
          <w:rFonts w:ascii="Times New Roman"/>
          <w:bCs/>
          <w:color w:val="000000"/>
          <w:szCs w:val="21"/>
        </w:rPr>
      </w:pPr>
      <w:r>
        <w:rPr>
          <w:rFonts w:ascii="Times New Roman"/>
          <w:bCs/>
          <w:color w:val="000000"/>
          <w:szCs w:val="21"/>
        </w:rPr>
        <w:t>在果实发育期（膨大期、快速生长期），使用“叶面肥+杀菌剂+杀虫剂或杀螨剂”喷施2次。海拔在1800</w:t>
      </w:r>
      <w:r>
        <w:rPr>
          <w:rFonts w:hint="eastAsia" w:ascii="Times New Roman"/>
          <w:bCs/>
          <w:color w:val="000000"/>
          <w:szCs w:val="21"/>
        </w:rPr>
        <w:t xml:space="preserve"> </w:t>
      </w:r>
      <w:r>
        <w:rPr>
          <w:rFonts w:ascii="Times New Roman"/>
          <w:bCs/>
          <w:color w:val="000000"/>
          <w:szCs w:val="21"/>
        </w:rPr>
        <w:t>m以下的</w:t>
      </w:r>
      <w:r>
        <w:rPr>
          <w:rFonts w:hint="eastAsia" w:ascii="Times New Roman"/>
          <w:bCs/>
          <w:color w:val="000000"/>
          <w:szCs w:val="21"/>
        </w:rPr>
        <w:t>区域</w:t>
      </w:r>
      <w:r>
        <w:rPr>
          <w:rFonts w:hint="eastAsia" w:ascii="Times New Roman"/>
          <w:bCs/>
          <w:color w:val="FF0000"/>
          <w:szCs w:val="21"/>
        </w:rPr>
        <w:t xml:space="preserve"> </w:t>
      </w:r>
      <w:r>
        <w:rPr>
          <w:rFonts w:ascii="Times New Roman"/>
          <w:bCs/>
          <w:color w:val="000000"/>
          <w:szCs w:val="21"/>
        </w:rPr>
        <w:t>，分别在4月中旬、下旬和5月中旬、下旬喷施；海拔在1800</w:t>
      </w:r>
      <w:r>
        <w:rPr>
          <w:rFonts w:hint="eastAsia" w:ascii="Times New Roman"/>
          <w:bCs/>
          <w:color w:val="000000"/>
          <w:szCs w:val="21"/>
        </w:rPr>
        <w:t xml:space="preserve"> </w:t>
      </w:r>
      <w:r>
        <w:rPr>
          <w:rFonts w:ascii="Times New Roman"/>
          <w:bCs/>
          <w:color w:val="000000"/>
          <w:szCs w:val="21"/>
        </w:rPr>
        <w:t>m以上的</w:t>
      </w:r>
      <w:r>
        <w:rPr>
          <w:rFonts w:hint="eastAsia" w:ascii="Times New Roman"/>
          <w:bCs/>
          <w:color w:val="000000"/>
          <w:szCs w:val="21"/>
        </w:rPr>
        <w:t>区域</w:t>
      </w:r>
      <w:r>
        <w:rPr>
          <w:rFonts w:ascii="Times New Roman"/>
          <w:bCs/>
          <w:color w:val="000000"/>
          <w:szCs w:val="21"/>
        </w:rPr>
        <w:t>，分别在4月下旬或5月上旬喷施</w:t>
      </w:r>
      <w:r>
        <w:rPr>
          <w:rFonts w:hint="eastAsia" w:ascii="Times New Roman"/>
          <w:bCs/>
          <w:color w:val="000000"/>
          <w:szCs w:val="21"/>
        </w:rPr>
        <w:t>1次，间隔1月后再喷施1次</w:t>
      </w:r>
      <w:r>
        <w:rPr>
          <w:rFonts w:ascii="Times New Roman"/>
          <w:bCs/>
          <w:color w:val="000000"/>
          <w:szCs w:val="21"/>
        </w:rPr>
        <w:t>。</w:t>
      </w:r>
      <w:r>
        <w:rPr>
          <w:rFonts w:hint="eastAsia" w:ascii="Times New Roman"/>
          <w:bCs/>
          <w:color w:val="000000"/>
          <w:szCs w:val="21"/>
        </w:rPr>
        <w:t>农药使用应符合</w:t>
      </w:r>
      <w:r>
        <w:rPr>
          <w:rFonts w:ascii="Times New Roman"/>
          <w:bCs/>
          <w:color w:val="000000"/>
          <w:szCs w:val="21"/>
        </w:rPr>
        <w:t>GB/T 8321.1</w:t>
      </w:r>
      <w:r>
        <w:rPr>
          <w:rFonts w:hint="eastAsia" w:ascii="Times New Roman"/>
          <w:bCs/>
          <w:color w:val="000000"/>
          <w:szCs w:val="21"/>
        </w:rPr>
        <w:t>0的规定。</w:t>
      </w:r>
      <w:r>
        <w:rPr>
          <w:rFonts w:ascii="Times New Roman"/>
          <w:bCs/>
          <w:color w:val="000000"/>
          <w:szCs w:val="21"/>
        </w:rPr>
        <w:t>另外结合黄色粘板。</w:t>
      </w:r>
    </w:p>
    <w:p w14:paraId="2F1E0219">
      <w:pPr>
        <w:pStyle w:val="104"/>
        <w:bidi w:val="0"/>
      </w:pPr>
      <w:bookmarkStart w:id="55" w:name="_Toc12326"/>
      <w:r>
        <w:t>土肥水管理</w:t>
      </w:r>
      <w:bookmarkEnd w:id="55"/>
    </w:p>
    <w:p w14:paraId="068E2C8E">
      <w:pPr>
        <w:pStyle w:val="105"/>
        <w:bidi w:val="0"/>
      </w:pPr>
      <w:r>
        <w:t>土壤翻耕</w:t>
      </w:r>
    </w:p>
    <w:p w14:paraId="4679EEA8">
      <w:pPr>
        <w:pStyle w:val="56"/>
        <w:bidi w:val="0"/>
      </w:pPr>
      <w:r>
        <w:t>11月～12月，对于土层㳀、肥力差、瘠薄的椒园，进行扩穴深翻改良，土壤改良可结合施用基肥同时进行，将种植穴外的土壤进行深翻，深度30 cm～40 cm。</w:t>
      </w:r>
    </w:p>
    <w:p w14:paraId="6657A6D2">
      <w:pPr>
        <w:pStyle w:val="105"/>
        <w:bidi w:val="0"/>
      </w:pPr>
      <w:r>
        <w:t>中耕除草</w:t>
      </w:r>
    </w:p>
    <w:p w14:paraId="0963F0F6">
      <w:pPr>
        <w:pStyle w:val="56"/>
        <w:bidi w:val="0"/>
      </w:pPr>
      <w:r>
        <w:t>及时除草、松土，中耕深度5 cm～10 cm，每年除草</w:t>
      </w:r>
      <w:r>
        <w:rPr>
          <w:rFonts w:hint="eastAsia"/>
        </w:rPr>
        <w:t>3</w:t>
      </w:r>
      <w:r>
        <w:t>次～</w:t>
      </w:r>
      <w:r>
        <w:rPr>
          <w:rFonts w:hint="eastAsia"/>
        </w:rPr>
        <w:t>5</w:t>
      </w:r>
      <w:r>
        <w:t>次，保持土壤疏松、通透。在春季或秋季施肥、灌水后，采用树叶或刈割的草覆盖树盘，覆盖厚度5 cm～10 cm，覆盖物应距根颈10 cm～15 cm，覆盖物压少量细土。</w:t>
      </w:r>
    </w:p>
    <w:p w14:paraId="2A063F1A">
      <w:pPr>
        <w:pStyle w:val="105"/>
        <w:bidi w:val="0"/>
      </w:pPr>
      <w:r>
        <w:t>林下间作</w:t>
      </w:r>
    </w:p>
    <w:p w14:paraId="333B17DC">
      <w:pPr>
        <w:pStyle w:val="230"/>
        <w:rPr>
          <w:rFonts w:ascii="Times New Roman"/>
          <w:bCs/>
          <w:color w:val="000000"/>
          <w:szCs w:val="21"/>
        </w:rPr>
      </w:pPr>
      <w:r>
        <w:rPr>
          <w:rFonts w:ascii="Times New Roman"/>
          <w:szCs w:val="21"/>
        </w:rPr>
        <w:t>选择与青花椒无共同病虫害，浅根系、矮生的粮经作物、豆科牧草、中草药等</w:t>
      </w:r>
      <w:r>
        <w:rPr>
          <w:rFonts w:hint="eastAsia" w:ascii="Times New Roman"/>
          <w:szCs w:val="21"/>
        </w:rPr>
        <w:t>，如黑麦草、紫花苜蓿、豌豆、川续断等</w:t>
      </w:r>
      <w:r>
        <w:rPr>
          <w:rFonts w:ascii="Times New Roman"/>
          <w:szCs w:val="21"/>
        </w:rPr>
        <w:t>。生草高度30</w:t>
      </w:r>
      <w:r>
        <w:rPr>
          <w:rFonts w:hint="eastAsia" w:ascii="Times New Roman"/>
          <w:szCs w:val="21"/>
        </w:rPr>
        <w:t xml:space="preserve"> </w:t>
      </w:r>
      <w:r>
        <w:rPr>
          <w:rFonts w:ascii="Times New Roman"/>
          <w:szCs w:val="21"/>
        </w:rPr>
        <w:t>cm左右及时刈割。</w:t>
      </w:r>
    </w:p>
    <w:p w14:paraId="2E3D2A54">
      <w:pPr>
        <w:pStyle w:val="105"/>
        <w:bidi w:val="0"/>
        <w:rPr>
          <w:rFonts w:hint="eastAsia"/>
        </w:rPr>
      </w:pPr>
      <w:r>
        <w:t>施肥管理</w:t>
      </w:r>
    </w:p>
    <w:p w14:paraId="4B7BD160">
      <w:pPr>
        <w:pStyle w:val="65"/>
        <w:bidi w:val="0"/>
        <w:rPr>
          <w:rFonts w:hint="eastAsia"/>
        </w:rPr>
      </w:pPr>
      <w:r>
        <w:rPr>
          <w:rFonts w:hint="eastAsia"/>
        </w:rPr>
        <w:t>原则</w:t>
      </w:r>
    </w:p>
    <w:p w14:paraId="3161DA3D">
      <w:pPr>
        <w:pStyle w:val="56"/>
        <w:bidi w:val="0"/>
        <w:rPr>
          <w:rFonts w:hint="eastAsia"/>
        </w:rPr>
      </w:pPr>
      <w:r>
        <w:rPr>
          <w:rFonts w:hint="eastAsia"/>
        </w:rPr>
        <w:t>根据土壤肥力、树势、树体营养诊断结果确定肥料种类、施肥量。有机肥和复合肥使用应符合</w:t>
      </w:r>
      <w:r>
        <w:rPr>
          <w:rFonts w:hint="eastAsia"/>
          <w:lang w:val="en-US" w:eastAsia="zh-CN"/>
        </w:rPr>
        <w:t xml:space="preserve"> </w:t>
      </w:r>
      <w:r>
        <w:rPr>
          <w:rFonts w:hint="eastAsia"/>
        </w:rPr>
        <w:t>GB</w:t>
      </w:r>
      <w:r>
        <w:t>/</w:t>
      </w:r>
      <w:r>
        <w:rPr>
          <w:rFonts w:hint="eastAsia"/>
        </w:rPr>
        <w:t>T 15063、</w:t>
      </w:r>
      <w:r>
        <w:t>NY/T</w:t>
      </w:r>
      <w:r>
        <w:rPr>
          <w:rFonts w:hint="eastAsia"/>
        </w:rPr>
        <w:t xml:space="preserve"> </w:t>
      </w:r>
      <w:r>
        <w:t>496</w:t>
      </w:r>
      <w:r>
        <w:rPr>
          <w:rFonts w:hint="eastAsia"/>
          <w:lang w:val="en-US" w:eastAsia="zh-CN"/>
        </w:rPr>
        <w:t xml:space="preserve"> </w:t>
      </w:r>
      <w:r>
        <w:rPr>
          <w:rFonts w:hint="eastAsia"/>
        </w:rPr>
        <w:t>和</w:t>
      </w:r>
      <w:r>
        <w:rPr>
          <w:rFonts w:hint="eastAsia"/>
          <w:lang w:val="en-US" w:eastAsia="zh-CN"/>
        </w:rPr>
        <w:t xml:space="preserve"> </w:t>
      </w:r>
      <w:r>
        <w:rPr>
          <w:rFonts w:hint="eastAsia"/>
        </w:rPr>
        <w:t>NY</w:t>
      </w:r>
      <w:r>
        <w:t>/</w:t>
      </w:r>
      <w:r>
        <w:rPr>
          <w:rFonts w:hint="eastAsia"/>
        </w:rPr>
        <w:t>T 1868</w:t>
      </w:r>
      <w:r>
        <w:rPr>
          <w:rFonts w:hint="eastAsia"/>
          <w:lang w:val="en-US" w:eastAsia="zh-CN"/>
        </w:rPr>
        <w:t xml:space="preserve"> </w:t>
      </w:r>
      <w:r>
        <w:rPr>
          <w:rFonts w:hint="eastAsia"/>
        </w:rPr>
        <w:t>的规定。采用穴施或环状沟施，施后灌水覆土。</w:t>
      </w:r>
    </w:p>
    <w:p w14:paraId="10F5539F">
      <w:pPr>
        <w:pStyle w:val="65"/>
        <w:bidi w:val="0"/>
      </w:pPr>
      <w:r>
        <w:t>基肥</w:t>
      </w:r>
    </w:p>
    <w:p w14:paraId="7879BBF8">
      <w:pPr>
        <w:pStyle w:val="56"/>
        <w:bidi w:val="0"/>
      </w:pPr>
      <w:r>
        <w:t>11月～12月，结合树盘翻耕施用基肥</w:t>
      </w:r>
      <w:r>
        <w:rPr>
          <w:rFonts w:hint="eastAsia"/>
        </w:rPr>
        <w:t>，</w:t>
      </w:r>
      <w:r>
        <w:t>幼树施用有机肥</w:t>
      </w:r>
      <w:r>
        <w:rPr>
          <w:rFonts w:hint="eastAsia"/>
        </w:rPr>
        <w:t>0.5</w:t>
      </w:r>
      <w:r>
        <w:t xml:space="preserve"> kg/株～</w:t>
      </w:r>
      <w:r>
        <w:rPr>
          <w:rFonts w:hint="eastAsia"/>
        </w:rPr>
        <w:t>1</w:t>
      </w:r>
      <w:r>
        <w:t xml:space="preserve"> kg/株</w:t>
      </w:r>
      <w:r>
        <w:rPr>
          <w:rFonts w:hint="eastAsia"/>
        </w:rPr>
        <w:t>和</w:t>
      </w:r>
      <w:r>
        <w:t>复合肥</w:t>
      </w:r>
      <w:r>
        <w:rPr>
          <w:rFonts w:hint="eastAsia"/>
        </w:rPr>
        <w:t>0.1</w:t>
      </w:r>
      <w:r>
        <w:t xml:space="preserve"> kg/株～0.1</w:t>
      </w:r>
      <w:r>
        <w:rPr>
          <w:rFonts w:hint="eastAsia"/>
        </w:rPr>
        <w:t>5</w:t>
      </w:r>
      <w:r>
        <w:t xml:space="preserve"> kg/株；</w:t>
      </w:r>
      <w:r>
        <w:rPr>
          <w:rFonts w:hint="eastAsia"/>
        </w:rPr>
        <w:t>成年树</w:t>
      </w:r>
      <w:r>
        <w:t>施用有机肥</w:t>
      </w:r>
      <w:r>
        <w:rPr>
          <w:rFonts w:hint="eastAsia"/>
        </w:rPr>
        <w:t>1.5</w:t>
      </w:r>
      <w:r>
        <w:t xml:space="preserve"> kg/株～</w:t>
      </w:r>
      <w:r>
        <w:rPr>
          <w:rFonts w:hint="eastAsia"/>
        </w:rPr>
        <w:t>2</w:t>
      </w:r>
      <w:r>
        <w:t xml:space="preserve"> kg/株或</w:t>
      </w:r>
      <w:r>
        <w:rPr>
          <w:rFonts w:hint="eastAsia"/>
        </w:rPr>
        <w:t>和</w:t>
      </w:r>
      <w:r>
        <w:t>复合肥0.</w:t>
      </w:r>
      <w:r>
        <w:rPr>
          <w:rFonts w:hint="eastAsia"/>
        </w:rPr>
        <w:t>2</w:t>
      </w:r>
      <w:r>
        <w:t xml:space="preserve"> kg/株～0.3 kg/株。</w:t>
      </w:r>
    </w:p>
    <w:p w14:paraId="1C16A62E">
      <w:pPr>
        <w:pStyle w:val="65"/>
        <w:bidi w:val="0"/>
      </w:pPr>
      <w:r>
        <w:t>萌芽肥</w:t>
      </w:r>
    </w:p>
    <w:p w14:paraId="6310BC56">
      <w:pPr>
        <w:pStyle w:val="56"/>
        <w:bidi w:val="0"/>
      </w:pPr>
      <w:r>
        <w:rPr>
          <w:rFonts w:hint="eastAsia"/>
        </w:rPr>
        <w:t>1</w:t>
      </w:r>
      <w:r>
        <w:t>月</w:t>
      </w:r>
      <w:r>
        <w:rPr>
          <w:rFonts w:hint="eastAsia"/>
        </w:rPr>
        <w:t>下</w:t>
      </w:r>
      <w:r>
        <w:t>旬～</w:t>
      </w:r>
      <w:r>
        <w:rPr>
          <w:rFonts w:hint="eastAsia"/>
        </w:rPr>
        <w:t>2月中</w:t>
      </w:r>
      <w:r>
        <w:t>旬，结合</w:t>
      </w:r>
      <w:r>
        <w:rPr>
          <w:rFonts w:hint="eastAsia"/>
        </w:rPr>
        <w:t>灌水</w:t>
      </w:r>
      <w:r>
        <w:t>，施用高钾复合肥</w:t>
      </w:r>
      <w:r>
        <w:rPr>
          <w:rFonts w:hint="eastAsia"/>
        </w:rPr>
        <w:t>，</w:t>
      </w:r>
      <w:r>
        <w:t>幼树施用</w:t>
      </w:r>
      <w:r>
        <w:rPr>
          <w:rFonts w:hint="eastAsia"/>
        </w:rPr>
        <w:t>0.1</w:t>
      </w:r>
      <w:r>
        <w:t xml:space="preserve"> kg/株～0.1</w:t>
      </w:r>
      <w:r>
        <w:rPr>
          <w:rFonts w:hint="eastAsia"/>
        </w:rPr>
        <w:t>5</w:t>
      </w:r>
      <w:r>
        <w:t xml:space="preserve"> kg/株；</w:t>
      </w:r>
      <w:r>
        <w:rPr>
          <w:rFonts w:hint="eastAsia"/>
        </w:rPr>
        <w:t>成年树</w:t>
      </w:r>
      <w:r>
        <w:t>施用0.</w:t>
      </w:r>
      <w:r>
        <w:rPr>
          <w:rFonts w:hint="eastAsia"/>
        </w:rPr>
        <w:t>15</w:t>
      </w:r>
      <w:r>
        <w:t xml:space="preserve"> kg/株～0.</w:t>
      </w:r>
      <w:r>
        <w:rPr>
          <w:rFonts w:hint="eastAsia"/>
        </w:rPr>
        <w:t>2</w:t>
      </w:r>
      <w:r>
        <w:t xml:space="preserve"> kg/株。</w:t>
      </w:r>
    </w:p>
    <w:p w14:paraId="637FA020">
      <w:pPr>
        <w:pStyle w:val="65"/>
        <w:bidi w:val="0"/>
      </w:pPr>
      <w:r>
        <w:t xml:space="preserve"> 壮果肥</w:t>
      </w:r>
    </w:p>
    <w:p w14:paraId="0540D26D">
      <w:pPr>
        <w:pStyle w:val="230"/>
        <w:rPr>
          <w:rFonts w:ascii="Times New Roman"/>
        </w:rPr>
      </w:pPr>
      <w:r>
        <w:rPr>
          <w:rFonts w:ascii="Times New Roman"/>
        </w:rPr>
        <w:t>4月上旬～</w:t>
      </w:r>
      <w:r>
        <w:rPr>
          <w:rFonts w:hint="eastAsia" w:ascii="Times New Roman"/>
        </w:rPr>
        <w:t>5</w:t>
      </w:r>
      <w:r>
        <w:rPr>
          <w:rFonts w:ascii="Times New Roman"/>
        </w:rPr>
        <w:t>月下旬，结合灌水，施肥</w:t>
      </w:r>
      <w:r>
        <w:rPr>
          <w:rFonts w:hint="eastAsia" w:ascii="Times New Roman"/>
        </w:rPr>
        <w:t>1</w:t>
      </w:r>
      <w:r>
        <w:rPr>
          <w:rFonts w:ascii="Times New Roman"/>
        </w:rPr>
        <w:t>～</w:t>
      </w:r>
      <w:r>
        <w:rPr>
          <w:rFonts w:hint="eastAsia" w:ascii="Times New Roman"/>
        </w:rPr>
        <w:t>2</w:t>
      </w:r>
      <w:r>
        <w:rPr>
          <w:rFonts w:ascii="Times New Roman"/>
        </w:rPr>
        <w:t>次，以平衡复合肥为主，</w:t>
      </w:r>
      <w:r>
        <w:rPr>
          <w:rFonts w:ascii="Times New Roman"/>
          <w:szCs w:val="21"/>
        </w:rPr>
        <w:t>幼树施用</w:t>
      </w:r>
      <w:r>
        <w:rPr>
          <w:rFonts w:hint="eastAsia" w:ascii="Times New Roman"/>
          <w:szCs w:val="21"/>
        </w:rPr>
        <w:t>0.1</w:t>
      </w:r>
      <w:r>
        <w:rPr>
          <w:rFonts w:ascii="Times New Roman"/>
          <w:szCs w:val="21"/>
        </w:rPr>
        <w:t xml:space="preserve"> kg/株～0.1</w:t>
      </w:r>
      <w:r>
        <w:rPr>
          <w:rFonts w:hint="eastAsia" w:ascii="Times New Roman"/>
          <w:szCs w:val="21"/>
        </w:rPr>
        <w:t>5</w:t>
      </w:r>
      <w:r>
        <w:rPr>
          <w:rFonts w:ascii="Times New Roman"/>
          <w:szCs w:val="21"/>
        </w:rPr>
        <w:t xml:space="preserve"> kg/株；</w:t>
      </w:r>
      <w:r>
        <w:rPr>
          <w:rFonts w:hint="eastAsia" w:ascii="Times New Roman"/>
          <w:szCs w:val="21"/>
        </w:rPr>
        <w:t>成年树</w:t>
      </w:r>
      <w:r>
        <w:rPr>
          <w:rFonts w:ascii="Times New Roman"/>
          <w:szCs w:val="21"/>
        </w:rPr>
        <w:t>施用0.</w:t>
      </w:r>
      <w:r>
        <w:rPr>
          <w:rFonts w:hint="eastAsia" w:ascii="Times New Roman"/>
          <w:szCs w:val="21"/>
        </w:rPr>
        <w:t>2</w:t>
      </w:r>
      <w:r>
        <w:rPr>
          <w:rFonts w:ascii="Times New Roman"/>
          <w:szCs w:val="21"/>
        </w:rPr>
        <w:t xml:space="preserve"> kg/株～0.</w:t>
      </w:r>
      <w:r>
        <w:rPr>
          <w:rFonts w:hint="eastAsia" w:ascii="Times New Roman"/>
          <w:szCs w:val="21"/>
        </w:rPr>
        <w:t>3</w:t>
      </w:r>
      <w:r>
        <w:rPr>
          <w:rFonts w:ascii="Times New Roman"/>
          <w:szCs w:val="21"/>
        </w:rPr>
        <w:t xml:space="preserve"> kg/株。</w:t>
      </w:r>
    </w:p>
    <w:p w14:paraId="15A00D9A">
      <w:pPr>
        <w:pStyle w:val="65"/>
        <w:bidi w:val="0"/>
      </w:pPr>
      <w:r>
        <w:t>采果肥</w:t>
      </w:r>
    </w:p>
    <w:p w14:paraId="268AA574">
      <w:pPr>
        <w:pStyle w:val="230"/>
        <w:rPr>
          <w:rFonts w:ascii="Times New Roman"/>
        </w:rPr>
      </w:pPr>
      <w:r>
        <w:rPr>
          <w:rFonts w:ascii="Times New Roman"/>
        </w:rPr>
        <w:t>6月</w:t>
      </w:r>
      <w:r>
        <w:rPr>
          <w:rFonts w:hint="eastAsia" w:ascii="Times New Roman"/>
        </w:rPr>
        <w:t>中</w:t>
      </w:r>
      <w:r>
        <w:rPr>
          <w:rFonts w:ascii="Times New Roman"/>
        </w:rPr>
        <w:t>旬～7月上旬，结合除草，施用</w:t>
      </w:r>
      <w:r>
        <w:rPr>
          <w:rFonts w:ascii="Times New Roman"/>
          <w:szCs w:val="21"/>
        </w:rPr>
        <w:t>高氮复合肥，幼树施用</w:t>
      </w:r>
      <w:r>
        <w:rPr>
          <w:rFonts w:hint="eastAsia" w:ascii="Times New Roman"/>
          <w:szCs w:val="21"/>
        </w:rPr>
        <w:t>0.1</w:t>
      </w:r>
      <w:r>
        <w:rPr>
          <w:rFonts w:ascii="Times New Roman"/>
          <w:szCs w:val="21"/>
        </w:rPr>
        <w:t xml:space="preserve"> kg/株～0.1</w:t>
      </w:r>
      <w:r>
        <w:rPr>
          <w:rFonts w:hint="eastAsia" w:ascii="Times New Roman"/>
          <w:szCs w:val="21"/>
        </w:rPr>
        <w:t>5</w:t>
      </w:r>
      <w:r>
        <w:rPr>
          <w:rFonts w:ascii="Times New Roman"/>
          <w:szCs w:val="21"/>
        </w:rPr>
        <w:t xml:space="preserve"> kg/株；</w:t>
      </w:r>
      <w:r>
        <w:rPr>
          <w:rFonts w:hint="eastAsia" w:ascii="Times New Roman"/>
          <w:szCs w:val="21"/>
        </w:rPr>
        <w:t>成年树</w:t>
      </w:r>
      <w:r>
        <w:rPr>
          <w:rFonts w:ascii="Times New Roman"/>
          <w:szCs w:val="21"/>
        </w:rPr>
        <w:t>施用0.</w:t>
      </w:r>
      <w:r>
        <w:rPr>
          <w:rFonts w:hint="eastAsia" w:ascii="Times New Roman"/>
          <w:szCs w:val="21"/>
        </w:rPr>
        <w:t>2</w:t>
      </w:r>
      <w:r>
        <w:rPr>
          <w:rFonts w:ascii="Times New Roman"/>
          <w:szCs w:val="21"/>
        </w:rPr>
        <w:t xml:space="preserve"> kg/株～0.</w:t>
      </w:r>
      <w:r>
        <w:rPr>
          <w:rFonts w:hint="eastAsia" w:ascii="Times New Roman"/>
          <w:szCs w:val="21"/>
        </w:rPr>
        <w:t>3</w:t>
      </w:r>
      <w:r>
        <w:rPr>
          <w:rFonts w:ascii="Times New Roman"/>
          <w:szCs w:val="21"/>
        </w:rPr>
        <w:t xml:space="preserve"> kg/株。</w:t>
      </w:r>
    </w:p>
    <w:p w14:paraId="67403F25">
      <w:pPr>
        <w:pStyle w:val="105"/>
        <w:bidi w:val="0"/>
      </w:pPr>
      <w:bookmarkStart w:id="56" w:name="_Toc168404372"/>
      <w:r>
        <w:t>水分管理</w:t>
      </w:r>
      <w:bookmarkEnd w:id="56"/>
    </w:p>
    <w:p w14:paraId="59BE8BCA">
      <w:pPr>
        <w:pStyle w:val="56"/>
        <w:bidi w:val="0"/>
      </w:pPr>
      <w:r>
        <w:t>2月～5月，根据土壤干旱情况，灌水3次～5次，灌水宜在清晨或傍晚进行，可结合施肥进行</w:t>
      </w:r>
      <w:r>
        <w:rPr>
          <w:rFonts w:hint="eastAsia"/>
        </w:rPr>
        <w:t>。</w:t>
      </w:r>
      <w:r>
        <w:t>水质应符合GB 5084要求。雨季加强排水。</w:t>
      </w:r>
    </w:p>
    <w:p w14:paraId="2DB510F0">
      <w:pPr>
        <w:pStyle w:val="104"/>
        <w:bidi w:val="0"/>
      </w:pPr>
      <w:bookmarkStart w:id="57" w:name="_Toc168404373"/>
      <w:bookmarkStart w:id="58" w:name="_Toc3983"/>
      <w:r>
        <w:t>整形修剪</w:t>
      </w:r>
      <w:bookmarkEnd w:id="57"/>
      <w:bookmarkEnd w:id="58"/>
    </w:p>
    <w:p w14:paraId="7E42C65A">
      <w:pPr>
        <w:pStyle w:val="105"/>
        <w:bidi w:val="0"/>
      </w:pPr>
      <w:r>
        <w:t>树形培养</w:t>
      </w:r>
    </w:p>
    <w:p w14:paraId="39590D83">
      <w:pPr>
        <w:pStyle w:val="65"/>
        <w:bidi w:val="0"/>
      </w:pPr>
      <w:r>
        <w:t>开心形</w:t>
      </w:r>
    </w:p>
    <w:p w14:paraId="4AC22E94">
      <w:pPr>
        <w:pStyle w:val="56"/>
        <w:bidi w:val="0"/>
      </w:pPr>
      <w:r>
        <w:t>主干40 cm～60 cm，主枝3个～4个，在不同方向均匀分布，开张角度30°～40°，树高</w:t>
      </w:r>
      <w:r>
        <w:rPr>
          <w:rFonts w:hint="eastAsia"/>
        </w:rPr>
        <w:t>2</w:t>
      </w:r>
      <w:r>
        <w:t xml:space="preserve"> m～</w:t>
      </w:r>
      <w:r>
        <w:rPr>
          <w:rFonts w:hint="eastAsia"/>
        </w:rPr>
        <w:t>3</w:t>
      </w:r>
      <w:r>
        <w:t xml:space="preserve"> m。主枝长20 cm～35 cm，将主枝两侧培养侧枝2个～3个，侧枝长10 cm～20 cm，相互交错排列。</w:t>
      </w:r>
    </w:p>
    <w:p w14:paraId="6AC062E9">
      <w:pPr>
        <w:pStyle w:val="65"/>
        <w:bidi w:val="0"/>
      </w:pPr>
      <w:r>
        <w:t>丛枝形</w:t>
      </w:r>
    </w:p>
    <w:p w14:paraId="35BD83BB">
      <w:pPr>
        <w:pStyle w:val="56"/>
        <w:bidi w:val="0"/>
      </w:pPr>
      <w:r>
        <w:t>定植后截干，从根部萌发出3根～5根不同方向、位置布局均匀合理的枝条。</w:t>
      </w:r>
    </w:p>
    <w:p w14:paraId="324755BF">
      <w:pPr>
        <w:pStyle w:val="105"/>
        <w:bidi w:val="0"/>
      </w:pPr>
      <w:r>
        <w:t>幼树整形修剪</w:t>
      </w:r>
    </w:p>
    <w:p w14:paraId="493034B1">
      <w:pPr>
        <w:pStyle w:val="56"/>
        <w:bidi w:val="0"/>
      </w:pPr>
      <w:r>
        <w:t>第1年定干</w:t>
      </w:r>
      <w:r>
        <w:rPr>
          <w:rFonts w:hint="eastAsia"/>
        </w:rPr>
        <w:t>、</w:t>
      </w:r>
      <w:r>
        <w:t>培养主枝和侧枝。选定3个～5个主枝，及时抹除其他新梢，主枝长20 cm～35 cm，每个主枝上选留2个～3个侧枝，侧枝长10 cm～20 cm。侧枝选在斜平侧或斜上侧，侧枝与主枝的水平夹角在50°左右，在侧枝顶端培养结果枝组。第2</w:t>
      </w:r>
      <w:r>
        <w:rPr>
          <w:rFonts w:hint="eastAsia"/>
        </w:rPr>
        <w:t>年</w:t>
      </w:r>
      <w:r>
        <w:t>～3年以缓放和拉枝开角为主。疏除直立枝、重叠枝和徒长枝，及时调整各级骨干枝生长势和开张角度，利用侧枝、辅养枝培养成结果枝组。</w:t>
      </w:r>
    </w:p>
    <w:p w14:paraId="0FA6E760">
      <w:pPr>
        <w:pStyle w:val="105"/>
        <w:bidi w:val="0"/>
      </w:pPr>
      <w:r>
        <w:t>成年树整形修剪</w:t>
      </w:r>
    </w:p>
    <w:p w14:paraId="544B52C1">
      <w:pPr>
        <w:pStyle w:val="56"/>
        <w:bidi w:val="0"/>
      </w:pPr>
      <w:r>
        <w:t>根据不同海拔、栽培区域，结合果实采收方式，选择以采代剪或侧枝轮换修剪。采用以采代剪的树形，分两次进行疏剪，第一次在4月～6月，对生长10 cm以上的新梢不定期剪除；第二次在8月底～10月上旬，根据新梢生长势</w:t>
      </w:r>
      <w:r>
        <w:rPr>
          <w:rFonts w:hint="eastAsia"/>
        </w:rPr>
        <w:t>和生长位置</w:t>
      </w:r>
      <w:r>
        <w:t>进行疏枝，对内堂枝、纤弱枝、下垂枝、交叉枝、密生枝等全部剪除，保留健壮枝组。2年～3年生的树保留结果枝30枝～40枝；5年生以上的树保留结果枝60枝～80枝，</w:t>
      </w:r>
      <w:r>
        <w:rPr>
          <w:rFonts w:hint="eastAsia"/>
        </w:rPr>
        <w:t>保留</w:t>
      </w:r>
      <w:r>
        <w:t>枝条基部直径在0.8 cm～1.5</w:t>
      </w:r>
      <w:r>
        <w:rPr>
          <w:rFonts w:hint="eastAsia"/>
        </w:rPr>
        <w:t xml:space="preserve"> </w:t>
      </w:r>
      <w:r>
        <w:t>cm，每个侧枝保留3个～4个结果枝组，每个结果枝组，保留3枝～5枝。采用侧枝轮换修剪的树形，疏剪与回缩结合，不断调整结果枝组。</w:t>
      </w:r>
    </w:p>
    <w:p w14:paraId="1A2EAEB1">
      <w:pPr>
        <w:pStyle w:val="105"/>
        <w:bidi w:val="0"/>
      </w:pPr>
      <w:r>
        <w:t>衰老树整形修剪</w:t>
      </w:r>
    </w:p>
    <w:p w14:paraId="69F5F0D5">
      <w:pPr>
        <w:pStyle w:val="56"/>
        <w:bidi w:val="0"/>
      </w:pPr>
      <w:r>
        <w:t>对主枝、侧枝进行短截，萌发新的枝条，重新培养侧枝和结果枝组。</w:t>
      </w:r>
    </w:p>
    <w:p w14:paraId="4B80CBFA">
      <w:pPr>
        <w:pStyle w:val="105"/>
        <w:bidi w:val="0"/>
      </w:pPr>
      <w:r>
        <w:t>压枝管理</w:t>
      </w:r>
    </w:p>
    <w:p w14:paraId="70E7F63A">
      <w:pPr>
        <w:pStyle w:val="56"/>
        <w:bidi w:val="0"/>
      </w:pPr>
      <w:r>
        <w:t>10月中旬～11月上旬，</w:t>
      </w:r>
      <w:r>
        <w:rPr>
          <w:rFonts w:hint="eastAsia"/>
        </w:rPr>
        <w:t>采用</w:t>
      </w:r>
      <w:r>
        <w:t>以采代剪的树形，用竹竿或棍棒对一年生枝条及结果枝组进行压枝。枝条应朝树干四周往外压枝，形成开心形，角度在70°～80°。</w:t>
      </w:r>
    </w:p>
    <w:p w14:paraId="5439C861">
      <w:pPr>
        <w:pStyle w:val="105"/>
        <w:bidi w:val="0"/>
      </w:pPr>
      <w:r>
        <w:t>摘心</w:t>
      </w:r>
    </w:p>
    <w:p w14:paraId="5E5D766C">
      <w:pPr>
        <w:pStyle w:val="56"/>
        <w:bidi w:val="0"/>
      </w:pPr>
      <w:r>
        <w:t>12月中下旬至次年</w:t>
      </w:r>
      <w:r>
        <w:rPr>
          <w:rFonts w:hint="eastAsia"/>
        </w:rPr>
        <w:t>1月上旬</w:t>
      </w:r>
      <w:r>
        <w:t>，</w:t>
      </w:r>
      <w:r>
        <w:rPr>
          <w:rFonts w:hint="eastAsia"/>
        </w:rPr>
        <w:t>采用</w:t>
      </w:r>
      <w:r>
        <w:t>以采代剪的树形，根据一年生枝条的花芽分化情况进行摘心。</w:t>
      </w:r>
    </w:p>
    <w:p w14:paraId="427D677E">
      <w:pPr>
        <w:pStyle w:val="104"/>
        <w:bidi w:val="0"/>
        <w:rPr>
          <w:rFonts w:hint="eastAsia"/>
        </w:rPr>
      </w:pPr>
      <w:bookmarkStart w:id="59" w:name="_Toc1458"/>
      <w:r>
        <w:t>控销及病虫害综合防控</w:t>
      </w:r>
      <w:bookmarkEnd w:id="59"/>
    </w:p>
    <w:p w14:paraId="0F244459">
      <w:pPr>
        <w:pStyle w:val="105"/>
        <w:bidi w:val="0"/>
        <w:rPr>
          <w:rFonts w:hint="eastAsia"/>
        </w:rPr>
      </w:pPr>
      <w:r>
        <w:rPr>
          <w:rFonts w:hint="eastAsia"/>
        </w:rPr>
        <w:t>原则</w:t>
      </w:r>
    </w:p>
    <w:p w14:paraId="390ABAF2">
      <w:pPr>
        <w:pStyle w:val="56"/>
        <w:bidi w:val="0"/>
      </w:pPr>
      <w:r>
        <w:rPr>
          <w:rFonts w:hint="eastAsia"/>
        </w:rPr>
        <w:t>坚持预防为主、防治为辅，综合防控的原则。选用生物农药和高效、低毒、低残留化学农药相结合，农药使用应符合</w:t>
      </w:r>
      <w:r>
        <w:t>GB/T 8321.1</w:t>
      </w:r>
      <w:r>
        <w:rPr>
          <w:rFonts w:hint="eastAsia"/>
        </w:rPr>
        <w:t>0的规定。</w:t>
      </w:r>
    </w:p>
    <w:p w14:paraId="147FCFAA">
      <w:pPr>
        <w:pStyle w:val="105"/>
        <w:bidi w:val="0"/>
      </w:pPr>
      <w:r>
        <w:t>截口处理</w:t>
      </w:r>
    </w:p>
    <w:p w14:paraId="5D59FD6B">
      <w:pPr>
        <w:pStyle w:val="56"/>
        <w:bidi w:val="0"/>
      </w:pPr>
      <w:r>
        <w:t>采用以采代剪或侧枝轮换修剪后，在24h内使用</w:t>
      </w:r>
      <w:r>
        <w:rPr>
          <w:rFonts w:hint="eastAsia"/>
        </w:rPr>
        <w:t>“杀菌剂+杀虫剂或杀螨剂”</w:t>
      </w:r>
      <w:r>
        <w:t>全株喷施或使用树干涂白剂涂抹截口。</w:t>
      </w:r>
    </w:p>
    <w:p w14:paraId="3199A459">
      <w:pPr>
        <w:pStyle w:val="105"/>
        <w:bidi w:val="0"/>
      </w:pPr>
      <w:r>
        <w:rPr>
          <w:rFonts w:hint="eastAsia"/>
        </w:rPr>
        <w:t>综合</w:t>
      </w:r>
      <w:r>
        <w:t>方法</w:t>
      </w:r>
    </w:p>
    <w:p w14:paraId="2E5EC4D2">
      <w:pPr>
        <w:pStyle w:val="165"/>
        <w:bidi w:val="0"/>
      </w:pPr>
      <w:r>
        <w:rPr>
          <w:rFonts w:hint="eastAsia"/>
        </w:rPr>
        <w:t>采用</w:t>
      </w:r>
      <w:r>
        <w:t>以采代剪后，8月～11月上旬对新梢枝条和叶片，使用“植物生长调节剂+叶面肥+杀菌</w:t>
      </w:r>
      <w:r>
        <w:rPr>
          <w:rFonts w:hint="eastAsia"/>
        </w:rPr>
        <w:t>剂+</w:t>
      </w:r>
      <w:r>
        <w:t>杀虫剂或杀螨剂”喷施4</w:t>
      </w:r>
      <w:r>
        <w:rPr>
          <w:rFonts w:hint="eastAsia"/>
        </w:rPr>
        <w:t>次</w:t>
      </w:r>
      <w:r>
        <w:t>～6次。在新梢生长15 cm～20 cm时，用</w:t>
      </w:r>
      <w:r>
        <w:rPr>
          <w:rFonts w:hint="eastAsia"/>
        </w:rPr>
        <w:t>5 %</w:t>
      </w:r>
      <w:r>
        <w:t>烯效唑30</w:t>
      </w:r>
      <w:r>
        <w:rPr>
          <w:rFonts w:hint="eastAsia"/>
        </w:rPr>
        <w:t xml:space="preserve"> g</w:t>
      </w:r>
      <w:r>
        <w:t>～40 g+磷酸二氢钾50 g+杀菌剂+水20 kg喷施；在新梢生长25 cm～30 cm时40 cm～50 cm时，分别用</w:t>
      </w:r>
      <w:r>
        <w:rPr>
          <w:rFonts w:hint="eastAsia"/>
        </w:rPr>
        <w:t>5 %</w:t>
      </w:r>
      <w:r>
        <w:t>烯效唑40</w:t>
      </w:r>
      <w:r>
        <w:rPr>
          <w:rFonts w:hint="eastAsia"/>
        </w:rPr>
        <w:t xml:space="preserve"> g</w:t>
      </w:r>
      <w:r>
        <w:t>～50 g+磷酸二氢钾50 g+杀菌剂+杀虫剂+水20 kg喷施；在新梢生长50 cm～60 cm时，用</w:t>
      </w:r>
      <w:r>
        <w:rPr>
          <w:rFonts w:hint="eastAsia"/>
        </w:rPr>
        <w:t>5 %</w:t>
      </w:r>
      <w:r>
        <w:t>烯效唑50</w:t>
      </w:r>
      <w:r>
        <w:rPr>
          <w:rFonts w:hint="eastAsia"/>
        </w:rPr>
        <w:t xml:space="preserve"> g</w:t>
      </w:r>
      <w:r>
        <w:t>～60 g+磷酸二氢钾50 g+杀菌剂+杀虫剂</w:t>
      </w:r>
      <w:r>
        <w:rPr>
          <w:rFonts w:hint="eastAsia"/>
        </w:rPr>
        <w:t>或杀螨剂</w:t>
      </w:r>
      <w:r>
        <w:t>+水20 kg喷施；在新梢生长60 cm～70 cm时，用</w:t>
      </w:r>
      <w:r>
        <w:rPr>
          <w:rFonts w:hint="eastAsia"/>
        </w:rPr>
        <w:t>5 %</w:t>
      </w:r>
      <w:r>
        <w:t>烯效唑</w:t>
      </w:r>
      <w:r>
        <w:rPr>
          <w:rFonts w:hint="eastAsia"/>
        </w:rPr>
        <w:t>60 g</w:t>
      </w:r>
      <w:r>
        <w:t>～7</w:t>
      </w:r>
      <w:r>
        <w:rPr>
          <w:rFonts w:hint="eastAsia"/>
        </w:rPr>
        <w:t>0</w:t>
      </w:r>
      <w:r>
        <w:t xml:space="preserve"> g+磷酸二氢钾50</w:t>
      </w:r>
      <w:r>
        <w:rPr>
          <w:rFonts w:hint="eastAsia"/>
        </w:rPr>
        <w:t xml:space="preserve"> g</w:t>
      </w:r>
      <w:r>
        <w:t>～80 g</w:t>
      </w:r>
      <w:bookmarkStart w:id="60" w:name="OLE_LINK3"/>
      <w:r>
        <w:t>+杀菌剂+杀虫剂</w:t>
      </w:r>
      <w:r>
        <w:rPr>
          <w:rFonts w:hint="eastAsia"/>
        </w:rPr>
        <w:t>或杀螨剂</w:t>
      </w:r>
      <w:r>
        <w:t>+水20 kg喷施</w:t>
      </w:r>
      <w:bookmarkEnd w:id="60"/>
      <w:r>
        <w:t>；在新梢生长70 cm～80 cm时，用</w:t>
      </w:r>
      <w:r>
        <w:rPr>
          <w:rFonts w:hint="eastAsia"/>
        </w:rPr>
        <w:t>5 %</w:t>
      </w:r>
      <w:r>
        <w:t>烯效唑7</w:t>
      </w:r>
      <w:r>
        <w:rPr>
          <w:rFonts w:hint="eastAsia"/>
        </w:rPr>
        <w:t>0 g</w:t>
      </w:r>
      <w:r>
        <w:t>～80g+磷酸二氢钾80</w:t>
      </w:r>
      <w:r>
        <w:rPr>
          <w:rFonts w:hint="eastAsia"/>
        </w:rPr>
        <w:t xml:space="preserve"> g</w:t>
      </w:r>
      <w:r>
        <w:t>～100 g+杀菌剂+杀虫剂</w:t>
      </w:r>
      <w:r>
        <w:rPr>
          <w:rFonts w:hint="eastAsia"/>
        </w:rPr>
        <w:t>或杀螨剂</w:t>
      </w:r>
      <w:r>
        <w:t>+水20 kg喷施。</w:t>
      </w:r>
      <w:r>
        <w:rPr>
          <w:rFonts w:hint="eastAsia"/>
        </w:rPr>
        <w:t>农药使用应符合</w:t>
      </w:r>
      <w:r>
        <w:t>GB/T 8321.1</w:t>
      </w:r>
      <w:r>
        <w:rPr>
          <w:rFonts w:hint="eastAsia"/>
        </w:rPr>
        <w:t>0的规定。</w:t>
      </w:r>
    </w:p>
    <w:p w14:paraId="638FE116">
      <w:pPr>
        <w:pStyle w:val="165"/>
        <w:bidi w:val="0"/>
        <w:rPr>
          <w:rFonts w:hint="eastAsia"/>
          <w:lang w:eastAsia="zh-CN"/>
        </w:rPr>
      </w:pPr>
      <w:r>
        <w:rPr>
          <w:rFonts w:hint="eastAsia"/>
        </w:rPr>
        <w:t>采用</w:t>
      </w:r>
      <w:r>
        <w:t>侧枝轮换修剪后，8月底～11月上旬对新梢枝条和叶片，使用“植物生长调节剂+叶面肥+杀菌剂</w:t>
      </w:r>
      <w:r>
        <w:rPr>
          <w:rFonts w:hint="eastAsia"/>
        </w:rPr>
        <w:t>+杀虫剂或</w:t>
      </w:r>
      <w:r>
        <w:t>杀螨剂”喷施2次～3次。在8月底～9月上旬，用</w:t>
      </w:r>
      <w:r>
        <w:rPr>
          <w:rFonts w:hint="eastAsia"/>
        </w:rPr>
        <w:t>5 %</w:t>
      </w:r>
      <w:r>
        <w:t>烯效唑30</w:t>
      </w:r>
      <w:r>
        <w:rPr>
          <w:rFonts w:hint="eastAsia"/>
        </w:rPr>
        <w:t xml:space="preserve"> g</w:t>
      </w:r>
      <w:r>
        <w:t>～40 g +磷酸二氢钾50 g+杀菌剂+杀虫剂+水20 kg喷施；在9月下旬～10月上旬，用</w:t>
      </w:r>
      <w:r>
        <w:rPr>
          <w:rFonts w:hint="eastAsia"/>
        </w:rPr>
        <w:t>5 %</w:t>
      </w:r>
      <w:r>
        <w:t>烯效唑40</w:t>
      </w:r>
      <w:r>
        <w:rPr>
          <w:rFonts w:hint="eastAsia"/>
        </w:rPr>
        <w:t xml:space="preserve"> g</w:t>
      </w:r>
      <w:r>
        <w:t>～50 g +磷酸二氢钾50 g+杀菌剂+杀虫剂或杀螨剂+水20 kg喷施；在10月中旬～11月上旬，用</w:t>
      </w:r>
      <w:r>
        <w:rPr>
          <w:rFonts w:hint="eastAsia"/>
        </w:rPr>
        <w:t>5 %</w:t>
      </w:r>
      <w:r>
        <w:t>烯效唑50 g～7</w:t>
      </w:r>
      <w:r>
        <w:rPr>
          <w:rFonts w:hint="eastAsia"/>
        </w:rPr>
        <w:t>0</w:t>
      </w:r>
      <w:r>
        <w:t xml:space="preserve"> g+磷酸二氢钾50</w:t>
      </w:r>
      <w:r>
        <w:rPr>
          <w:rFonts w:hint="eastAsia"/>
        </w:rPr>
        <w:t xml:space="preserve"> g</w:t>
      </w:r>
      <w:r>
        <w:t>～80 g +杀菌剂+杀虫剂或杀螨剂+水20 kg喷施。</w:t>
      </w:r>
      <w:r>
        <w:rPr>
          <w:rFonts w:hint="eastAsia"/>
        </w:rPr>
        <w:t>农药使用应符合</w:t>
      </w:r>
      <w:r>
        <w:t>GB/T 8321.1</w:t>
      </w:r>
      <w:r>
        <w:rPr>
          <w:rFonts w:hint="eastAsia"/>
        </w:rPr>
        <w:t>0的规定。</w:t>
      </w:r>
    </w:p>
    <w:p w14:paraId="3F1BBA41">
      <w:pPr>
        <w:pStyle w:val="56"/>
        <w:ind w:firstLine="420"/>
      </w:pPr>
    </w:p>
    <w:p w14:paraId="25C518F8">
      <w:pPr>
        <w:pStyle w:val="56"/>
        <w:ind w:firstLine="420"/>
        <w:rPr>
          <w:rFonts w:hint="eastAsia" w:eastAsia="宋体"/>
          <w:lang w:eastAsia="zh-CN"/>
        </w:rPr>
      </w:pPr>
    </w:p>
    <w:p w14:paraId="155BB544">
      <w:pPr>
        <w:pStyle w:val="56"/>
        <w:ind w:firstLine="420"/>
      </w:pPr>
    </w:p>
    <w:p w14:paraId="7A45BD01">
      <w:pPr>
        <w:pStyle w:val="56"/>
        <w:ind w:firstLine="420"/>
      </w:pPr>
    </w:p>
    <w:p w14:paraId="6070BE41">
      <w:pPr>
        <w:pStyle w:val="56"/>
        <w:ind w:firstLine="420"/>
      </w:pPr>
    </w:p>
    <w:p w14:paraId="603FBD38">
      <w:pPr>
        <w:pStyle w:val="56"/>
        <w:ind w:firstLine="420"/>
      </w:pPr>
    </w:p>
    <w:p w14:paraId="084B05FB">
      <w:pPr>
        <w:pStyle w:val="56"/>
        <w:ind w:firstLine="420"/>
      </w:pPr>
    </w:p>
    <w:p w14:paraId="41313298">
      <w:pPr>
        <w:pStyle w:val="56"/>
        <w:ind w:firstLine="420"/>
      </w:pPr>
    </w:p>
    <w:p w14:paraId="176EC4D7">
      <w:pPr>
        <w:pStyle w:val="56"/>
        <w:ind w:firstLine="420"/>
      </w:pPr>
    </w:p>
    <w:p w14:paraId="0F823ADC">
      <w:pPr>
        <w:pStyle w:val="56"/>
        <w:ind w:firstLine="420"/>
      </w:pPr>
    </w:p>
    <w:p w14:paraId="1218B9BB">
      <w:pPr>
        <w:pStyle w:val="56"/>
        <w:ind w:firstLine="420"/>
      </w:pPr>
    </w:p>
    <w:p w14:paraId="5999EA10">
      <w:pPr>
        <w:pStyle w:val="56"/>
        <w:ind w:firstLine="420"/>
      </w:pPr>
    </w:p>
    <w:p w14:paraId="00B54B52">
      <w:pPr>
        <w:pStyle w:val="56"/>
        <w:ind w:firstLine="420"/>
      </w:pPr>
    </w:p>
    <w:p w14:paraId="78DA236E">
      <w:pPr>
        <w:pStyle w:val="56"/>
        <w:bidi w:val="0"/>
        <w:ind w:left="0" w:leftChars="0" w:firstLine="0" w:firstLineChars="0"/>
        <w:sectPr>
          <w:pgSz w:w="11906" w:h="16838"/>
          <w:pgMar w:top="1928" w:right="1134" w:bottom="1134" w:left="1134" w:header="1418" w:footer="1134" w:gutter="284"/>
          <w:pgNumType w:start="1"/>
          <w:cols w:space="425" w:num="1"/>
          <w:formProt w:val="0"/>
          <w:docGrid w:type="lines" w:linePitch="312" w:charSpace="0"/>
        </w:sectPr>
      </w:pPr>
    </w:p>
    <w:bookmarkEnd w:id="24"/>
    <w:p w14:paraId="5A1BAD6F">
      <w:pPr>
        <w:pStyle w:val="198"/>
        <w:bidi w:val="0"/>
      </w:pPr>
      <w:bookmarkStart w:id="61" w:name="BookMark5"/>
    </w:p>
    <w:p w14:paraId="62F49B73">
      <w:pPr>
        <w:pStyle w:val="199"/>
        <w:bidi w:val="0"/>
      </w:pPr>
    </w:p>
    <w:p w14:paraId="6E61E4AC">
      <w:pPr>
        <w:pStyle w:val="76"/>
        <w:bidi w:val="0"/>
      </w:pPr>
      <w:bookmarkStart w:id="62" w:name="_Toc31457"/>
      <w:r>
        <w:br w:type="textWrapping"/>
      </w:r>
      <w:r>
        <w:rPr>
          <w:rFonts w:hint="eastAsia"/>
          <w:lang w:eastAsia="zh-CN"/>
        </w:rPr>
        <w:t>（资料性）</w:t>
      </w:r>
      <w:r>
        <w:rPr>
          <w:rFonts w:hint="eastAsia"/>
          <w:lang w:eastAsia="zh-CN"/>
        </w:rPr>
        <w:br w:type="textWrapping"/>
      </w:r>
      <w:r>
        <w:rPr>
          <w:rFonts w:hint="eastAsia"/>
          <w:lang w:eastAsia="zh-CN"/>
        </w:rPr>
        <w:t>青花椒常用农药推荐产品</w:t>
      </w:r>
      <w:bookmarkEnd w:id="62"/>
    </w:p>
    <w:p w14:paraId="2DA4A84B">
      <w:pPr>
        <w:pStyle w:val="78"/>
        <w:bidi w:val="0"/>
        <w:rPr>
          <w:rFonts w:hint="eastAsia"/>
        </w:rPr>
      </w:pPr>
      <w:r>
        <w:rPr>
          <w:rFonts w:hint="eastAsia"/>
        </w:rPr>
        <w:t>青花椒常用农药推荐产品见表</w:t>
      </w:r>
      <w:r>
        <w:t>A</w:t>
      </w:r>
      <w:r>
        <w:rPr>
          <w:rFonts w:hint="eastAsia"/>
        </w:rPr>
        <w:t>.1</w:t>
      </w:r>
    </w:p>
    <w:p w14:paraId="3F6A58BB">
      <w:pPr>
        <w:pStyle w:val="228"/>
      </w:pPr>
    </w:p>
    <w:p w14:paraId="2EBBD0E8">
      <w:pPr>
        <w:pStyle w:val="77"/>
        <w:bidi w:val="0"/>
        <w:rPr>
          <w:rFonts w:hint="eastAsia"/>
        </w:rPr>
      </w:pPr>
      <w:r>
        <w:rPr>
          <w:rFonts w:hint="eastAsia"/>
        </w:rPr>
        <w:t>青花椒常用农药推荐产品</w:t>
      </w:r>
    </w:p>
    <w:tbl>
      <w:tblPr>
        <w:tblStyle w:val="2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97"/>
        <w:gridCol w:w="1281"/>
        <w:gridCol w:w="1984"/>
        <w:gridCol w:w="4259"/>
      </w:tblGrid>
      <w:tr w14:paraId="008C39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6" w:hRule="atLeast"/>
          <w:jc w:val="center"/>
        </w:trPr>
        <w:tc>
          <w:tcPr>
            <w:tcW w:w="997" w:type="dxa"/>
            <w:noWrap w:val="0"/>
            <w:vAlign w:val="center"/>
          </w:tcPr>
          <w:p w14:paraId="6D34E349">
            <w:pPr>
              <w:pStyle w:val="230"/>
              <w:adjustRightInd w:val="0"/>
              <w:snapToGrid w:val="0"/>
              <w:ind w:firstLine="0" w:firstLineChars="0"/>
              <w:jc w:val="center"/>
              <w:rPr>
                <w:rFonts w:hint="eastAsia" w:ascii="黑体" w:hAnsi="黑体" w:eastAsia="黑体" w:cs="黑体"/>
                <w:b w:val="0"/>
                <w:bCs/>
                <w:sz w:val="18"/>
                <w:szCs w:val="18"/>
              </w:rPr>
            </w:pPr>
            <w:r>
              <w:rPr>
                <w:rFonts w:hint="eastAsia" w:ascii="黑体" w:hAnsi="黑体" w:eastAsia="黑体" w:cs="黑体"/>
                <w:b w:val="0"/>
                <w:bCs/>
                <w:sz w:val="18"/>
                <w:szCs w:val="18"/>
              </w:rPr>
              <w:t>防治对象分类</w:t>
            </w:r>
          </w:p>
        </w:tc>
        <w:tc>
          <w:tcPr>
            <w:tcW w:w="1281" w:type="dxa"/>
            <w:noWrap w:val="0"/>
            <w:vAlign w:val="center"/>
          </w:tcPr>
          <w:p w14:paraId="182E8FA0">
            <w:pPr>
              <w:pStyle w:val="230"/>
              <w:adjustRightInd w:val="0"/>
              <w:snapToGrid w:val="0"/>
              <w:ind w:firstLine="0" w:firstLineChars="0"/>
              <w:jc w:val="center"/>
              <w:rPr>
                <w:rFonts w:hint="eastAsia" w:ascii="黑体" w:hAnsi="黑体" w:eastAsia="黑体" w:cs="黑体"/>
                <w:b w:val="0"/>
                <w:bCs/>
                <w:sz w:val="18"/>
                <w:szCs w:val="18"/>
              </w:rPr>
            </w:pPr>
            <w:r>
              <w:rPr>
                <w:rFonts w:hint="eastAsia" w:ascii="黑体" w:hAnsi="黑体" w:eastAsia="黑体" w:cs="黑体"/>
                <w:b w:val="0"/>
                <w:bCs/>
                <w:sz w:val="18"/>
                <w:szCs w:val="18"/>
              </w:rPr>
              <w:t>功能</w:t>
            </w:r>
          </w:p>
        </w:tc>
        <w:tc>
          <w:tcPr>
            <w:tcW w:w="1984" w:type="dxa"/>
            <w:noWrap w:val="0"/>
            <w:vAlign w:val="center"/>
          </w:tcPr>
          <w:p w14:paraId="0E15D3CE">
            <w:pPr>
              <w:pStyle w:val="230"/>
              <w:adjustRightInd w:val="0"/>
              <w:snapToGrid w:val="0"/>
              <w:ind w:firstLine="0" w:firstLineChars="0"/>
              <w:jc w:val="center"/>
              <w:rPr>
                <w:rFonts w:hint="eastAsia" w:ascii="黑体" w:hAnsi="黑体" w:eastAsia="黑体" w:cs="黑体"/>
                <w:b w:val="0"/>
                <w:bCs/>
                <w:sz w:val="18"/>
                <w:szCs w:val="18"/>
              </w:rPr>
            </w:pPr>
            <w:r>
              <w:rPr>
                <w:rFonts w:hint="eastAsia" w:ascii="黑体" w:hAnsi="黑体" w:eastAsia="黑体" w:cs="黑体"/>
                <w:b w:val="0"/>
                <w:bCs/>
                <w:sz w:val="18"/>
                <w:szCs w:val="18"/>
              </w:rPr>
              <w:t>用药时期</w:t>
            </w:r>
          </w:p>
        </w:tc>
        <w:tc>
          <w:tcPr>
            <w:tcW w:w="4259" w:type="dxa"/>
            <w:noWrap w:val="0"/>
            <w:vAlign w:val="center"/>
          </w:tcPr>
          <w:p w14:paraId="75F0FD11">
            <w:pPr>
              <w:pStyle w:val="230"/>
              <w:adjustRightInd w:val="0"/>
              <w:snapToGrid w:val="0"/>
              <w:ind w:firstLine="0" w:firstLineChars="0"/>
              <w:jc w:val="center"/>
              <w:rPr>
                <w:rFonts w:hint="eastAsia" w:ascii="黑体" w:hAnsi="黑体" w:eastAsia="黑体" w:cs="黑体"/>
                <w:b w:val="0"/>
                <w:bCs/>
                <w:sz w:val="18"/>
                <w:szCs w:val="18"/>
              </w:rPr>
            </w:pPr>
            <w:r>
              <w:rPr>
                <w:rFonts w:hint="eastAsia" w:ascii="黑体" w:hAnsi="黑体" w:eastAsia="黑体" w:cs="黑体"/>
                <w:b w:val="0"/>
                <w:bCs/>
                <w:sz w:val="18"/>
                <w:szCs w:val="18"/>
              </w:rPr>
              <w:t>推荐产品</w:t>
            </w:r>
          </w:p>
        </w:tc>
      </w:tr>
      <w:tr w14:paraId="2A812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7" w:type="dxa"/>
            <w:vMerge w:val="restart"/>
            <w:noWrap w:val="0"/>
            <w:vAlign w:val="center"/>
          </w:tcPr>
          <w:p w14:paraId="25215298">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植物生长调节剂</w:t>
            </w:r>
          </w:p>
        </w:tc>
        <w:tc>
          <w:tcPr>
            <w:tcW w:w="1281" w:type="dxa"/>
            <w:vMerge w:val="restart"/>
            <w:noWrap w:val="0"/>
            <w:vAlign w:val="center"/>
          </w:tcPr>
          <w:p w14:paraId="65E36992">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调节生长</w:t>
            </w:r>
          </w:p>
        </w:tc>
        <w:tc>
          <w:tcPr>
            <w:tcW w:w="1984" w:type="dxa"/>
            <w:noWrap w:val="0"/>
            <w:vAlign w:val="center"/>
          </w:tcPr>
          <w:p w14:paraId="37BC737D">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萌芽～花期</w:t>
            </w:r>
          </w:p>
        </w:tc>
        <w:tc>
          <w:tcPr>
            <w:tcW w:w="4259" w:type="dxa"/>
            <w:noWrap w:val="0"/>
            <w:vAlign w:val="center"/>
          </w:tcPr>
          <w:p w14:paraId="22E0DA7E">
            <w:pPr>
              <w:pStyle w:val="230"/>
              <w:adjustRightInd w:val="0"/>
              <w:snapToGrid w:val="0"/>
              <w:ind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三十烷醇、24-表芸苔素内酯、苄氨基嘌呤、苄氨·赤霉酸等</w:t>
            </w:r>
          </w:p>
        </w:tc>
      </w:tr>
      <w:tr w14:paraId="711AC7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7" w:type="dxa"/>
            <w:vMerge w:val="continue"/>
            <w:noWrap w:val="0"/>
            <w:vAlign w:val="center"/>
          </w:tcPr>
          <w:p w14:paraId="4E2B45CB">
            <w:pPr>
              <w:pStyle w:val="230"/>
              <w:adjustRightInd w:val="0"/>
              <w:snapToGrid w:val="0"/>
              <w:ind w:firstLine="0" w:firstLineChars="0"/>
              <w:jc w:val="center"/>
              <w:rPr>
                <w:rFonts w:hint="eastAsia" w:ascii="宋体" w:hAnsi="宋体" w:eastAsia="宋体" w:cs="宋体"/>
                <w:b w:val="0"/>
                <w:bCs/>
                <w:sz w:val="18"/>
                <w:szCs w:val="18"/>
              </w:rPr>
            </w:pPr>
          </w:p>
        </w:tc>
        <w:tc>
          <w:tcPr>
            <w:tcW w:w="1281" w:type="dxa"/>
            <w:vMerge w:val="continue"/>
            <w:noWrap w:val="0"/>
            <w:vAlign w:val="center"/>
          </w:tcPr>
          <w:p w14:paraId="3C1D7264">
            <w:pPr>
              <w:pStyle w:val="230"/>
              <w:adjustRightInd w:val="0"/>
              <w:snapToGrid w:val="0"/>
              <w:ind w:firstLine="0" w:firstLineChars="0"/>
              <w:jc w:val="center"/>
              <w:rPr>
                <w:rFonts w:hint="eastAsia" w:ascii="宋体" w:hAnsi="宋体" w:eastAsia="宋体" w:cs="宋体"/>
                <w:b w:val="0"/>
                <w:bCs/>
                <w:sz w:val="18"/>
                <w:szCs w:val="18"/>
              </w:rPr>
            </w:pPr>
          </w:p>
        </w:tc>
        <w:tc>
          <w:tcPr>
            <w:tcW w:w="1984" w:type="dxa"/>
            <w:noWrap w:val="0"/>
            <w:vAlign w:val="center"/>
          </w:tcPr>
          <w:p w14:paraId="1E99B56D">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果实生长期</w:t>
            </w:r>
          </w:p>
        </w:tc>
        <w:tc>
          <w:tcPr>
            <w:tcW w:w="4259" w:type="dxa"/>
            <w:noWrap w:val="0"/>
            <w:vAlign w:val="center"/>
          </w:tcPr>
          <w:p w14:paraId="478C3338">
            <w:pPr>
              <w:pStyle w:val="230"/>
              <w:adjustRightInd w:val="0"/>
              <w:snapToGrid w:val="0"/>
              <w:ind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三十烷醇、24-表芸苔素内酯、苄氨基嘌呤、噻苯隆、对氯苯氧乙酸钠、氯吡脲、胺鲜酯等</w:t>
            </w:r>
          </w:p>
        </w:tc>
      </w:tr>
      <w:tr w14:paraId="37C77F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7" w:type="dxa"/>
            <w:vMerge w:val="continue"/>
            <w:noWrap w:val="0"/>
            <w:vAlign w:val="center"/>
          </w:tcPr>
          <w:p w14:paraId="1CDAD7A5">
            <w:pPr>
              <w:pStyle w:val="230"/>
              <w:adjustRightInd w:val="0"/>
              <w:snapToGrid w:val="0"/>
              <w:ind w:firstLine="0" w:firstLineChars="0"/>
              <w:jc w:val="center"/>
              <w:rPr>
                <w:rFonts w:hint="eastAsia" w:ascii="宋体" w:hAnsi="宋体" w:eastAsia="宋体" w:cs="宋体"/>
                <w:b w:val="0"/>
                <w:bCs/>
                <w:sz w:val="18"/>
                <w:szCs w:val="18"/>
              </w:rPr>
            </w:pPr>
          </w:p>
        </w:tc>
        <w:tc>
          <w:tcPr>
            <w:tcW w:w="1281" w:type="dxa"/>
            <w:vMerge w:val="continue"/>
            <w:noWrap w:val="0"/>
            <w:vAlign w:val="center"/>
          </w:tcPr>
          <w:p w14:paraId="329A28CA">
            <w:pPr>
              <w:pStyle w:val="230"/>
              <w:adjustRightInd w:val="0"/>
              <w:snapToGrid w:val="0"/>
              <w:ind w:firstLine="0" w:firstLineChars="0"/>
              <w:jc w:val="center"/>
              <w:rPr>
                <w:rFonts w:hint="eastAsia" w:ascii="宋体" w:hAnsi="宋体" w:eastAsia="宋体" w:cs="宋体"/>
                <w:b w:val="0"/>
                <w:bCs/>
                <w:sz w:val="18"/>
                <w:szCs w:val="18"/>
              </w:rPr>
            </w:pPr>
          </w:p>
        </w:tc>
        <w:tc>
          <w:tcPr>
            <w:tcW w:w="1984" w:type="dxa"/>
            <w:noWrap w:val="0"/>
            <w:vAlign w:val="center"/>
          </w:tcPr>
          <w:p w14:paraId="7D860C99">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花芽形成期</w:t>
            </w:r>
          </w:p>
        </w:tc>
        <w:tc>
          <w:tcPr>
            <w:tcW w:w="4259" w:type="dxa"/>
            <w:noWrap w:val="0"/>
            <w:vAlign w:val="center"/>
          </w:tcPr>
          <w:p w14:paraId="2B4220C0">
            <w:pPr>
              <w:pStyle w:val="230"/>
              <w:adjustRightInd w:val="0"/>
              <w:snapToGrid w:val="0"/>
              <w:ind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苄氨·赤霉酸、胺鲜酯、三十烷醇、烯效唑、烯效·甲哌鎓、24-表芸苔素内酯、多唑·甲哌鎓、苄氨基嘌呤、赤霉酸、S-诱抗素等</w:t>
            </w:r>
          </w:p>
        </w:tc>
      </w:tr>
      <w:tr w14:paraId="0E62C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7" w:type="dxa"/>
            <w:vMerge w:val="restart"/>
            <w:noWrap w:val="0"/>
            <w:vAlign w:val="center"/>
          </w:tcPr>
          <w:p w14:paraId="1A910576">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杀菌剂</w:t>
            </w:r>
          </w:p>
        </w:tc>
        <w:tc>
          <w:tcPr>
            <w:tcW w:w="1281" w:type="dxa"/>
            <w:noWrap w:val="0"/>
            <w:vAlign w:val="center"/>
          </w:tcPr>
          <w:p w14:paraId="457A1894">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防治细菌</w:t>
            </w:r>
          </w:p>
        </w:tc>
        <w:tc>
          <w:tcPr>
            <w:tcW w:w="1984" w:type="dxa"/>
            <w:noWrap w:val="0"/>
            <w:vAlign w:val="center"/>
          </w:tcPr>
          <w:p w14:paraId="29CB6E34">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全年</w:t>
            </w:r>
          </w:p>
        </w:tc>
        <w:tc>
          <w:tcPr>
            <w:tcW w:w="4259" w:type="dxa"/>
            <w:noWrap w:val="0"/>
            <w:vAlign w:val="center"/>
          </w:tcPr>
          <w:p w14:paraId="0C7D9926">
            <w:pPr>
              <w:pStyle w:val="230"/>
              <w:adjustRightInd w:val="0"/>
              <w:snapToGrid w:val="0"/>
              <w:ind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春雷霉素、宁南霉素、二氯异氰尿酸钠、辛菌胺醋酸盐等</w:t>
            </w:r>
          </w:p>
        </w:tc>
      </w:tr>
      <w:tr w14:paraId="0089EF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7" w:type="dxa"/>
            <w:vMerge w:val="continue"/>
            <w:noWrap w:val="0"/>
            <w:vAlign w:val="center"/>
          </w:tcPr>
          <w:p w14:paraId="181821AB">
            <w:pPr>
              <w:pStyle w:val="230"/>
              <w:adjustRightInd w:val="0"/>
              <w:snapToGrid w:val="0"/>
              <w:ind w:firstLine="0" w:firstLineChars="0"/>
              <w:jc w:val="center"/>
              <w:rPr>
                <w:rFonts w:hint="eastAsia" w:ascii="宋体" w:hAnsi="宋体" w:eastAsia="宋体" w:cs="宋体"/>
                <w:b w:val="0"/>
                <w:bCs/>
                <w:sz w:val="18"/>
                <w:szCs w:val="18"/>
              </w:rPr>
            </w:pPr>
          </w:p>
        </w:tc>
        <w:tc>
          <w:tcPr>
            <w:tcW w:w="1281" w:type="dxa"/>
            <w:noWrap w:val="0"/>
            <w:vAlign w:val="center"/>
          </w:tcPr>
          <w:p w14:paraId="1F1C410C">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防治真菌</w:t>
            </w:r>
          </w:p>
        </w:tc>
        <w:tc>
          <w:tcPr>
            <w:tcW w:w="1984" w:type="dxa"/>
            <w:noWrap w:val="0"/>
            <w:vAlign w:val="center"/>
          </w:tcPr>
          <w:p w14:paraId="25D9EC50">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全年</w:t>
            </w:r>
          </w:p>
        </w:tc>
        <w:tc>
          <w:tcPr>
            <w:tcW w:w="4259" w:type="dxa"/>
            <w:noWrap w:val="0"/>
            <w:vAlign w:val="center"/>
          </w:tcPr>
          <w:p w14:paraId="374861E4">
            <w:pPr>
              <w:pStyle w:val="230"/>
              <w:adjustRightInd w:val="0"/>
              <w:snapToGrid w:val="0"/>
              <w:ind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多菌灵、甲基硫菌灵、三唑酮、烯唑醇、代森锌、代森锰锌、戊唑醇、苯醚甲环唑、吡唑醚菌酯、丙环唑、辛菌胺醋酸盐等</w:t>
            </w:r>
          </w:p>
        </w:tc>
      </w:tr>
      <w:tr w14:paraId="4780E8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7" w:type="dxa"/>
            <w:noWrap w:val="0"/>
            <w:vAlign w:val="center"/>
          </w:tcPr>
          <w:p w14:paraId="38EBF97E">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杀虫剂</w:t>
            </w:r>
          </w:p>
        </w:tc>
        <w:tc>
          <w:tcPr>
            <w:tcW w:w="1281" w:type="dxa"/>
            <w:noWrap w:val="0"/>
            <w:vAlign w:val="center"/>
          </w:tcPr>
          <w:p w14:paraId="4189E879">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防治虫害</w:t>
            </w:r>
          </w:p>
        </w:tc>
        <w:tc>
          <w:tcPr>
            <w:tcW w:w="1984" w:type="dxa"/>
            <w:noWrap w:val="0"/>
            <w:vAlign w:val="center"/>
          </w:tcPr>
          <w:p w14:paraId="26049860">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萌芽期～12月</w:t>
            </w:r>
          </w:p>
        </w:tc>
        <w:tc>
          <w:tcPr>
            <w:tcW w:w="4259" w:type="dxa"/>
            <w:noWrap w:val="0"/>
            <w:vAlign w:val="center"/>
          </w:tcPr>
          <w:p w14:paraId="762EEABD">
            <w:pPr>
              <w:pStyle w:val="230"/>
              <w:adjustRightInd w:val="0"/>
              <w:snapToGrid w:val="0"/>
              <w:ind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啶虫脒、吡虫啉、联苯噻虫胺、甲氨基阿维菌素苯甲酸盐、溴氰菊酯、氯氰菊酯、杀虫单等</w:t>
            </w:r>
          </w:p>
        </w:tc>
      </w:tr>
      <w:tr w14:paraId="299382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1" w:hRule="atLeast"/>
          <w:jc w:val="center"/>
        </w:trPr>
        <w:tc>
          <w:tcPr>
            <w:tcW w:w="997" w:type="dxa"/>
            <w:noWrap w:val="0"/>
            <w:vAlign w:val="center"/>
          </w:tcPr>
          <w:p w14:paraId="52184854">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杀螨剂</w:t>
            </w:r>
          </w:p>
        </w:tc>
        <w:tc>
          <w:tcPr>
            <w:tcW w:w="1281" w:type="dxa"/>
            <w:noWrap w:val="0"/>
            <w:vAlign w:val="center"/>
          </w:tcPr>
          <w:p w14:paraId="3A93E9D2">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防治螨类</w:t>
            </w:r>
          </w:p>
        </w:tc>
        <w:tc>
          <w:tcPr>
            <w:tcW w:w="1984" w:type="dxa"/>
            <w:noWrap w:val="0"/>
            <w:vAlign w:val="center"/>
          </w:tcPr>
          <w:p w14:paraId="01931AD9">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新梢生长期～12月</w:t>
            </w:r>
          </w:p>
        </w:tc>
        <w:tc>
          <w:tcPr>
            <w:tcW w:w="4259" w:type="dxa"/>
            <w:noWrap w:val="0"/>
            <w:vAlign w:val="center"/>
          </w:tcPr>
          <w:p w14:paraId="3BB6E24F">
            <w:pPr>
              <w:pStyle w:val="230"/>
              <w:adjustRightInd w:val="0"/>
              <w:snapToGrid w:val="0"/>
              <w:ind w:firstLine="0" w:firstLineChars="0"/>
              <w:jc w:val="left"/>
              <w:rPr>
                <w:rFonts w:hint="eastAsia" w:ascii="宋体" w:hAnsi="宋体" w:eastAsia="宋体" w:cs="宋体"/>
                <w:b w:val="0"/>
                <w:bCs/>
                <w:sz w:val="18"/>
                <w:szCs w:val="18"/>
              </w:rPr>
            </w:pPr>
            <w:r>
              <w:rPr>
                <w:rFonts w:hint="eastAsia" w:ascii="宋体" w:hAnsi="宋体" w:eastAsia="宋体" w:cs="宋体"/>
                <w:b w:val="0"/>
                <w:bCs/>
                <w:sz w:val="18"/>
                <w:szCs w:val="18"/>
              </w:rPr>
              <w:t>阿维菌素、哒螨灵、螺螨酯、炔螨特、乙螨唑等</w:t>
            </w:r>
          </w:p>
        </w:tc>
      </w:tr>
      <w:tr w14:paraId="5AE4BB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7" w:type="dxa"/>
            <w:noWrap w:val="0"/>
            <w:vAlign w:val="center"/>
          </w:tcPr>
          <w:p w14:paraId="48077779">
            <w:pPr>
              <w:pStyle w:val="230"/>
              <w:adjustRightInd w:val="0"/>
              <w:snapToGrid w:val="0"/>
              <w:ind w:firstLine="0" w:firstLineChars="0"/>
              <w:jc w:val="center"/>
              <w:rPr>
                <w:rFonts w:hint="eastAsia" w:ascii="宋体" w:hAnsi="宋体" w:eastAsia="宋体" w:cs="宋体"/>
                <w:b w:val="0"/>
                <w:bCs/>
                <w:sz w:val="18"/>
                <w:szCs w:val="18"/>
              </w:rPr>
            </w:pPr>
          </w:p>
        </w:tc>
        <w:tc>
          <w:tcPr>
            <w:tcW w:w="1281" w:type="dxa"/>
            <w:noWrap w:val="0"/>
            <w:vAlign w:val="center"/>
          </w:tcPr>
          <w:p w14:paraId="1177A2E4">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综合防治病虫害</w:t>
            </w:r>
          </w:p>
        </w:tc>
        <w:tc>
          <w:tcPr>
            <w:tcW w:w="1984" w:type="dxa"/>
            <w:noWrap w:val="0"/>
            <w:vAlign w:val="center"/>
          </w:tcPr>
          <w:p w14:paraId="6E63983C">
            <w:pPr>
              <w:pStyle w:val="230"/>
              <w:adjustRightInd w:val="0"/>
              <w:snapToGrid w:val="0"/>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全年</w:t>
            </w:r>
          </w:p>
        </w:tc>
        <w:tc>
          <w:tcPr>
            <w:tcW w:w="4259" w:type="dxa"/>
            <w:noWrap w:val="0"/>
            <w:vAlign w:val="center"/>
          </w:tcPr>
          <w:p w14:paraId="768BF8D9">
            <w:pPr>
              <w:pStyle w:val="230"/>
              <w:adjustRightInd w:val="0"/>
              <w:snapToGrid w:val="0"/>
              <w:ind w:firstLine="0" w:firstLineChars="0"/>
              <w:jc w:val="left"/>
              <w:rPr>
                <w:rFonts w:hint="eastAsia" w:ascii="宋体" w:hAnsi="宋体" w:eastAsia="宋体" w:cs="宋体"/>
                <w:b w:val="0"/>
                <w:bCs/>
                <w:color w:val="333333"/>
                <w:sz w:val="18"/>
                <w:szCs w:val="18"/>
                <w:shd w:val="clear" w:color="auto" w:fill="FFFFFF"/>
              </w:rPr>
            </w:pPr>
            <w:r>
              <w:rPr>
                <w:rFonts w:hint="eastAsia" w:ascii="宋体" w:hAnsi="宋体" w:eastAsia="宋体" w:cs="宋体"/>
                <w:b w:val="0"/>
                <w:bCs/>
                <w:sz w:val="18"/>
                <w:szCs w:val="18"/>
              </w:rPr>
              <w:t>石硫合剂、丙硫菌唑·戊唑醇、戊唑·咪鲜胺、苯甲·丙环唑、喹啉·戊唑醇、噻虫·吡蚜酮、氟啶虫酰胺·联苯菊酯、噻虫·高氯氟、阿维·螺螨酯、苯丁·哒螨灵等</w:t>
            </w:r>
          </w:p>
        </w:tc>
      </w:tr>
      <w:bookmarkEnd w:id="61"/>
    </w:tbl>
    <w:p w14:paraId="7481C8A2">
      <w:pPr>
        <w:pStyle w:val="56"/>
        <w:bidi w:val="0"/>
        <w:ind w:firstLine="0" w:firstLineChars="0"/>
        <w:jc w:val="center"/>
        <w:rPr>
          <w:rFonts w:hint="eastAsia" w:eastAsia="宋体"/>
          <w:lang w:eastAsia="zh-CN"/>
        </w:rPr>
      </w:pPr>
      <w:bookmarkStart w:id="63" w:name="BookMark8"/>
      <w:bookmarkStart w:id="64" w:name="_GoBack"/>
      <w:bookmarkEnd w:id="64"/>
      <w:r>
        <w:rPr>
          <w:rFonts w:hint="eastAsia" w:eastAsia="宋体"/>
          <w:lang w:eastAsia="zh-CN"/>
        </w:rPr>
        <w:drawing>
          <wp:inline distT="0" distB="0" distL="114300" distR="114300">
            <wp:extent cx="1485900" cy="317500"/>
            <wp:effectExtent l="0" t="0" r="0" b="6350"/>
            <wp:docPr id="1" name="图片 1" descr="1"/>
            <wp:cNvGraphicFramePr/>
            <a:graphic xmlns:a="http://schemas.openxmlformats.org/drawingml/2006/main">
              <a:graphicData uri="http://schemas.openxmlformats.org/drawingml/2006/picture">
                <pic:pic xmlns:pic="http://schemas.openxmlformats.org/drawingml/2006/picture">
                  <pic:nvPicPr>
                    <pic:cNvPr id="1" name="图片 1" descr="1"/>
                    <pic:cNvPicPr/>
                  </pic:nvPicPr>
                  <pic:blipFill>
                    <a:blip r:embed="rId13"/>
                    <a:stretch>
                      <a:fillRect/>
                    </a:stretch>
                  </pic:blipFill>
                  <pic:spPr>
                    <a:xfrm>
                      <a:off x="0" y="0"/>
                      <a:ext cx="1485900" cy="317500"/>
                    </a:xfrm>
                    <a:prstGeom prst="rect">
                      <a:avLst/>
                    </a:prstGeom>
                  </pic:spPr>
                </pic:pic>
              </a:graphicData>
            </a:graphic>
          </wp:inline>
        </w:drawing>
      </w:r>
      <w:bookmarkEnd w:id="63"/>
    </w:p>
    <w:sectPr>
      <w:pgSz w:w="11906" w:h="16838"/>
      <w:pgMar w:top="1928" w:right="1134" w:bottom="1134" w:left="1134" w:header="1418" w:footer="1134" w:gutter="284"/>
      <w:pgNumType w:fmt="decimal"/>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C69C7">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1951B">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0B88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7399E">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52214">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FD42E">
    <w:pPr>
      <w:pStyle w:val="61"/>
      <w:rPr>
        <w:rFonts w:hint="eastAsia"/>
      </w:rPr>
    </w:pPr>
    <w:r>
      <w:fldChar w:fldCharType="begin"/>
    </w:r>
    <w:r>
      <w:instrText xml:space="preserve"> STYLEREF  标准文件_文件编号  \* MERGEFORMAT </w:instrText>
    </w:r>
    <w:r>
      <w:fldChar w:fldCharType="separate"/>
    </w:r>
    <w:r>
      <w:t>DB5104/T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0" w:hash="zZtL/l6K9iJSwDVxMh5GFtMoRws=" w:salt="u9z+azLfgG5TUc5fBWjFE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6E67F3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161"/>
    <w:rsid w:val="0015225F"/>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3A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234"/>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7150"/>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918"/>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973"/>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D9F"/>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DFC"/>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886"/>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16E"/>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858"/>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891"/>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4B7388"/>
    <w:rsid w:val="467F42DF"/>
    <w:rsid w:val="66E67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1">
    <w:name w:val="章标题"/>
    <w:next w:val="230"/>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32">
    <w:name w:val="附录表标题"/>
    <w:basedOn w:val="1"/>
    <w:next w:val="230"/>
    <w:qFormat/>
    <w:uiPriority w:val="0"/>
    <w:pPr>
      <w:tabs>
        <w:tab w:val="left" w:pos="180"/>
      </w:tabs>
      <w:spacing w:beforeLines="50" w:afterLines="50"/>
      <w:jc w:val="center"/>
    </w:pPr>
    <w:rPr>
      <w:rFonts w:ascii="黑体" w:eastAsia="黑体"/>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jpeg"/><Relationship Id="rId12" Type="http://schemas.openxmlformats.org/officeDocument/2006/relationships/image" Target="media/image1.tif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4A38090058141E5BCF867FEE79180DC"/>
        <w:style w:val=""/>
        <w:category>
          <w:name w:val="常规"/>
          <w:gallery w:val="placeholder"/>
        </w:category>
        <w:types>
          <w:type w:val="bbPlcHdr"/>
        </w:types>
        <w:behaviors>
          <w:behavior w:val="content"/>
        </w:behaviors>
        <w:description w:val=""/>
        <w:guid w:val="{3E435CD4-A942-486C-B99C-687EB01641D9}"/>
      </w:docPartPr>
      <w:docPartBody>
        <w:p w14:paraId="1D01473B">
          <w:pPr>
            <w:pStyle w:val="5"/>
          </w:pPr>
          <w:r>
            <w:rPr>
              <w:rStyle w:val="4"/>
              <w:rFonts w:hint="eastAsia"/>
            </w:rPr>
            <w:t>单击或点击此处输入文字。</w:t>
          </w:r>
        </w:p>
      </w:docPartBody>
    </w:docPart>
    <w:docPart>
      <w:docPartPr>
        <w:name w:val="83ACEA082902419DAEC754314F0D2502"/>
        <w:style w:val=""/>
        <w:category>
          <w:name w:val="常规"/>
          <w:gallery w:val="placeholder"/>
        </w:category>
        <w:types>
          <w:type w:val="bbPlcHdr"/>
        </w:types>
        <w:behaviors>
          <w:behavior w:val="content"/>
        </w:behaviors>
        <w:description w:val=""/>
        <w:guid w:val="{EAB02F69-0057-4016-B783-9EFBE6ED4674}"/>
      </w:docPartPr>
      <w:docPartBody>
        <w:p w14:paraId="7CBDB7E6">
          <w:pPr>
            <w:pStyle w:val="6"/>
          </w:pPr>
          <w:r>
            <w:rPr>
              <w:rStyle w:val="4"/>
              <w:rFonts w:hint="eastAsia"/>
            </w:rPr>
            <w:t>选择一项。</w:t>
          </w:r>
        </w:p>
      </w:docPartBody>
    </w:docPart>
    <w:docPart>
      <w:docPartPr>
        <w:name w:val="1300A4C75D794D6291D16A5282D6F457"/>
        <w:style w:val=""/>
        <w:category>
          <w:name w:val="常规"/>
          <w:gallery w:val="placeholder"/>
        </w:category>
        <w:types>
          <w:type w:val="bbPlcHdr"/>
        </w:types>
        <w:behaviors>
          <w:behavior w:val="content"/>
        </w:behaviors>
        <w:description w:val=""/>
        <w:guid w:val="{57C2592D-AC40-4B99-9ED8-C705F3CB6DF5}"/>
      </w:docPartPr>
      <w:docPartBody>
        <w:p w14:paraId="3BE3755D">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3D5"/>
    <w:rsid w:val="00F203D5"/>
    <w:rsid w:val="00F71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4A38090058141E5BCF867FEE79180D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83ACEA082902419DAEC754314F0D2502"/>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1300A4C75D794D6291D16A5282D6F457"/>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Pages>8</Pages>
  <Words>3802</Words>
  <Characters>4282</Characters>
  <Lines>4</Lines>
  <Paragraphs>1</Paragraphs>
  <TotalTime>1</TotalTime>
  <ScaleCrop>false</ScaleCrop>
  <LinksUpToDate>false</LinksUpToDate>
  <CharactersWithSpaces>4477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2026-03-17T02:12:00Z</dcterms:created>
  <dc:creator>亢多多-花愁零</dc:creator>
  <cp:lastModifiedBy>Administrator</cp:lastModifiedBy>
  <dcterms:modified xsi:type="dcterms:W3CDTF">2026-03-17T02:56:19Z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6DF844F0723344EBB064471FDA3941EC_11</vt:lpwstr>
  </property>
  <property fmtid="{D5CDD505-2E9C-101B-9397-08002B2CF9AE}" pid="15" name="KSOTemplateDocerSaveRecord">
    <vt:lpwstr>eyJoZGlkIjoiMDU3YmFhOGY0MTMwNzljNmUyNDRjNjQxMzgwNzNiODIifQ==</vt:lpwstr>
  </property>
  <property fmtid="{D5CDD505-2E9C-101B-9397-08002B2CF9AE}" pid="16" name="KSOProductBuildVer">
    <vt:lpwstr>2052-12.1.0.22529</vt:lpwstr>
  </property>
</Properties>
</file>