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E16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2C369F">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B653590">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5C8B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BF239C">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1249DD52">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EA2EE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A3BFBB">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5104</w:t>
            </w:r>
            <w:r>
              <w:fldChar w:fldCharType="end"/>
            </w:r>
            <w:bookmarkEnd w:id="3"/>
          </w:p>
        </w:tc>
      </w:tr>
    </w:tbl>
    <w:p w14:paraId="42B7AD63">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7CD4E07">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5104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2026</w:t>
      </w:r>
      <w:r>
        <w:fldChar w:fldCharType="end"/>
      </w:r>
      <w:bookmarkEnd w:id="7"/>
    </w:p>
    <w:p w14:paraId="48C95C63">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5202950">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1BBCD567">
      <w:pPr>
        <w:pStyle w:val="53"/>
        <w:framePr w:w="9639" w:h="6976" w:hRule="exact" w:hSpace="0" w:vSpace="0" w:wrap="around" w:hAnchor="page" w:y="6408"/>
        <w:jc w:val="center"/>
        <w:rPr>
          <w:rFonts w:ascii="黑体" w:hAnsi="黑体" w:eastAsia="黑体"/>
          <w:b w:val="0"/>
          <w:bCs w:val="0"/>
          <w:w w:val="100"/>
        </w:rPr>
      </w:pPr>
    </w:p>
    <w:p w14:paraId="5F0F5E22">
      <w:pPr>
        <w:pStyle w:val="200"/>
        <w:framePr w:h="6974" w:hRule="exact" w:wrap="around" w:x="1419" w:anchorLock="1"/>
        <w:jc w:val="both"/>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热带亚热带小水果采收、包装和贮运</w:t>
      </w:r>
      <w:r>
        <w:t>规程</w:t>
      </w:r>
      <w:r>
        <w:fldChar w:fldCharType="end"/>
      </w:r>
      <w:bookmarkEnd w:id="9"/>
    </w:p>
    <w:p w14:paraId="4E1C0A8E">
      <w:pPr>
        <w:framePr w:w="9639" w:h="6974" w:hRule="exact" w:wrap="around" w:vAnchor="page" w:hAnchor="page" w:x="1419" w:y="6408" w:anchorLock="1"/>
        <w:ind w:left="-1418"/>
      </w:pPr>
    </w:p>
    <w:p w14:paraId="710F7225">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52E7CF52">
      <w:pPr>
        <w:framePr w:w="9639" w:h="6974" w:hRule="exact" w:wrap="around" w:vAnchor="page" w:hAnchor="page" w:x="1419" w:y="6408" w:anchorLock="1"/>
        <w:spacing w:line="760" w:lineRule="exact"/>
        <w:ind w:left="-1418"/>
      </w:pPr>
    </w:p>
    <w:p w14:paraId="1CAC3C72">
      <w:pPr>
        <w:pStyle w:val="128"/>
        <w:framePr w:w="9639" w:h="6974" w:hRule="exact" w:wrap="around" w:vAnchor="page" w:hAnchor="page" w:x="1419" w:y="6408" w:anchorLock="1"/>
        <w:textAlignment w:val="bottom"/>
        <w:rPr>
          <w:rFonts w:eastAsia="黑体"/>
          <w:szCs w:val="28"/>
        </w:rPr>
      </w:pPr>
    </w:p>
    <w:p w14:paraId="67475D60">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39F21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7AE0EFD">
      <w:pPr>
        <w:pStyle w:val="128"/>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037A1E">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BE9245F">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DA472A9">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D7EB0E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1ECAE947">
      <w:pPr>
        <w:pStyle w:val="92"/>
        <w:spacing w:before="900" w:after="468"/>
      </w:pPr>
      <w:bookmarkStart w:id="21" w:name="BookMark2"/>
      <w:r>
        <w:rPr>
          <w:spacing w:val="320"/>
        </w:rPr>
        <w:t>前</w:t>
      </w:r>
      <w:r>
        <w:t>言</w:t>
      </w:r>
    </w:p>
    <w:p w14:paraId="1024BA77">
      <w:pPr>
        <w:pStyle w:val="59"/>
        <w:ind w:firstLine="420"/>
      </w:pPr>
      <w:r>
        <w:rPr>
          <w:rFonts w:hint="eastAsia"/>
        </w:rPr>
        <w:t>本文件按照GB/T 1.1—2020《标准化工作导则  第1部分：标准化文件的结构和起草规则》的规定起草。</w:t>
      </w:r>
    </w:p>
    <w:p w14:paraId="37B77CF2">
      <w:pPr>
        <w:pStyle w:val="59"/>
        <w:ind w:firstLine="420"/>
      </w:pPr>
      <w:r>
        <w:rPr>
          <w:rFonts w:hint="eastAsia"/>
        </w:rPr>
        <w:t>请注意本文件的某些内容可能涉及专利。本文件的发布机构不承担识别专利的责任。</w:t>
      </w:r>
    </w:p>
    <w:p w14:paraId="32AADA4A">
      <w:pPr>
        <w:pStyle w:val="59"/>
        <w:ind w:firstLine="420"/>
      </w:pPr>
      <w:bookmarkStart w:id="22" w:name="OLE_LINK3"/>
      <w:bookmarkStart w:id="23" w:name="OLE_LINK4"/>
      <w:r>
        <w:rPr>
          <w:rFonts w:hint="eastAsia"/>
        </w:rPr>
        <w:t>本文件由</w:t>
      </w:r>
      <w:bookmarkStart w:id="24" w:name="OLE_LINK6"/>
      <w:bookmarkStart w:id="25" w:name="OLE_LINK5"/>
      <w:r>
        <w:rPr>
          <w:rFonts w:hint="eastAsia" w:hAnsi="宋体"/>
          <w:szCs w:val="21"/>
        </w:rPr>
        <w:t>攀枝花市</w:t>
      </w:r>
      <w:bookmarkEnd w:id="22"/>
      <w:bookmarkEnd w:id="23"/>
      <w:r>
        <w:rPr>
          <w:rFonts w:hint="eastAsia" w:hAnsi="宋体"/>
          <w:szCs w:val="21"/>
        </w:rPr>
        <w:t>农林科学研究院</w:t>
      </w:r>
      <w:bookmarkEnd w:id="24"/>
      <w:bookmarkEnd w:id="25"/>
      <w:r>
        <w:rPr>
          <w:rFonts w:hint="eastAsia"/>
        </w:rPr>
        <w:t>提出</w:t>
      </w:r>
    </w:p>
    <w:p w14:paraId="1EEDD578">
      <w:pPr>
        <w:pStyle w:val="59"/>
        <w:ind w:firstLine="420"/>
      </w:pPr>
      <w:r>
        <w:rPr>
          <w:rFonts w:hint="eastAsia"/>
        </w:rPr>
        <w:t>本文件由</w:t>
      </w:r>
      <w:r>
        <w:rPr>
          <w:rFonts w:hint="eastAsia" w:hAnsi="宋体"/>
          <w:szCs w:val="21"/>
        </w:rPr>
        <w:t>攀枝花市农业农村局</w:t>
      </w:r>
      <w:r>
        <w:rPr>
          <w:rFonts w:hint="eastAsia"/>
        </w:rPr>
        <w:t>归口。</w:t>
      </w:r>
    </w:p>
    <w:p w14:paraId="42999607">
      <w:pPr>
        <w:pStyle w:val="59"/>
        <w:ind w:firstLine="420"/>
      </w:pPr>
      <w:r>
        <w:rPr>
          <w:rFonts w:hint="eastAsia"/>
        </w:rPr>
        <w:t>本文件起草单位：</w:t>
      </w:r>
      <w:r>
        <w:rPr>
          <w:rFonts w:hint="eastAsia" w:hAnsi="宋体"/>
          <w:szCs w:val="21"/>
        </w:rPr>
        <w:t>攀枝花市农林科学研究院</w:t>
      </w:r>
      <w:r>
        <w:rPr>
          <w:rFonts w:hint="eastAsia"/>
        </w:rPr>
        <w:t>。</w:t>
      </w:r>
    </w:p>
    <w:p w14:paraId="526B96A5">
      <w:pPr>
        <w:pStyle w:val="59"/>
        <w:ind w:firstLine="420"/>
      </w:pPr>
      <w:r>
        <w:rPr>
          <w:rFonts w:hint="eastAsia"/>
        </w:rPr>
        <w:t>本文件主要起草人：</w:t>
      </w:r>
      <w:r>
        <w:rPr>
          <w:rFonts w:hint="eastAsia" w:ascii="Times New Roman" w:cs="Times New Roman"/>
          <w:lang w:eastAsia="zh-CN"/>
        </w:rPr>
        <w:t>李进红、吴健华、李丽、张森、黄云、朱太富、罗照西、许家辉、唐莉静</w:t>
      </w:r>
      <w:r>
        <w:rPr>
          <w:rFonts w:hint="eastAsia"/>
        </w:rPr>
        <w:t>。</w:t>
      </w:r>
    </w:p>
    <w:p w14:paraId="663D824C">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09DF007">
      <w:pPr>
        <w:spacing w:line="20" w:lineRule="exact"/>
        <w:jc w:val="center"/>
        <w:rPr>
          <w:rFonts w:ascii="黑体" w:hAnsi="黑体" w:eastAsia="黑体"/>
          <w:sz w:val="32"/>
          <w:szCs w:val="32"/>
        </w:rPr>
      </w:pPr>
      <w:bookmarkStart w:id="26" w:name="BookMark4"/>
    </w:p>
    <w:p w14:paraId="33231CC3">
      <w:pPr>
        <w:spacing w:line="20" w:lineRule="exact"/>
        <w:jc w:val="center"/>
        <w:rPr>
          <w:rFonts w:ascii="黑体" w:hAnsi="黑体" w:eastAsia="黑体"/>
          <w:sz w:val="32"/>
          <w:szCs w:val="32"/>
        </w:rPr>
      </w:pPr>
    </w:p>
    <w:sdt>
      <w:sdtPr>
        <w:tag w:val="NEW_STAND_NAME"/>
        <w:id w:val="595910757"/>
        <w:lock w:val="sdtLocked"/>
        <w:placeholder>
          <w:docPart w:val="825E65F3B1F140B08A376520658E9AB0"/>
        </w:placeholder>
      </w:sdtPr>
      <w:sdtContent>
        <w:p w14:paraId="589562EE">
          <w:pPr>
            <w:pStyle w:val="180"/>
            <w:spacing w:beforeLines="1" w:afterLines="220"/>
          </w:pPr>
          <w:bookmarkStart w:id="27" w:name="NEW_STAND_NAME"/>
          <w:r>
            <w:rPr>
              <w:rFonts w:hint="eastAsia"/>
              <w:lang w:eastAsia="zh-CN"/>
            </w:rPr>
            <w:t>热带亚热带小水果采收、包装和贮运</w:t>
          </w:r>
          <w:r>
            <w:rPr>
              <w:rFonts w:hint="eastAsia"/>
            </w:rPr>
            <w:t>规程</w:t>
          </w:r>
        </w:p>
      </w:sdtContent>
    </w:sdt>
    <w:bookmarkEnd w:id="27"/>
    <w:p w14:paraId="4F53D623">
      <w:pPr>
        <w:pStyle w:val="107"/>
        <w:spacing w:before="312" w:after="312"/>
      </w:pPr>
      <w:bookmarkStart w:id="28" w:name="_Toc97191423"/>
      <w:bookmarkStart w:id="29" w:name="_Toc26986771"/>
      <w:bookmarkStart w:id="30" w:name="_Toc24884211"/>
      <w:bookmarkStart w:id="31" w:name="_Toc24884218"/>
      <w:bookmarkStart w:id="32" w:name="_Toc26648465"/>
      <w:bookmarkStart w:id="33" w:name="_Toc26986530"/>
      <w:bookmarkStart w:id="34" w:name="_Toc17233325"/>
      <w:bookmarkStart w:id="35" w:name="_Toc26718930"/>
      <w:bookmarkStart w:id="36" w:name="_Toc17233333"/>
      <w:r>
        <w:rPr>
          <w:rFonts w:hint="eastAsia"/>
        </w:rPr>
        <w:t>范围</w:t>
      </w:r>
      <w:bookmarkEnd w:id="28"/>
      <w:bookmarkEnd w:id="29"/>
      <w:bookmarkEnd w:id="30"/>
      <w:bookmarkEnd w:id="31"/>
      <w:bookmarkEnd w:id="32"/>
      <w:bookmarkEnd w:id="33"/>
      <w:bookmarkEnd w:id="34"/>
      <w:bookmarkEnd w:id="35"/>
      <w:bookmarkEnd w:id="36"/>
    </w:p>
    <w:p w14:paraId="6D010A18">
      <w:pPr>
        <w:pStyle w:val="59"/>
        <w:ind w:firstLine="420"/>
      </w:pPr>
      <w:bookmarkStart w:id="37" w:name="_Toc26648466"/>
      <w:bookmarkStart w:id="38" w:name="_Toc17233326"/>
      <w:bookmarkStart w:id="39" w:name="_Toc17233334"/>
      <w:bookmarkStart w:id="40" w:name="_Toc24884219"/>
      <w:bookmarkStart w:id="41" w:name="_Toc24884212"/>
      <w:r>
        <w:rPr>
          <w:rFonts w:hint="eastAsia"/>
        </w:rPr>
        <w:t>本文件</w:t>
      </w:r>
      <w:r>
        <w:rPr>
          <w:rFonts w:hint="eastAsia" w:ascii="Times New Roman" w:hAnsi="Times New Roman" w:cs="Times New Roman"/>
          <w:color w:val="auto"/>
          <w:highlight w:val="none"/>
        </w:rPr>
        <w:t>确立了攀枝花热带亚热带小水果采收、包装和贮运</w:t>
      </w:r>
      <w:r>
        <w:rPr>
          <w:rFonts w:hint="eastAsia" w:ascii="Times New Roman" w:cs="Times New Roman"/>
          <w:color w:val="auto"/>
          <w:highlight w:val="none"/>
          <w:lang w:eastAsia="zh-CN"/>
        </w:rPr>
        <w:t>程序，规定了</w:t>
      </w:r>
      <w:r>
        <w:rPr>
          <w:rFonts w:hint="eastAsia" w:ascii="Times New Roman" w:hAnsi="Times New Roman" w:cs="Times New Roman"/>
          <w:color w:val="auto"/>
          <w:highlight w:val="none"/>
        </w:rPr>
        <w:t>采收</w:t>
      </w:r>
      <w:r>
        <w:rPr>
          <w:rFonts w:hint="eastAsia" w:ascii="Times New Roman" w:cs="Times New Roman"/>
          <w:color w:val="auto"/>
          <w:highlight w:val="none"/>
          <w:lang w:eastAsia="zh-CN"/>
        </w:rPr>
        <w:t>要求</w:t>
      </w:r>
      <w:r>
        <w:rPr>
          <w:rFonts w:hint="eastAsia" w:ascii="Times New Roman" w:hAnsi="Times New Roman" w:cs="Times New Roman"/>
          <w:color w:val="auto"/>
          <w:highlight w:val="none"/>
        </w:rPr>
        <w:t>、采后处理、包装与标识、贮藏及运输</w:t>
      </w:r>
      <w:r>
        <w:rPr>
          <w:rFonts w:hint="eastAsia" w:ascii="Times New Roman" w:cs="Times New Roman"/>
          <w:color w:val="auto"/>
          <w:highlight w:val="none"/>
          <w:lang w:eastAsia="zh-CN"/>
        </w:rPr>
        <w:t>等阶段的操作指示，以及上述阶段之间的转换条件</w:t>
      </w:r>
      <w:r>
        <w:rPr>
          <w:rFonts w:hint="eastAsia"/>
        </w:rPr>
        <w:t>。</w:t>
      </w:r>
    </w:p>
    <w:p w14:paraId="44862DD9">
      <w:pPr>
        <w:pStyle w:val="59"/>
        <w:ind w:firstLine="420"/>
      </w:pPr>
      <w:r>
        <w:rPr>
          <w:rFonts w:hint="eastAsia"/>
        </w:rPr>
        <w:t>本文件</w:t>
      </w:r>
      <w:r>
        <w:rPr>
          <w:rFonts w:hint="eastAsia" w:ascii="Times New Roman" w:hAnsi="Times New Roman" w:cs="Times New Roman"/>
          <w:color w:val="auto"/>
          <w:highlight w:val="none"/>
        </w:rPr>
        <w:t>适用于攀枝花区域热带亚热带小水果</w:t>
      </w:r>
      <w:r>
        <w:rPr>
          <w:rFonts w:hint="eastAsia" w:ascii="Times New Roman" w:cs="Times New Roman"/>
          <w:color w:val="auto"/>
          <w:highlight w:val="none"/>
          <w:lang w:eastAsia="zh-CN"/>
        </w:rPr>
        <w:t>的</w:t>
      </w:r>
      <w:r>
        <w:rPr>
          <w:rFonts w:hint="eastAsia" w:ascii="Times New Roman" w:hAnsi="Times New Roman" w:cs="Times New Roman"/>
          <w:color w:val="auto"/>
          <w:highlight w:val="none"/>
        </w:rPr>
        <w:t>采收、包装和贮运</w:t>
      </w:r>
      <w:r>
        <w:rPr>
          <w:rFonts w:hint="eastAsia"/>
        </w:rPr>
        <w:t>。</w:t>
      </w:r>
    </w:p>
    <w:p w14:paraId="0B2EB138">
      <w:pPr>
        <w:pStyle w:val="107"/>
        <w:spacing w:before="312" w:after="312"/>
      </w:pPr>
      <w:bookmarkStart w:id="42" w:name="_Toc97191424"/>
      <w:bookmarkStart w:id="43" w:name="_Toc26986772"/>
      <w:bookmarkStart w:id="44" w:name="_Toc26986531"/>
      <w:bookmarkStart w:id="45" w:name="_Toc26718931"/>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0A1E8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41056F">
      <w:pPr>
        <w:pStyle w:val="59"/>
        <w:ind w:firstLine="420"/>
        <w:rPr>
          <w:rFonts w:hint="eastAsia" w:hAnsi="Times New Roman" w:cs="Times New Roman"/>
          <w:lang w:val="en-US" w:eastAsia="zh-CN"/>
        </w:rPr>
      </w:pPr>
      <w:bookmarkStart w:id="46" w:name="OLE_LINK18"/>
      <w:bookmarkStart w:id="47" w:name="OLE_LINK17"/>
      <w:r>
        <w:rPr>
          <w:rFonts w:hint="eastAsia" w:hAnsi="Times New Roman" w:cs="Times New Roman"/>
          <w:lang w:val="en-US" w:eastAsia="zh-CN"/>
        </w:rPr>
        <w:t>GB/T 6543-2025  运输包装用单瓦楞纸箱和双瓦楞纸箱</w:t>
      </w:r>
    </w:p>
    <w:p w14:paraId="7ED57A63">
      <w:pPr>
        <w:pStyle w:val="59"/>
        <w:ind w:firstLine="420"/>
        <w:rPr>
          <w:rFonts w:hint="eastAsia" w:hAnsi="Times New Roman" w:cs="Times New Roman"/>
          <w:lang w:val="en-US" w:eastAsia="zh-CN"/>
        </w:rPr>
      </w:pPr>
      <w:r>
        <w:rPr>
          <w:rFonts w:hint="eastAsia" w:hAnsi="Times New Roman" w:cs="Times New Roman"/>
          <w:lang w:val="en-US" w:eastAsia="zh-CN"/>
        </w:rPr>
        <w:t>NY/T 750-2020  绿色食品热带、亚热带水果</w:t>
      </w:r>
    </w:p>
    <w:p w14:paraId="21298427">
      <w:pPr>
        <w:pStyle w:val="59"/>
        <w:ind w:firstLine="420"/>
        <w:rPr>
          <w:rFonts w:hint="eastAsia" w:hAnsi="Times New Roman" w:cs="Times New Roman"/>
          <w:lang w:val="en-US" w:eastAsia="zh-CN"/>
        </w:rPr>
      </w:pPr>
      <w:r>
        <w:rPr>
          <w:rFonts w:hint="eastAsia" w:hAnsi="Times New Roman" w:cs="Times New Roman"/>
          <w:lang w:val="en-US" w:eastAsia="zh-CN"/>
        </w:rPr>
        <w:t>NY/T 1056-2021  绿色食品 贮藏运输准则</w:t>
      </w:r>
    </w:p>
    <w:p w14:paraId="5222170B">
      <w:pPr>
        <w:pStyle w:val="59"/>
        <w:ind w:firstLine="420"/>
        <w:rPr>
          <w:rFonts w:hint="eastAsia" w:hAnsi="Times New Roman" w:cs="Times New Roman"/>
          <w:lang w:val="en-US" w:eastAsia="zh-CN"/>
        </w:rPr>
      </w:pPr>
      <w:r>
        <w:rPr>
          <w:rFonts w:hint="eastAsia" w:hAnsi="Times New Roman" w:cs="Times New Roman"/>
          <w:lang w:val="en-US" w:eastAsia="zh-CN"/>
        </w:rPr>
        <w:t>NY/T 2637-2014 水果和蔬菜可溶性固形物含量的测定 折射仪法</w:t>
      </w:r>
    </w:p>
    <w:p w14:paraId="5DBEC3CB">
      <w:pPr>
        <w:pStyle w:val="59"/>
        <w:ind w:firstLine="420"/>
        <w:rPr>
          <w:rFonts w:hint="eastAsia" w:hAnsi="Times New Roman" w:cs="Times New Roman"/>
        </w:rPr>
      </w:pPr>
      <w:r>
        <w:rPr>
          <w:rFonts w:hint="eastAsia" w:hAnsi="Times New Roman" w:cs="Times New Roman"/>
          <w:lang w:val="en-US" w:eastAsia="zh-CN"/>
        </w:rPr>
        <w:t>NY/T 3911-2021  火龙果采收贮运技术规范</w:t>
      </w:r>
    </w:p>
    <w:bookmarkEnd w:id="46"/>
    <w:bookmarkEnd w:id="47"/>
    <w:p w14:paraId="5E711EAB">
      <w:pPr>
        <w:pStyle w:val="107"/>
        <w:spacing w:before="312" w:after="312"/>
      </w:pPr>
      <w:bookmarkStart w:id="48" w:name="_Toc97191425"/>
      <w:r>
        <w:rPr>
          <w:rFonts w:hint="eastAsia"/>
          <w:szCs w:val="21"/>
        </w:rPr>
        <w:t>术语和定义</w:t>
      </w:r>
      <w:bookmarkEnd w:id="48"/>
    </w:p>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314776">
          <w:pPr>
            <w:pStyle w:val="59"/>
            <w:ind w:firstLine="420"/>
          </w:pPr>
          <w:bookmarkStart w:id="49" w:name="_Toc26986532"/>
          <w:bookmarkEnd w:id="49"/>
          <w:r>
            <w:t>下列术语和定义适用于本文件。</w:t>
          </w:r>
        </w:p>
      </w:sdtContent>
    </w:sdt>
    <w:p w14:paraId="509CCF18">
      <w:pPr>
        <w:pStyle w:val="226"/>
        <w:ind w:left="420" w:hanging="420" w:hangingChars="200"/>
        <w:rPr>
          <w:rFonts w:ascii="黑体" w:hAnsi="黑体" w:eastAsia="黑体"/>
        </w:rPr>
      </w:pPr>
      <w:r>
        <w:rPr>
          <w:rFonts w:ascii="黑体" w:hAnsi="黑体" w:eastAsia="黑体"/>
        </w:rPr>
        <w:br w:type="textWrapping"/>
      </w:r>
      <w:r>
        <w:rPr>
          <w:rFonts w:hint="eastAsia" w:ascii="Times New Roman" w:eastAsia="黑体" w:cs="Times New Roman"/>
          <w:lang w:val="en-US" w:eastAsia="zh-CN"/>
        </w:rPr>
        <w:t xml:space="preserve">小水果  </w:t>
      </w:r>
      <w:r>
        <w:rPr>
          <w:rFonts w:hint="eastAsia" w:ascii="黑体" w:hAnsi="黑体" w:eastAsia="黑体" w:cs="黑体"/>
          <w:lang w:val="en-US" w:eastAsia="zh-CN"/>
        </w:rPr>
        <w:t>Specialty fruits</w:t>
      </w:r>
    </w:p>
    <w:p w14:paraId="09C1469D">
      <w:pPr>
        <w:pStyle w:val="59"/>
        <w:ind w:firstLine="420"/>
        <w:rPr>
          <w:rFonts w:hint="eastAsia" w:ascii="Times New Roman"/>
          <w:kern w:val="2"/>
          <w:szCs w:val="24"/>
        </w:rPr>
      </w:pPr>
      <w:r>
        <w:rPr>
          <w:rFonts w:hint="eastAsia" w:asciiTheme="majorEastAsia" w:hAnsiTheme="majorEastAsia" w:eastAsiaTheme="majorEastAsia" w:cstheme="majorEastAsia"/>
          <w:lang w:val="en-US" w:eastAsia="zh-CN"/>
        </w:rPr>
        <w:t>攀枝花地区除芒果以外的，具有一定种植面积的热带亚热带水果，例如：龙眼、荔枝、释迦果、火龙果、番石榴等</w:t>
      </w:r>
      <w:r>
        <w:rPr>
          <w:rFonts w:hint="eastAsia" w:ascii="Times New Roman"/>
          <w:kern w:val="2"/>
          <w:szCs w:val="24"/>
        </w:rPr>
        <w:t>。</w:t>
      </w:r>
    </w:p>
    <w:p w14:paraId="42354720">
      <w:pPr>
        <w:pStyle w:val="226"/>
        <w:ind w:left="420" w:hanging="420" w:hangingChars="200"/>
        <w:rPr>
          <w:rFonts w:hint="eastAsia" w:ascii="黑体" w:hAnsi="黑体" w:eastAsia="黑体" w:cs="Times New Roman"/>
        </w:rPr>
      </w:pPr>
    </w:p>
    <w:p w14:paraId="7DA2412A">
      <w:pPr>
        <w:pStyle w:val="59"/>
        <w:ind w:firstLine="420"/>
        <w:rPr>
          <w:rFonts w:hint="eastAsia" w:ascii="黑体" w:hAnsi="黑体" w:eastAsia="黑体" w:cs="黑体"/>
          <w:lang w:val="en-US" w:eastAsia="zh-CN"/>
        </w:rPr>
      </w:pPr>
      <w:r>
        <w:rPr>
          <w:rFonts w:hint="eastAsia" w:ascii="黑体" w:hAnsi="黑体" w:eastAsia="黑体" w:cs="黑体"/>
        </w:rPr>
        <w:t xml:space="preserve">裂果  </w:t>
      </w:r>
      <w:r>
        <w:rPr>
          <w:rFonts w:hint="eastAsia" w:ascii="黑体" w:hAnsi="黑体" w:eastAsia="黑体" w:cs="黑体"/>
          <w:lang w:val="en-US" w:eastAsia="zh-CN"/>
        </w:rPr>
        <w:t>cracking fruit</w:t>
      </w:r>
    </w:p>
    <w:p w14:paraId="72D21F15">
      <w:pPr>
        <w:pStyle w:val="59"/>
        <w:ind w:firstLine="420"/>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果皮开裂，露出果肉或流出果汁的果实。</w:t>
      </w:r>
    </w:p>
    <w:p w14:paraId="4CEBDBDC">
      <w:pPr>
        <w:pStyle w:val="226"/>
        <w:ind w:left="420" w:hanging="420" w:hangingChars="200"/>
        <w:rPr>
          <w:rFonts w:hint="eastAsia" w:ascii="黑体" w:hAnsi="黑体" w:eastAsia="黑体" w:cs="Times New Roman"/>
          <w:lang w:val="en-US" w:eastAsia="zh-CN"/>
        </w:rPr>
      </w:pPr>
    </w:p>
    <w:p w14:paraId="3CDA4CE8">
      <w:pPr>
        <w:pStyle w:val="226"/>
        <w:numPr>
          <w:numId w:val="0"/>
        </w:numPr>
        <w:ind w:leftChars="-200" w:firstLine="840" w:firstLineChars="400"/>
        <w:rPr>
          <w:rFonts w:hint="eastAsia" w:ascii="黑体" w:hAnsi="黑体" w:eastAsia="黑体" w:cs="Times New Roman"/>
        </w:rPr>
      </w:pPr>
      <w:r>
        <w:rPr>
          <w:rFonts w:hint="eastAsia" w:ascii="黑体" w:hAnsi="黑体" w:eastAsia="黑体" w:cs="Times New Roman"/>
        </w:rPr>
        <w:t xml:space="preserve">冷害  </w:t>
      </w:r>
      <w:r>
        <w:rPr>
          <w:rFonts w:hint="eastAsia" w:ascii="黑体" w:hAnsi="黑体" w:eastAsia="黑体" w:cs="Times New Roman"/>
          <w:lang w:val="en-US" w:eastAsia="zh-CN"/>
        </w:rPr>
        <w:t>cold injure</w:t>
      </w:r>
    </w:p>
    <w:p w14:paraId="15F50C0F">
      <w:pPr>
        <w:pStyle w:val="226"/>
        <w:numPr>
          <w:numId w:val="0"/>
        </w:numPr>
        <w:ind w:leftChars="-200" w:firstLine="840" w:firstLineChars="400"/>
        <w:rPr>
          <w:rFonts w:hint="eastAsia" w:ascii="黑体" w:hAnsi="黑体" w:eastAsia="黑体" w:cs="Times New Roman"/>
          <w:lang w:val="en-US" w:eastAsia="zh-CN"/>
        </w:rPr>
      </w:pPr>
      <w:r>
        <w:rPr>
          <w:rFonts w:hint="eastAsia" w:ascii="黑体" w:hAnsi="黑体" w:eastAsia="黑体" w:cs="Times New Roman"/>
          <w:lang w:val="en-US" w:eastAsia="zh-CN"/>
        </w:rPr>
        <w:t>低温引起的果实变黑、失水、变硬等生理伤害。</w:t>
      </w:r>
    </w:p>
    <w:p w14:paraId="576EFD88">
      <w:pPr>
        <w:pStyle w:val="226"/>
        <w:ind w:left="420" w:hanging="420" w:hangingChars="200"/>
        <w:rPr>
          <w:rFonts w:hint="eastAsia" w:ascii="黑体" w:hAnsi="黑体" w:eastAsia="黑体" w:cs="Times New Roman"/>
          <w:lang w:val="en-US" w:eastAsia="zh-CN"/>
        </w:rPr>
      </w:pPr>
    </w:p>
    <w:p w14:paraId="500EC983">
      <w:pPr>
        <w:pStyle w:val="226"/>
        <w:numPr>
          <w:numId w:val="0"/>
        </w:numPr>
        <w:ind w:leftChars="-200" w:firstLine="840" w:firstLineChars="400"/>
        <w:rPr>
          <w:rFonts w:hint="eastAsia" w:ascii="黑体" w:hAnsi="黑体" w:eastAsia="黑体" w:cs="Times New Roman"/>
        </w:rPr>
      </w:pPr>
      <w:r>
        <w:rPr>
          <w:rFonts w:hint="eastAsia" w:ascii="黑体" w:hAnsi="黑体" w:eastAsia="黑体" w:cs="Times New Roman"/>
        </w:rPr>
        <w:t>机械伤  Mechanical Wounding</w:t>
      </w:r>
    </w:p>
    <w:p w14:paraId="2AC58AF4">
      <w:pPr>
        <w:pStyle w:val="226"/>
        <w:numPr>
          <w:numId w:val="0"/>
        </w:numPr>
        <w:ind w:leftChars="-200" w:firstLine="840" w:firstLineChars="400"/>
        <w:rPr>
          <w:rFonts w:hint="eastAsia" w:ascii="黑体" w:hAnsi="黑体" w:eastAsia="黑体" w:cs="Times New Roman"/>
        </w:rPr>
      </w:pPr>
      <w:r>
        <w:rPr>
          <w:rFonts w:hint="eastAsia" w:ascii="黑体" w:hAnsi="黑体" w:eastAsia="黑体" w:cs="Times New Roman"/>
        </w:rPr>
        <w:t>因碰撞挤压引起的果皮破损或果肉褐变。</w:t>
      </w:r>
    </w:p>
    <w:p w14:paraId="5C84FF28">
      <w:pPr>
        <w:pStyle w:val="226"/>
        <w:ind w:left="420" w:hanging="420" w:hangingChars="200"/>
        <w:rPr>
          <w:rFonts w:hint="eastAsia" w:ascii="黑体" w:hAnsi="黑体" w:eastAsia="黑体" w:cs="Times New Roman"/>
          <w:lang w:val="en-US" w:eastAsia="zh-CN"/>
        </w:rPr>
      </w:pPr>
    </w:p>
    <w:p w14:paraId="6974108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黑体" w:hAnsi="黑体" w:eastAsia="黑体" w:cs="黑体"/>
        </w:rPr>
        <w:t>机械伤</w:t>
      </w:r>
      <w:r>
        <w:rPr>
          <w:rFonts w:hint="eastAsia"/>
        </w:rPr>
        <w:t xml:space="preserve">  </w:t>
      </w:r>
      <w:r>
        <w:rPr>
          <w:rFonts w:hint="eastAsia" w:ascii="黑体" w:hAnsi="黑体" w:eastAsia="黑体" w:cs="黑体"/>
        </w:rPr>
        <w:t>Mechanical Wounding</w:t>
      </w:r>
    </w:p>
    <w:p w14:paraId="740CF71E">
      <w:pPr>
        <w:pStyle w:val="59"/>
        <w:rPr>
          <w:rFonts w:hint="eastAsia"/>
        </w:rPr>
      </w:pPr>
      <w:r>
        <w:rPr>
          <w:rFonts w:hint="eastAsia"/>
        </w:rPr>
        <w:t>因碰撞挤压引起的果皮破损或果肉褐变。</w:t>
      </w:r>
    </w:p>
    <w:p w14:paraId="491423E4">
      <w:pPr>
        <w:pStyle w:val="226"/>
        <w:tabs>
          <w:tab w:val="left" w:pos="0"/>
        </w:tabs>
        <w:ind w:left="420" w:hanging="420" w:hangingChars="200"/>
        <w:rPr>
          <w:rFonts w:hint="eastAsia"/>
        </w:rPr>
      </w:pPr>
      <w:r>
        <w:rPr>
          <w:rFonts w:ascii="Times New Roman" w:hAnsi="Times New Roman" w:eastAsia="黑体" w:cs="Times New Roman"/>
        </w:rPr>
        <w:br w:type="textWrapping"/>
      </w:r>
      <w:r>
        <w:rPr>
          <w:rFonts w:hint="eastAsia" w:ascii="黑体" w:hAnsi="黑体" w:eastAsia="黑体" w:cs="黑体"/>
        </w:rPr>
        <w:t>斑痕</w:t>
      </w:r>
      <w:r>
        <w:rPr>
          <w:rFonts w:hint="eastAsia"/>
        </w:rPr>
        <w:t xml:space="preserve"> </w:t>
      </w:r>
      <w:r>
        <w:rPr>
          <w:rFonts w:hint="eastAsia" w:ascii="黑体" w:hAnsi="黑体" w:eastAsia="黑体" w:cs="黑体"/>
        </w:rPr>
        <w:t xml:space="preserve"> </w:t>
      </w:r>
      <w:r>
        <w:rPr>
          <w:rFonts w:hint="eastAsia" w:ascii="黑体" w:hAnsi="黑体" w:eastAsia="黑体" w:cs="黑体"/>
          <w:lang w:val="en-US" w:eastAsia="zh-CN"/>
        </w:rPr>
        <w:t>scar</w:t>
      </w:r>
    </w:p>
    <w:p w14:paraId="3BF54B22">
      <w:pPr>
        <w:pStyle w:val="226"/>
        <w:numPr>
          <w:numId w:val="0"/>
        </w:numPr>
        <w:ind w:leftChars="-200" w:firstLine="840" w:firstLineChars="4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因日灼、机械伤或病虫害愈合后遗留的痕迹。</w:t>
      </w:r>
    </w:p>
    <w:p w14:paraId="5C49390B">
      <w:pPr>
        <w:pStyle w:val="59"/>
        <w:rPr>
          <w:rFonts w:hint="eastAsia"/>
          <w:lang w:val="en-US" w:eastAsia="zh-CN"/>
        </w:rPr>
      </w:pPr>
    </w:p>
    <w:p w14:paraId="3404F399">
      <w:pPr>
        <w:pStyle w:val="107"/>
        <w:spacing w:before="312" w:beforeLines="0" w:after="312" w:afterLines="0"/>
      </w:pPr>
      <w:bookmarkStart w:id="50" w:name="_Toc990536775"/>
      <w:r>
        <w:rPr>
          <w:rFonts w:hint="eastAsia" w:ascii="黑体" w:hAnsi="黑体" w:eastAsia="黑体" w:cs="黑体"/>
        </w:rPr>
        <w:t>采收要求</w:t>
      </w:r>
      <w:bookmarkEnd w:id="50"/>
    </w:p>
    <w:p w14:paraId="7158FCB1">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Times New Roman" w:cs="Times New Roman"/>
          <w:color w:val="auto"/>
          <w:highlight w:val="none"/>
          <w:lang w:val="en-US" w:eastAsia="zh-CN"/>
        </w:rPr>
      </w:pPr>
      <w:bookmarkStart w:id="51" w:name="_Toc1916772093"/>
      <w:bookmarkStart w:id="52" w:name="_Toc1785657360"/>
      <w:r>
        <w:rPr>
          <w:rFonts w:hint="eastAsia" w:ascii="黑体" w:hAnsi="黑体" w:eastAsia="黑体" w:cs="黑体"/>
          <w:lang w:eastAsia="zh-CN"/>
        </w:rPr>
        <w:t>采收</w:t>
      </w:r>
      <w:r>
        <w:rPr>
          <w:rFonts w:hint="eastAsia" w:ascii="黑体" w:hAnsi="黑体" w:eastAsia="黑体" w:cs="黑体"/>
        </w:rPr>
        <w:t>成熟度判定</w:t>
      </w:r>
      <w:bookmarkEnd w:id="51"/>
      <w:r>
        <w:rPr>
          <w:rFonts w:hint="eastAsia" w:hAnsi="黑体" w:cs="黑体"/>
          <w:lang w:eastAsia="zh-CN"/>
        </w:rPr>
        <w:t>标准</w:t>
      </w:r>
      <w:bookmarkEnd w:id="52"/>
    </w:p>
    <w:p w14:paraId="19326E4F">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表</w:t>
      </w:r>
      <w:r>
        <w:rPr>
          <w:rFonts w:hint="eastAsia" w:asciiTheme="minorEastAsia" w:hAnsiTheme="minorEastAsia" w:eastAsiaTheme="minorEastAsia" w:cstheme="minorEastAsia"/>
          <w:lang w:val="en-US" w:eastAsia="zh-CN"/>
        </w:rPr>
        <w:t>1 采收成熟度的判定标准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3508"/>
        <w:gridCol w:w="3592"/>
      </w:tblGrid>
      <w:tr w14:paraId="74E8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422" w:type="dxa"/>
            <w:noWrap w:val="0"/>
            <w:vAlign w:val="center"/>
          </w:tcPr>
          <w:p w14:paraId="40949114">
            <w:pPr>
              <w:jc w:val="both"/>
              <w:rPr>
                <w:rFonts w:hint="eastAsia" w:ascii="宋体" w:hAnsi="宋体" w:eastAsia="宋体" w:cs="宋体"/>
                <w:sz w:val="18"/>
                <w:szCs w:val="18"/>
                <w:vertAlign w:val="baseline"/>
                <w:lang w:eastAsia="zh-CN"/>
              </w:rPr>
            </w:pPr>
            <w:r>
              <w:rPr>
                <w:rFonts w:hint="eastAsia" w:ascii="宋体" w:hAnsi="宋体" w:eastAsia="宋体" w:cs="宋体"/>
                <w:sz w:val="18"/>
                <w:szCs w:val="18"/>
              </w:rPr>
              <w:t>水果</w:t>
            </w:r>
            <w:r>
              <w:rPr>
                <w:rFonts w:hint="eastAsia" w:ascii="宋体" w:hAnsi="宋体" w:eastAsia="宋体" w:cs="宋体"/>
                <w:sz w:val="18"/>
                <w:szCs w:val="18"/>
                <w:lang w:eastAsia="zh-CN"/>
              </w:rPr>
              <w:t>名称</w:t>
            </w:r>
          </w:p>
        </w:tc>
        <w:tc>
          <w:tcPr>
            <w:tcW w:w="3508" w:type="dxa"/>
            <w:noWrap w:val="0"/>
            <w:vAlign w:val="center"/>
          </w:tcPr>
          <w:p w14:paraId="79654C7D">
            <w:pPr>
              <w:jc w:val="both"/>
              <w:rPr>
                <w:rFonts w:hint="eastAsia" w:ascii="宋体" w:hAnsi="宋体" w:eastAsia="宋体" w:cs="宋体"/>
                <w:sz w:val="18"/>
                <w:szCs w:val="18"/>
                <w:vertAlign w:val="baseline"/>
              </w:rPr>
            </w:pPr>
            <w:r>
              <w:rPr>
                <w:rFonts w:hint="eastAsia" w:ascii="宋体" w:hAnsi="宋体" w:eastAsia="宋体" w:cs="宋体"/>
                <w:sz w:val="18"/>
                <w:szCs w:val="18"/>
              </w:rPr>
              <w:t>核心指标</w:t>
            </w:r>
          </w:p>
        </w:tc>
        <w:tc>
          <w:tcPr>
            <w:tcW w:w="3592" w:type="dxa"/>
            <w:noWrap w:val="0"/>
            <w:vAlign w:val="center"/>
          </w:tcPr>
          <w:p w14:paraId="7111DD39">
            <w:pPr>
              <w:jc w:val="both"/>
              <w:rPr>
                <w:rFonts w:hint="eastAsia" w:ascii="宋体" w:hAnsi="宋体" w:eastAsia="宋体" w:cs="宋体"/>
                <w:sz w:val="18"/>
                <w:szCs w:val="18"/>
                <w:vertAlign w:val="baseline"/>
              </w:rPr>
            </w:pPr>
            <w:r>
              <w:rPr>
                <w:rFonts w:hint="eastAsia" w:ascii="宋体" w:hAnsi="宋体" w:eastAsia="宋体" w:cs="宋体"/>
                <w:sz w:val="18"/>
                <w:szCs w:val="18"/>
              </w:rPr>
              <w:t>辅助特征</w:t>
            </w:r>
          </w:p>
        </w:tc>
      </w:tr>
      <w:tr w14:paraId="33DD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422" w:type="dxa"/>
            <w:noWrap w:val="0"/>
            <w:vAlign w:val="center"/>
          </w:tcPr>
          <w:p w14:paraId="798F9177">
            <w:pPr>
              <w:jc w:val="both"/>
              <w:rPr>
                <w:rFonts w:hint="eastAsia" w:ascii="宋体" w:hAnsi="宋体" w:eastAsia="宋体" w:cs="宋体"/>
                <w:sz w:val="18"/>
                <w:szCs w:val="18"/>
                <w:vertAlign w:val="baseline"/>
              </w:rPr>
            </w:pPr>
            <w:r>
              <w:rPr>
                <w:rFonts w:hint="eastAsia" w:ascii="宋体" w:hAnsi="宋体" w:eastAsia="宋体" w:cs="宋体"/>
                <w:sz w:val="18"/>
                <w:szCs w:val="18"/>
              </w:rPr>
              <w:t>荔枝</w:t>
            </w:r>
          </w:p>
        </w:tc>
        <w:tc>
          <w:tcPr>
            <w:tcW w:w="3508" w:type="dxa"/>
            <w:noWrap w:val="0"/>
            <w:vAlign w:val="center"/>
          </w:tcPr>
          <w:p w14:paraId="0F9D3873">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lang w:eastAsia="zh-CN"/>
              </w:rPr>
              <w:t>具备本身特有的品种风味</w:t>
            </w:r>
            <w:r>
              <w:rPr>
                <w:rFonts w:hint="eastAsia" w:ascii="宋体" w:hAnsi="宋体" w:eastAsia="宋体" w:cs="宋体"/>
                <w:color w:val="auto"/>
                <w:sz w:val="18"/>
                <w:szCs w:val="18"/>
              </w:rPr>
              <w:t>，TSS≥1</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rPr>
              <w:t>%</w:t>
            </w:r>
          </w:p>
        </w:tc>
        <w:tc>
          <w:tcPr>
            <w:tcW w:w="3592" w:type="dxa"/>
            <w:noWrap w:val="0"/>
            <w:vAlign w:val="center"/>
          </w:tcPr>
          <w:p w14:paraId="5CE8A614">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rPr>
              <w:t>外观上全果外皮色泽鲜红而未转紫色，内果皮未转红色，种子褐色</w:t>
            </w:r>
          </w:p>
        </w:tc>
      </w:tr>
      <w:tr w14:paraId="6F12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422" w:type="dxa"/>
            <w:noWrap w:val="0"/>
            <w:vAlign w:val="center"/>
          </w:tcPr>
          <w:p w14:paraId="0CF211CC">
            <w:pPr>
              <w:jc w:val="both"/>
              <w:rPr>
                <w:rFonts w:hint="eastAsia" w:ascii="宋体" w:hAnsi="宋体" w:eastAsia="宋体" w:cs="宋体"/>
                <w:sz w:val="18"/>
                <w:szCs w:val="18"/>
                <w:vertAlign w:val="baseline"/>
              </w:rPr>
            </w:pPr>
            <w:r>
              <w:rPr>
                <w:rFonts w:hint="eastAsia" w:ascii="宋体" w:hAnsi="宋体" w:eastAsia="宋体" w:cs="宋体"/>
                <w:sz w:val="18"/>
                <w:szCs w:val="18"/>
              </w:rPr>
              <w:t>龙眼</w:t>
            </w:r>
          </w:p>
        </w:tc>
        <w:tc>
          <w:tcPr>
            <w:tcW w:w="3508" w:type="dxa"/>
            <w:noWrap w:val="0"/>
            <w:vAlign w:val="center"/>
          </w:tcPr>
          <w:p w14:paraId="3E441EE5">
            <w:pPr>
              <w:jc w:val="both"/>
              <w:rPr>
                <w:rFonts w:hint="eastAsia" w:ascii="宋体" w:hAnsi="宋体" w:eastAsia="宋体" w:cs="宋体"/>
                <w:sz w:val="18"/>
                <w:szCs w:val="18"/>
                <w:vertAlign w:val="baseline"/>
              </w:rPr>
            </w:pPr>
            <w:r>
              <w:rPr>
                <w:rFonts w:hint="eastAsia" w:ascii="宋体" w:hAnsi="宋体" w:eastAsia="宋体" w:cs="宋体"/>
                <w:sz w:val="18"/>
                <w:szCs w:val="18"/>
              </w:rPr>
              <w:t>果皮由青绿转黄褐</w:t>
            </w:r>
            <w:r>
              <w:rPr>
                <w:rFonts w:hint="eastAsia" w:ascii="宋体" w:hAnsi="宋体" w:eastAsia="宋体" w:cs="宋体"/>
                <w:sz w:val="18"/>
                <w:szCs w:val="18"/>
                <w:lang w:eastAsia="zh-CN"/>
              </w:rPr>
              <w:t>，</w:t>
            </w:r>
            <w:r>
              <w:rPr>
                <w:rFonts w:hint="eastAsia" w:ascii="宋体" w:hAnsi="宋体" w:eastAsia="宋体" w:cs="宋体"/>
                <w:sz w:val="18"/>
                <w:szCs w:val="18"/>
              </w:rPr>
              <w:t>TSS≥18%</w:t>
            </w:r>
          </w:p>
        </w:tc>
        <w:tc>
          <w:tcPr>
            <w:tcW w:w="3592" w:type="dxa"/>
            <w:noWrap w:val="0"/>
            <w:vAlign w:val="center"/>
          </w:tcPr>
          <w:p w14:paraId="5ABC814A">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rPr>
              <w:t>果实饱满具弹性,果壳表面鳞纹大部分消失而种脐尚未隆起</w:t>
            </w:r>
          </w:p>
        </w:tc>
      </w:tr>
      <w:tr w14:paraId="6F1B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2" w:type="dxa"/>
            <w:noWrap w:val="0"/>
            <w:vAlign w:val="center"/>
          </w:tcPr>
          <w:p w14:paraId="175B1920">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rPr>
              <w:t>释迦果</w:t>
            </w:r>
          </w:p>
        </w:tc>
        <w:tc>
          <w:tcPr>
            <w:tcW w:w="3508" w:type="dxa"/>
            <w:noWrap w:val="0"/>
            <w:vAlign w:val="center"/>
          </w:tcPr>
          <w:p w14:paraId="592AD510">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rPr>
              <w:t>果皮颜色由深绿转为淡绿色</w:t>
            </w:r>
            <w:r>
              <w:rPr>
                <w:rFonts w:hint="eastAsia" w:ascii="宋体" w:hAnsi="宋体" w:eastAsia="宋体" w:cs="宋体"/>
                <w:color w:val="auto"/>
                <w:sz w:val="18"/>
                <w:szCs w:val="18"/>
                <w:lang w:eastAsia="zh-CN"/>
              </w:rPr>
              <w:t>，或者由淡绿色变成黄绿色，</w:t>
            </w:r>
            <w:r>
              <w:rPr>
                <w:rFonts w:hint="eastAsia" w:ascii="宋体" w:hAnsi="宋体" w:eastAsia="宋体" w:cs="宋体"/>
                <w:color w:val="auto"/>
                <w:sz w:val="18"/>
                <w:szCs w:val="18"/>
              </w:rPr>
              <w:t>TSS≥</w:t>
            </w:r>
            <w:r>
              <w:rPr>
                <w:rFonts w:hint="eastAsia" w:ascii="宋体" w:hAnsi="宋体" w:eastAsia="宋体" w:cs="宋体"/>
                <w:color w:val="auto"/>
                <w:sz w:val="18"/>
                <w:szCs w:val="18"/>
                <w:lang w:val="en-US" w:eastAsia="zh-CN"/>
              </w:rPr>
              <w:t>16</w:t>
            </w:r>
            <w:r>
              <w:rPr>
                <w:rFonts w:hint="eastAsia" w:ascii="宋体" w:hAnsi="宋体" w:eastAsia="宋体" w:cs="宋体"/>
                <w:color w:val="auto"/>
                <w:sz w:val="18"/>
                <w:szCs w:val="18"/>
              </w:rPr>
              <w:t>%</w:t>
            </w:r>
          </w:p>
        </w:tc>
        <w:tc>
          <w:tcPr>
            <w:tcW w:w="3592" w:type="dxa"/>
            <w:noWrap w:val="0"/>
            <w:vAlign w:val="center"/>
          </w:tcPr>
          <w:p w14:paraId="3F6A93BC">
            <w:pPr>
              <w:jc w:val="both"/>
              <w:rPr>
                <w:rFonts w:hint="eastAsia" w:ascii="宋体" w:hAnsi="宋体" w:eastAsia="宋体" w:cs="宋体"/>
                <w:color w:val="auto"/>
                <w:sz w:val="18"/>
                <w:szCs w:val="18"/>
                <w:vertAlign w:val="baseline"/>
              </w:rPr>
            </w:pPr>
            <w:r>
              <w:rPr>
                <w:rFonts w:hint="eastAsia" w:ascii="宋体" w:hAnsi="宋体" w:eastAsia="宋体" w:cs="宋体"/>
                <w:color w:val="auto"/>
                <w:sz w:val="18"/>
                <w:szCs w:val="18"/>
              </w:rPr>
              <w:t>鳞目</w:t>
            </w:r>
            <w:r>
              <w:rPr>
                <w:rFonts w:hint="eastAsia" w:ascii="宋体" w:hAnsi="宋体" w:eastAsia="宋体" w:cs="宋体"/>
                <w:color w:val="auto"/>
                <w:sz w:val="18"/>
                <w:szCs w:val="18"/>
                <w:lang w:eastAsia="zh-CN"/>
              </w:rPr>
              <w:t>凸起或者明显，</w:t>
            </w:r>
            <w:r>
              <w:rPr>
                <w:rFonts w:hint="eastAsia" w:ascii="宋体" w:hAnsi="宋体" w:eastAsia="宋体" w:cs="宋体"/>
                <w:color w:val="auto"/>
                <w:sz w:val="18"/>
                <w:szCs w:val="18"/>
              </w:rPr>
              <w:t>鳞沟</w:t>
            </w:r>
            <w:r>
              <w:rPr>
                <w:rFonts w:hint="eastAsia" w:ascii="宋体" w:hAnsi="宋体" w:eastAsia="宋体" w:cs="宋体"/>
                <w:color w:val="auto"/>
                <w:sz w:val="18"/>
                <w:szCs w:val="18"/>
                <w:lang w:eastAsia="zh-CN"/>
              </w:rPr>
              <w:t>不明显</w:t>
            </w:r>
          </w:p>
        </w:tc>
      </w:tr>
      <w:tr w14:paraId="2348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22" w:type="dxa"/>
            <w:noWrap w:val="0"/>
            <w:vAlign w:val="center"/>
          </w:tcPr>
          <w:p w14:paraId="41FEB89D">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火龙果 </w:t>
            </w:r>
          </w:p>
        </w:tc>
        <w:tc>
          <w:tcPr>
            <w:tcW w:w="3508" w:type="dxa"/>
            <w:noWrap w:val="0"/>
            <w:vAlign w:val="center"/>
          </w:tcPr>
          <w:p w14:paraId="79033ECC">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鳞片转枯≥85%，TSS≥12% </w:t>
            </w:r>
          </w:p>
        </w:tc>
        <w:tc>
          <w:tcPr>
            <w:tcW w:w="3592" w:type="dxa"/>
            <w:noWrap w:val="0"/>
            <w:vAlign w:val="center"/>
          </w:tcPr>
          <w:p w14:paraId="76CB2C44">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果皮艳红，无青斑 </w:t>
            </w:r>
          </w:p>
        </w:tc>
      </w:tr>
      <w:tr w14:paraId="07B7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2" w:type="dxa"/>
            <w:noWrap w:val="0"/>
            <w:vAlign w:val="center"/>
          </w:tcPr>
          <w:p w14:paraId="4646A35D">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番石榴 </w:t>
            </w:r>
          </w:p>
        </w:tc>
        <w:tc>
          <w:tcPr>
            <w:tcW w:w="3508" w:type="dxa"/>
            <w:noWrap w:val="0"/>
            <w:vAlign w:val="center"/>
          </w:tcPr>
          <w:p w14:paraId="6677BC58">
            <w:pPr>
              <w:jc w:val="both"/>
              <w:rPr>
                <w:rFonts w:hint="eastAsia" w:ascii="宋体" w:hAnsi="宋体" w:eastAsia="宋体" w:cs="宋体"/>
                <w:sz w:val="18"/>
                <w:szCs w:val="18"/>
                <w:vertAlign w:val="baseline"/>
              </w:rPr>
            </w:pPr>
            <w:r>
              <w:rPr>
                <w:rFonts w:hint="eastAsia" w:ascii="宋体" w:hAnsi="宋体" w:eastAsia="宋体" w:cs="宋体"/>
                <w:sz w:val="18"/>
                <w:szCs w:val="18"/>
              </w:rPr>
              <w:t>表皮颜色通常为红色或黄色，TSS≥10%</w:t>
            </w:r>
          </w:p>
        </w:tc>
        <w:tc>
          <w:tcPr>
            <w:tcW w:w="3592" w:type="dxa"/>
            <w:noWrap w:val="0"/>
            <w:vAlign w:val="center"/>
          </w:tcPr>
          <w:p w14:paraId="7EF9E05F">
            <w:pPr>
              <w:jc w:val="both"/>
              <w:rPr>
                <w:rFonts w:hint="eastAsia" w:ascii="宋体" w:hAnsi="宋体" w:eastAsia="宋体" w:cs="宋体"/>
                <w:sz w:val="18"/>
                <w:szCs w:val="18"/>
                <w:vertAlign w:val="baseline"/>
              </w:rPr>
            </w:pPr>
            <w:r>
              <w:rPr>
                <w:rFonts w:hint="eastAsia" w:ascii="宋体" w:hAnsi="宋体" w:eastAsia="宋体" w:cs="宋体"/>
                <w:sz w:val="18"/>
                <w:szCs w:val="18"/>
              </w:rPr>
              <w:t>香气浓郁，</w:t>
            </w:r>
            <w:r>
              <w:rPr>
                <w:rFonts w:hint="eastAsia" w:ascii="宋体" w:hAnsi="宋体" w:eastAsia="宋体" w:cs="宋体"/>
                <w:sz w:val="18"/>
                <w:szCs w:val="18"/>
                <w:lang w:val="en-US" w:eastAsia="zh-CN"/>
              </w:rPr>
              <w:t>按压时有一定的弹性，</w:t>
            </w:r>
            <w:r>
              <w:rPr>
                <w:rFonts w:hint="eastAsia" w:ascii="宋体" w:hAnsi="宋体" w:eastAsia="宋体" w:cs="宋体"/>
                <w:sz w:val="18"/>
                <w:szCs w:val="18"/>
              </w:rPr>
              <w:t>果肉软硬适中</w:t>
            </w:r>
          </w:p>
        </w:tc>
      </w:tr>
    </w:tbl>
    <w:p w14:paraId="03D820FB">
      <w:pPr>
        <w:pStyle w:val="59"/>
        <w:ind w:left="0" w:leftChars="0" w:firstLine="0" w:firstLineChars="0"/>
        <w:rPr>
          <w:rFonts w:hint="eastAsia" w:ascii="Times New Roman" w:cs="Times New Roman"/>
          <w:color w:val="auto"/>
          <w:highlight w:val="none"/>
          <w:lang w:val="en-US" w:eastAsia="zh-CN"/>
        </w:rPr>
      </w:pPr>
    </w:p>
    <w:p w14:paraId="21C19AE0">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rPr>
      </w:pPr>
      <w:bookmarkStart w:id="53" w:name="_Toc1237385362"/>
      <w:bookmarkStart w:id="54" w:name="_Toc822444170"/>
      <w:r>
        <w:rPr>
          <w:rFonts w:hint="eastAsia" w:ascii="黑体" w:hAnsi="黑体" w:eastAsia="黑体" w:cs="黑体"/>
        </w:rPr>
        <w:t>采收</w:t>
      </w:r>
      <w:bookmarkEnd w:id="53"/>
      <w:r>
        <w:rPr>
          <w:rFonts w:hint="eastAsia" w:hAnsi="黑体" w:cs="黑体"/>
          <w:lang w:eastAsia="zh-CN"/>
        </w:rPr>
        <w:t>成熟度及采收时间</w:t>
      </w:r>
      <w:bookmarkEnd w:id="54"/>
    </w:p>
    <w:p w14:paraId="058221B6">
      <w:pPr>
        <w:pStyle w:val="68"/>
        <w:spacing w:before="156" w:after="156"/>
        <w:rPr>
          <w:rFonts w:hint="eastAsia" w:ascii="宋体" w:hAnsi="宋体" w:eastAsia="宋体" w:cs="宋体"/>
          <w:lang w:val="en-US" w:eastAsia="zh-CN"/>
        </w:rPr>
      </w:pPr>
      <w:bookmarkStart w:id="55" w:name="_Toc437215755"/>
      <w:bookmarkStart w:id="56" w:name="_Toc478779079"/>
      <w:r>
        <w:rPr>
          <w:rFonts w:hint="eastAsia" w:ascii="宋体" w:hAnsi="宋体" w:eastAsia="宋体" w:cs="宋体"/>
          <w:lang w:eastAsia="zh-CN"/>
        </w:rPr>
        <w:t>采收成熟度</w:t>
      </w:r>
      <w:r>
        <w:rPr>
          <w:rFonts w:hint="eastAsia" w:ascii="宋体" w:hAnsi="宋体" w:eastAsia="宋体" w:cs="宋体"/>
        </w:rPr>
        <w:t>：</w:t>
      </w:r>
      <w:bookmarkEnd w:id="55"/>
      <w:r>
        <w:rPr>
          <w:rFonts w:hint="eastAsia" w:ascii="宋体" w:hAnsi="宋体" w:eastAsia="宋体" w:cs="宋体"/>
          <w:lang w:eastAsia="zh-CN"/>
        </w:rPr>
        <w:t>约</w:t>
      </w:r>
      <w:r>
        <w:rPr>
          <w:rFonts w:hint="eastAsia" w:ascii="宋体" w:hAnsi="宋体" w:eastAsia="宋体" w:cs="宋体"/>
          <w:lang w:val="en-US" w:eastAsia="zh-CN"/>
        </w:rPr>
        <w:t>8~9成熟适宜采收。</w:t>
      </w:r>
      <w:bookmarkEnd w:id="56"/>
    </w:p>
    <w:p w14:paraId="745F96CC">
      <w:pPr>
        <w:pStyle w:val="68"/>
        <w:spacing w:before="156" w:after="156"/>
        <w:rPr>
          <w:rFonts w:hint="eastAsia" w:ascii="宋体" w:hAnsi="宋体" w:eastAsia="宋体" w:cs="宋体"/>
          <w:lang w:val="en-US" w:eastAsia="zh-CN"/>
        </w:rPr>
      </w:pPr>
      <w:r>
        <w:rPr>
          <w:rFonts w:hint="eastAsia" w:ascii="宋体" w:hAnsi="宋体" w:eastAsia="宋体" w:cs="宋体"/>
          <w:lang w:val="en-US" w:eastAsia="zh-CN"/>
        </w:rPr>
        <w:t>采收时间：晴天或阴天，上午露水干后采收，避开雨天及高温时段。</w:t>
      </w:r>
    </w:p>
    <w:p w14:paraId="757F0225">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ascii="Times New Roman" w:hAnsi="Times New Roman" w:cs="Times New Roman"/>
        </w:rPr>
      </w:pPr>
      <w:bookmarkStart w:id="57" w:name="_Toc833640814"/>
      <w:bookmarkStart w:id="58" w:name="_Toc1853038790"/>
      <w:r>
        <w:rPr>
          <w:rFonts w:hint="eastAsia" w:ascii="黑体" w:hAnsi="黑体" w:eastAsia="黑体" w:cs="黑体"/>
        </w:rPr>
        <w:t>采收工具与</w:t>
      </w:r>
      <w:bookmarkEnd w:id="57"/>
      <w:r>
        <w:rPr>
          <w:rFonts w:hint="eastAsia" w:hAnsi="黑体" w:cs="黑体"/>
          <w:lang w:eastAsia="zh-CN"/>
        </w:rPr>
        <w:t>采收方法</w:t>
      </w:r>
      <w:bookmarkEnd w:id="58"/>
    </w:p>
    <w:p w14:paraId="6F01CAFE">
      <w:pPr>
        <w:pStyle w:val="68"/>
        <w:spacing w:before="156" w:after="156"/>
        <w:rPr>
          <w:rFonts w:hint="eastAsia"/>
          <w:lang w:val="en" w:eastAsia="zh-CN"/>
        </w:rPr>
      </w:pPr>
      <w:r>
        <w:rPr>
          <w:rFonts w:hint="eastAsia"/>
          <w:lang w:val="en" w:eastAsia="zh-CN"/>
        </w:rPr>
        <w:t>工具要求</w:t>
      </w:r>
    </w:p>
    <w:p w14:paraId="7D0460CA">
      <w:pPr>
        <w:ind w:firstLine="420" w:firstLineChars="200"/>
        <w:rPr>
          <w:rFonts w:hint="eastAsia" w:asciiTheme="majorEastAsia" w:hAnsiTheme="majorEastAsia" w:eastAsiaTheme="majorEastAsia" w:cstheme="majorEastAsia"/>
          <w:kern w:val="0"/>
          <w:sz w:val="21"/>
          <w:szCs w:val="20"/>
          <w:lang w:val="en-US" w:eastAsia="zh-CN" w:bidi="ar-SA"/>
        </w:rPr>
      </w:pPr>
      <w:r>
        <w:rPr>
          <w:rFonts w:hint="eastAsia" w:asciiTheme="majorEastAsia" w:hAnsiTheme="majorEastAsia" w:eastAsiaTheme="majorEastAsia" w:cstheme="majorEastAsia"/>
          <w:kern w:val="0"/>
          <w:sz w:val="21"/>
          <w:szCs w:val="20"/>
          <w:lang w:val="en" w:eastAsia="zh-CN" w:bidi="ar-SA"/>
        </w:rPr>
        <w:t>使用不锈钢果剪（刀口消毒处理，75%酒精擦拭）。采果容器采用塑料筐或竹筐（内衬软质海绵或棉布，高度≤40 cm，单层堆放）。</w:t>
      </w:r>
    </w:p>
    <w:p w14:paraId="1CDAC792">
      <w:pPr>
        <w:pStyle w:val="68"/>
        <w:spacing w:before="156" w:after="156"/>
        <w:rPr>
          <w:rFonts w:hint="eastAsia" w:hAnsi="Times New Roman" w:cs="Times New Roman"/>
          <w:lang w:val="en" w:eastAsia="zh-CN"/>
        </w:rPr>
      </w:pPr>
      <w:r>
        <w:rPr>
          <w:rFonts w:hint="eastAsia" w:hAnsi="Times New Roman" w:cs="Times New Roman"/>
          <w:lang w:val="en-US" w:eastAsia="zh-CN"/>
        </w:rPr>
        <w:t>采收方法</w:t>
      </w:r>
    </w:p>
    <w:p w14:paraId="2DF6FC5C">
      <w:pPr>
        <w:pStyle w:val="167"/>
        <w:ind w:left="0"/>
        <w:rPr>
          <w:rFonts w:hint="eastAsia"/>
          <w:lang w:eastAsia="zh-CN"/>
        </w:rPr>
      </w:pPr>
      <w:r>
        <w:rPr>
          <w:rFonts w:hint="eastAsia"/>
          <w:lang w:val="en-US" w:eastAsia="zh-CN"/>
        </w:rPr>
        <w:t xml:space="preserve"> </w:t>
      </w:r>
      <w:r>
        <w:rPr>
          <w:rFonts w:hint="eastAsia"/>
        </w:rPr>
        <w:t>荔枝</w:t>
      </w:r>
      <w:r>
        <w:rPr>
          <w:rFonts w:hint="eastAsia"/>
          <w:lang w:val="en-US" w:eastAsia="zh-CN"/>
        </w:rPr>
        <w:t>、</w:t>
      </w:r>
      <w:r>
        <w:rPr>
          <w:rFonts w:hint="eastAsia"/>
        </w:rPr>
        <w:t>龙眼：带果穗剪下，</w:t>
      </w:r>
      <w:r>
        <w:rPr>
          <w:rFonts w:hint="eastAsia"/>
          <w:lang w:eastAsia="zh-CN"/>
        </w:rPr>
        <w:t>在果穗基部处剪断，轻拿轻放，避免损伤。</w:t>
      </w:r>
    </w:p>
    <w:p w14:paraId="5E4467B1">
      <w:pPr>
        <w:pStyle w:val="167"/>
        <w:ind w:left="0"/>
        <w:rPr>
          <w:rFonts w:hint="eastAsia"/>
          <w:lang w:eastAsia="zh-CN"/>
        </w:rPr>
      </w:pPr>
      <w:r>
        <w:rPr>
          <w:rFonts w:hint="eastAsia"/>
        </w:rPr>
        <w:t>火龙果：</w:t>
      </w:r>
      <w:r>
        <w:rPr>
          <w:rFonts w:hint="eastAsia"/>
          <w:lang w:eastAsia="zh-CN"/>
        </w:rPr>
        <w:t>采收方法应符NY/T 3911-2021。</w:t>
      </w:r>
      <w:r>
        <w:rPr>
          <w:rFonts w:hint="eastAsia"/>
        </w:rPr>
        <w:t>戴手套采摘，采收时，用果剪从结果枝（茎蔓）沿果柄处剪成三角状并附带部分肉茎；果柄剪截后的长度不超过果肩，切口平整无污染；轻拿轻放，避免碰撞挤压</w:t>
      </w:r>
      <w:r>
        <w:rPr>
          <w:rFonts w:hint="eastAsia"/>
          <w:lang w:eastAsia="zh-CN"/>
        </w:rPr>
        <w:t>和</w:t>
      </w:r>
      <w:r>
        <w:rPr>
          <w:rFonts w:hint="eastAsia"/>
        </w:rPr>
        <w:t>鳞片损伤</w:t>
      </w:r>
      <w:r>
        <w:rPr>
          <w:rFonts w:hint="eastAsia"/>
          <w:lang w:eastAsia="zh-CN"/>
        </w:rPr>
        <w:t>。</w:t>
      </w:r>
    </w:p>
    <w:p w14:paraId="6FB8FA51">
      <w:pPr>
        <w:pStyle w:val="167"/>
        <w:ind w:left="0"/>
        <w:rPr>
          <w:rFonts w:hint="eastAsia"/>
          <w:lang w:val="en-US" w:eastAsia="zh-CN"/>
        </w:rPr>
      </w:pPr>
      <w:r>
        <w:rPr>
          <w:rFonts w:hint="eastAsia"/>
        </w:rPr>
        <w:t>释迦果</w:t>
      </w:r>
      <w:r>
        <w:rPr>
          <w:rFonts w:hint="eastAsia"/>
          <w:lang w:eastAsia="zh-CN"/>
        </w:rPr>
        <w:t>、</w:t>
      </w:r>
      <w:r>
        <w:rPr>
          <w:rFonts w:hint="eastAsia"/>
        </w:rPr>
        <w:t>番石榴："一果两剪法"</w:t>
      </w:r>
      <w:r>
        <w:rPr>
          <w:rFonts w:hint="eastAsia"/>
          <w:lang w:eastAsia="zh-CN"/>
        </w:rPr>
        <w:t>，第一剪</w:t>
      </w:r>
      <w:r>
        <w:rPr>
          <w:rFonts w:hint="eastAsia"/>
        </w:rPr>
        <w:t>在果</w:t>
      </w:r>
      <w:r>
        <w:rPr>
          <w:rFonts w:hint="eastAsia"/>
          <w:lang w:eastAsia="zh-CN"/>
        </w:rPr>
        <w:t>柄</w:t>
      </w:r>
      <w:r>
        <w:rPr>
          <w:rFonts w:hint="eastAsia"/>
        </w:rPr>
        <w:t>与结果枝条交界处，保留果柄及果袋</w:t>
      </w:r>
      <w:r>
        <w:rPr>
          <w:rFonts w:hint="eastAsia"/>
          <w:lang w:eastAsia="zh-CN"/>
        </w:rPr>
        <w:t>，第二剪</w:t>
      </w:r>
      <w:r>
        <w:rPr>
          <w:rFonts w:hint="eastAsia"/>
          <w:lang w:val="en-US" w:eastAsia="zh-CN"/>
        </w:rPr>
        <w:t>从果肩齐平处剪下多余的果柄</w:t>
      </w:r>
      <w:r>
        <w:rPr>
          <w:rFonts w:hint="eastAsia"/>
        </w:rPr>
        <w:t>，切口平整无毛刺。</w:t>
      </w:r>
    </w:p>
    <w:p w14:paraId="63489C8B">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rPr>
      </w:pPr>
      <w:bookmarkStart w:id="59" w:name="_Toc472466690"/>
      <w:bookmarkStart w:id="60" w:name="_Toc208328870"/>
      <w:r>
        <w:rPr>
          <w:rFonts w:hint="eastAsia" w:ascii="黑体" w:hAnsi="黑体" w:eastAsia="黑体" w:cs="黑体"/>
          <w:lang w:val="en"/>
        </w:rPr>
        <w:t>采收后暂存管理</w:t>
      </w:r>
      <w:bookmarkEnd w:id="59"/>
      <w:bookmarkEnd w:id="60"/>
    </w:p>
    <w:p w14:paraId="74EA71A6">
      <w:pPr>
        <w:pStyle w:val="68"/>
        <w:spacing w:before="156" w:after="156"/>
        <w:rPr>
          <w:rFonts w:hint="eastAsia" w:hAnsi="Times New Roman" w:cs="Times New Roman"/>
          <w:lang w:val="en" w:eastAsia="zh-CN"/>
        </w:rPr>
      </w:pPr>
      <w:r>
        <w:rPr>
          <w:rFonts w:hint="eastAsia" w:hAnsi="Times New Roman" w:cs="Times New Roman"/>
          <w:lang w:val="en" w:eastAsia="zh-CN"/>
        </w:rPr>
        <w:t>环境要求</w:t>
      </w:r>
    </w:p>
    <w:p w14:paraId="4A3096E0">
      <w:pPr>
        <w:pStyle w:val="68"/>
        <w:numPr>
          <w:numId w:val="0"/>
        </w:numPr>
        <w:spacing w:before="156" w:after="156"/>
        <w:ind w:firstLine="420" w:firstLineChars="200"/>
        <w:rPr>
          <w:rFonts w:hint="eastAsia" w:ascii="宋体" w:hAnsi="宋体" w:eastAsia="宋体" w:cs="宋体"/>
          <w:lang w:val="en" w:eastAsia="zh-CN"/>
        </w:rPr>
      </w:pPr>
      <w:r>
        <w:rPr>
          <w:rFonts w:hint="eastAsia" w:ascii="宋体" w:hAnsi="宋体" w:eastAsia="宋体" w:cs="宋体"/>
          <w:lang w:val="en" w:eastAsia="zh-CN"/>
        </w:rPr>
        <w:t>采后2</w:t>
      </w:r>
      <w:r>
        <w:rPr>
          <w:rFonts w:hint="eastAsia" w:ascii="宋体" w:hAnsi="宋体" w:eastAsia="宋体" w:cs="宋体"/>
          <w:lang w:val="en-US" w:eastAsia="zh-CN"/>
        </w:rPr>
        <w:t xml:space="preserve"> h</w:t>
      </w:r>
      <w:r>
        <w:rPr>
          <w:rFonts w:hint="eastAsia" w:ascii="宋体" w:hAnsi="宋体" w:eastAsia="宋体" w:cs="宋体"/>
          <w:lang w:val="en" w:eastAsia="zh-CN"/>
        </w:rPr>
        <w:t xml:space="preserve">内转运至阴凉通风处（温度≤25℃，湿度75%~80%）。避免阳光直射、雨淋及地面返潮。  </w:t>
      </w:r>
    </w:p>
    <w:p w14:paraId="38A3A1B2">
      <w:pPr>
        <w:pStyle w:val="68"/>
        <w:spacing w:before="156" w:after="156"/>
        <w:rPr>
          <w:rFonts w:hint="eastAsia" w:hAnsi="Times New Roman" w:cs="Times New Roman"/>
          <w:lang w:val="en" w:eastAsia="zh-CN"/>
        </w:rPr>
      </w:pPr>
      <w:r>
        <w:rPr>
          <w:rFonts w:hint="eastAsia" w:hAnsi="Times New Roman" w:cs="Times New Roman"/>
          <w:lang w:val="en-US" w:eastAsia="zh-CN"/>
        </w:rPr>
        <w:t xml:space="preserve"> </w:t>
      </w:r>
      <w:r>
        <w:rPr>
          <w:rFonts w:hint="eastAsia" w:hAnsi="Times New Roman" w:cs="Times New Roman"/>
          <w:lang w:val="en" w:eastAsia="zh-CN"/>
        </w:rPr>
        <w:t>临时堆放</w:t>
      </w:r>
    </w:p>
    <w:p w14:paraId="3252C114">
      <w:pPr>
        <w:pStyle w:val="68"/>
        <w:numPr>
          <w:numId w:val="0"/>
        </w:numPr>
        <w:spacing w:before="156" w:after="156"/>
        <w:ind w:firstLine="420" w:firstLineChars="200"/>
        <w:rPr>
          <w:rFonts w:hint="eastAsia" w:ascii="宋体" w:hAnsi="宋体" w:eastAsia="宋体" w:cs="宋体"/>
          <w:lang w:eastAsia="zh-CN"/>
        </w:rPr>
      </w:pPr>
      <w:r>
        <w:rPr>
          <w:rFonts w:hint="eastAsia" w:ascii="宋体" w:hAnsi="宋体" w:eastAsia="宋体" w:cs="宋体"/>
          <w:lang w:val="en" w:eastAsia="zh-CN"/>
        </w:rPr>
        <w:t>果筐堆码不超过3层，层间用木架隔开，保证空气流通。堆放时间≤4</w:t>
      </w:r>
      <w:r>
        <w:rPr>
          <w:rFonts w:hint="eastAsia" w:ascii="宋体" w:hAnsi="宋体" w:eastAsia="宋体" w:cs="宋体"/>
          <w:lang w:val="en-US" w:eastAsia="zh-CN"/>
        </w:rPr>
        <w:t xml:space="preserve"> h</w:t>
      </w:r>
      <w:r>
        <w:rPr>
          <w:rFonts w:hint="eastAsia" w:ascii="宋体" w:hAnsi="宋体" w:eastAsia="宋体" w:cs="宋体"/>
          <w:lang w:val="en" w:eastAsia="zh-CN"/>
        </w:rPr>
        <w:t xml:space="preserve">，防止果实呼吸热积聚。  </w:t>
      </w:r>
    </w:p>
    <w:p w14:paraId="36A9EDE9">
      <w:pPr>
        <w:pStyle w:val="107"/>
        <w:spacing w:before="312" w:beforeLines="0" w:after="312" w:afterLines="0"/>
        <w:rPr>
          <w:rFonts w:hint="eastAsia" w:ascii="黑体" w:hAnsi="黑体" w:eastAsia="黑体" w:cs="黑体"/>
          <w:lang w:val="en-US" w:eastAsia="zh-CN"/>
        </w:rPr>
      </w:pPr>
      <w:bookmarkStart w:id="61" w:name="_Toc89850784"/>
      <w:r>
        <w:rPr>
          <w:rFonts w:hint="eastAsia" w:ascii="黑体" w:hAnsi="黑体" w:eastAsia="黑体" w:cs="黑体"/>
        </w:rPr>
        <w:t>采后处理</w:t>
      </w:r>
      <w:bookmarkEnd w:id="61"/>
      <w:r>
        <w:rPr>
          <w:rFonts w:hint="eastAsia" w:ascii="黑体" w:hAnsi="黑体" w:eastAsia="黑体" w:cs="黑体"/>
        </w:rPr>
        <w:t xml:space="preserve"> </w:t>
      </w:r>
    </w:p>
    <w:p w14:paraId="0DC9314B">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lang w:val="en-US" w:eastAsia="zh-CN"/>
        </w:rPr>
      </w:pPr>
      <w:bookmarkStart w:id="62" w:name="_Toc342225771"/>
      <w:bookmarkStart w:id="63" w:name="_Toc1530025881"/>
      <w:r>
        <w:rPr>
          <w:rFonts w:hint="eastAsia" w:ascii="黑体" w:hAnsi="黑体" w:eastAsia="黑体" w:cs="黑体"/>
          <w:lang w:val="en"/>
        </w:rPr>
        <w:t>预冷</w:t>
      </w:r>
      <w:bookmarkEnd w:id="62"/>
      <w:bookmarkEnd w:id="63"/>
    </w:p>
    <w:p w14:paraId="42E64681">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表</w:t>
      </w:r>
      <w:r>
        <w:rPr>
          <w:rFonts w:hint="eastAsia" w:asciiTheme="minorEastAsia" w:hAnsiTheme="minorEastAsia" w:eastAsiaTheme="minorEastAsia" w:cstheme="minorEastAsia"/>
          <w:lang w:val="en-US" w:eastAsia="zh-CN"/>
        </w:rPr>
        <w:t>2 预冷方式及说明</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1800"/>
        <w:gridCol w:w="5611"/>
      </w:tblGrid>
      <w:tr w14:paraId="004E9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1" w:type="dxa"/>
            <w:noWrap w:val="0"/>
            <w:vAlign w:val="center"/>
          </w:tcPr>
          <w:p w14:paraId="0B751032">
            <w:pPr>
              <w:jc w:val="both"/>
              <w:rPr>
                <w:rFonts w:hint="eastAsia" w:ascii="宋体" w:hAnsi="宋体" w:eastAsia="宋体" w:cs="宋体"/>
                <w:sz w:val="18"/>
                <w:szCs w:val="18"/>
                <w:vertAlign w:val="baseline"/>
              </w:rPr>
            </w:pPr>
            <w:r>
              <w:rPr>
                <w:rFonts w:hint="eastAsia" w:ascii="宋体" w:hAnsi="宋体" w:eastAsia="宋体" w:cs="宋体"/>
                <w:sz w:val="18"/>
                <w:szCs w:val="18"/>
              </w:rPr>
              <w:t>方式</w:t>
            </w:r>
          </w:p>
        </w:tc>
        <w:tc>
          <w:tcPr>
            <w:tcW w:w="1800" w:type="dxa"/>
            <w:noWrap w:val="0"/>
            <w:vAlign w:val="center"/>
          </w:tcPr>
          <w:p w14:paraId="7368E8BB">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适用水果 </w:t>
            </w:r>
          </w:p>
        </w:tc>
        <w:tc>
          <w:tcPr>
            <w:tcW w:w="5611" w:type="dxa"/>
            <w:noWrap w:val="0"/>
            <w:vAlign w:val="center"/>
          </w:tcPr>
          <w:p w14:paraId="2BF1EB38">
            <w:pPr>
              <w:jc w:val="both"/>
              <w:rPr>
                <w:rFonts w:hint="eastAsia" w:ascii="宋体" w:hAnsi="宋体" w:eastAsia="宋体" w:cs="宋体"/>
                <w:sz w:val="18"/>
                <w:szCs w:val="18"/>
                <w:vertAlign w:val="baseline"/>
                <w:lang w:eastAsia="zh-CN"/>
              </w:rPr>
            </w:pPr>
            <w:r>
              <w:rPr>
                <w:rFonts w:hint="eastAsia" w:ascii="宋体" w:hAnsi="宋体" w:eastAsia="宋体" w:cs="宋体"/>
                <w:sz w:val="18"/>
                <w:szCs w:val="18"/>
                <w:lang w:eastAsia="zh-CN"/>
              </w:rPr>
              <w:t>方法说明</w:t>
            </w:r>
          </w:p>
        </w:tc>
      </w:tr>
      <w:tr w14:paraId="3915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dxa"/>
            <w:noWrap w:val="0"/>
            <w:vAlign w:val="center"/>
          </w:tcPr>
          <w:p w14:paraId="1ADB86FC">
            <w:pPr>
              <w:jc w:val="both"/>
              <w:rPr>
                <w:rFonts w:hint="eastAsia" w:ascii="宋体" w:hAnsi="宋体" w:eastAsia="宋体" w:cs="宋体"/>
                <w:sz w:val="18"/>
                <w:szCs w:val="18"/>
                <w:vertAlign w:val="baseline"/>
              </w:rPr>
            </w:pPr>
            <w:r>
              <w:rPr>
                <w:rFonts w:hint="eastAsia" w:ascii="宋体" w:hAnsi="宋体" w:eastAsia="宋体" w:cs="宋体"/>
                <w:sz w:val="18"/>
                <w:szCs w:val="18"/>
              </w:rPr>
              <w:t>强制风冷</w:t>
            </w:r>
          </w:p>
        </w:tc>
        <w:tc>
          <w:tcPr>
            <w:tcW w:w="1800" w:type="dxa"/>
            <w:noWrap w:val="0"/>
            <w:vAlign w:val="center"/>
          </w:tcPr>
          <w:p w14:paraId="1DECEECB">
            <w:pPr>
              <w:jc w:val="both"/>
              <w:rPr>
                <w:rFonts w:hint="eastAsia" w:ascii="宋体" w:hAnsi="宋体" w:eastAsia="宋体" w:cs="宋体"/>
                <w:sz w:val="18"/>
                <w:szCs w:val="18"/>
                <w:vertAlign w:val="baseline"/>
              </w:rPr>
            </w:pPr>
            <w:r>
              <w:rPr>
                <w:rFonts w:hint="eastAsia" w:ascii="宋体" w:hAnsi="宋体" w:eastAsia="宋体" w:cs="宋体"/>
                <w:sz w:val="18"/>
                <w:szCs w:val="18"/>
              </w:rPr>
              <w:t>荔枝、龙眼</w:t>
            </w:r>
            <w:r>
              <w:rPr>
                <w:rFonts w:hint="eastAsia" w:ascii="宋体" w:hAnsi="宋体" w:eastAsia="宋体" w:cs="宋体"/>
                <w:sz w:val="18"/>
                <w:szCs w:val="18"/>
                <w:lang w:eastAsia="zh-CN"/>
              </w:rPr>
              <w:t>、</w:t>
            </w:r>
            <w:r>
              <w:rPr>
                <w:rFonts w:hint="eastAsia" w:ascii="宋体" w:hAnsi="宋体" w:eastAsia="宋体" w:cs="宋体"/>
                <w:sz w:val="18"/>
                <w:szCs w:val="18"/>
              </w:rPr>
              <w:t>释迦果</w:t>
            </w:r>
          </w:p>
        </w:tc>
        <w:tc>
          <w:tcPr>
            <w:tcW w:w="5611" w:type="dxa"/>
            <w:noWrap w:val="0"/>
            <w:vAlign w:val="center"/>
          </w:tcPr>
          <w:p w14:paraId="0E61F7E2">
            <w:pPr>
              <w:jc w:val="both"/>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eastAsia="zh-CN"/>
              </w:rPr>
              <w:t>将果实按照包装的通风孔对齐堆叠好，用较大制冷内力和送风量进行冷却。</w:t>
            </w:r>
          </w:p>
        </w:tc>
      </w:tr>
      <w:tr w14:paraId="0307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111" w:type="dxa"/>
            <w:noWrap w:val="0"/>
            <w:vAlign w:val="center"/>
          </w:tcPr>
          <w:p w14:paraId="1F281BA7">
            <w:pPr>
              <w:jc w:val="both"/>
              <w:rPr>
                <w:rFonts w:hint="eastAsia" w:ascii="宋体" w:hAnsi="宋体" w:eastAsia="宋体" w:cs="宋体"/>
                <w:sz w:val="18"/>
                <w:szCs w:val="18"/>
                <w:vertAlign w:val="baseline"/>
              </w:rPr>
            </w:pPr>
            <w:r>
              <w:rPr>
                <w:rFonts w:hint="eastAsia" w:ascii="宋体" w:hAnsi="宋体" w:eastAsia="宋体" w:cs="宋体"/>
                <w:sz w:val="18"/>
                <w:szCs w:val="18"/>
              </w:rPr>
              <w:t>冰水预冷</w:t>
            </w:r>
          </w:p>
        </w:tc>
        <w:tc>
          <w:tcPr>
            <w:tcW w:w="1800" w:type="dxa"/>
            <w:noWrap w:val="0"/>
            <w:vAlign w:val="center"/>
          </w:tcPr>
          <w:p w14:paraId="12176002">
            <w:pPr>
              <w:jc w:val="both"/>
              <w:rPr>
                <w:rFonts w:hint="eastAsia" w:ascii="宋体" w:hAnsi="宋体" w:eastAsia="宋体" w:cs="宋体"/>
                <w:sz w:val="18"/>
                <w:szCs w:val="18"/>
                <w:vertAlign w:val="baseline"/>
              </w:rPr>
            </w:pPr>
            <w:r>
              <w:rPr>
                <w:rFonts w:hint="eastAsia" w:ascii="宋体" w:hAnsi="宋体" w:eastAsia="宋体" w:cs="宋体"/>
                <w:sz w:val="18"/>
                <w:szCs w:val="18"/>
              </w:rPr>
              <w:t>荔枝、龙眼</w:t>
            </w:r>
            <w:r>
              <w:rPr>
                <w:rFonts w:hint="eastAsia" w:ascii="宋体" w:hAnsi="宋体" w:eastAsia="宋体" w:cs="宋体"/>
                <w:sz w:val="18"/>
                <w:szCs w:val="18"/>
                <w:lang w:eastAsia="zh-CN"/>
              </w:rPr>
              <w:t>、</w:t>
            </w:r>
            <w:r>
              <w:rPr>
                <w:rFonts w:hint="eastAsia" w:ascii="宋体" w:hAnsi="宋体" w:eastAsia="宋体" w:cs="宋体"/>
                <w:sz w:val="18"/>
                <w:szCs w:val="18"/>
              </w:rPr>
              <w:t>释迦果、火龙果</w:t>
            </w:r>
          </w:p>
        </w:tc>
        <w:tc>
          <w:tcPr>
            <w:tcW w:w="5611" w:type="dxa"/>
            <w:noWrap w:val="0"/>
            <w:vAlign w:val="center"/>
          </w:tcPr>
          <w:p w14:paraId="4137942F">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lang w:val="en-US" w:eastAsia="zh-CN"/>
              </w:rPr>
              <w:t>通过冷却装置将水冷却到一定温度，然后再用水对水果进行快速冷却。或者将果实放在塑料、竹筐内，然后将果实和包装一起浸泡在冰水中进行冷却。</w:t>
            </w:r>
          </w:p>
        </w:tc>
      </w:tr>
      <w:tr w14:paraId="2693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111" w:type="dxa"/>
            <w:noWrap w:val="0"/>
            <w:vAlign w:val="center"/>
          </w:tcPr>
          <w:p w14:paraId="71623828">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差压预冷 </w:t>
            </w:r>
          </w:p>
        </w:tc>
        <w:tc>
          <w:tcPr>
            <w:tcW w:w="1800" w:type="dxa"/>
            <w:noWrap w:val="0"/>
            <w:vAlign w:val="center"/>
          </w:tcPr>
          <w:p w14:paraId="71C2058A">
            <w:pPr>
              <w:jc w:val="both"/>
              <w:rPr>
                <w:rFonts w:hint="eastAsia" w:ascii="宋体" w:hAnsi="宋体" w:eastAsia="宋体" w:cs="宋体"/>
                <w:sz w:val="18"/>
                <w:szCs w:val="18"/>
                <w:vertAlign w:val="baseline"/>
              </w:rPr>
            </w:pPr>
            <w:r>
              <w:rPr>
                <w:rFonts w:hint="eastAsia" w:ascii="宋体" w:hAnsi="宋体" w:eastAsia="宋体" w:cs="宋体"/>
                <w:sz w:val="18"/>
                <w:szCs w:val="18"/>
              </w:rPr>
              <w:t>番石榴</w:t>
            </w:r>
          </w:p>
        </w:tc>
        <w:tc>
          <w:tcPr>
            <w:tcW w:w="5611" w:type="dxa"/>
            <w:noWrap w:val="0"/>
            <w:vAlign w:val="center"/>
          </w:tcPr>
          <w:p w14:paraId="7FA0BE21">
            <w:pPr>
              <w:jc w:val="both"/>
              <w:rPr>
                <w:rFonts w:hint="eastAsia" w:ascii="宋体" w:hAnsi="宋体" w:eastAsia="宋体" w:cs="宋体"/>
                <w:sz w:val="18"/>
                <w:szCs w:val="18"/>
                <w:vertAlign w:val="baseline"/>
              </w:rPr>
            </w:pPr>
            <w:r>
              <w:rPr>
                <w:rFonts w:hint="eastAsia" w:ascii="宋体" w:hAnsi="宋体" w:eastAsia="宋体" w:cs="宋体"/>
                <w:sz w:val="18"/>
                <w:szCs w:val="18"/>
                <w:vertAlign w:val="baseline"/>
              </w:rPr>
              <w:t>通过强制空气循环穿透包装箱孔隙。</w:t>
            </w:r>
          </w:p>
        </w:tc>
      </w:tr>
      <w:tr w14:paraId="76D8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dxa"/>
            <w:noWrap w:val="0"/>
            <w:vAlign w:val="center"/>
          </w:tcPr>
          <w:p w14:paraId="53D62249">
            <w:pPr>
              <w:jc w:val="both"/>
              <w:rPr>
                <w:rFonts w:hint="eastAsia" w:ascii="宋体" w:hAnsi="宋体" w:eastAsia="宋体" w:cs="宋体"/>
                <w:sz w:val="18"/>
                <w:szCs w:val="18"/>
                <w:vertAlign w:val="baseline"/>
                <w:lang w:val="en" w:eastAsia="zh-CN"/>
              </w:rPr>
            </w:pPr>
            <w:r>
              <w:rPr>
                <w:rFonts w:hint="eastAsia" w:ascii="宋体" w:hAnsi="宋体" w:eastAsia="宋体" w:cs="宋体"/>
                <w:sz w:val="18"/>
                <w:szCs w:val="18"/>
                <w:vertAlign w:val="baseline"/>
                <w:lang w:val="en" w:eastAsia="zh-CN"/>
              </w:rPr>
              <w:t>冷库预冷</w:t>
            </w:r>
          </w:p>
        </w:tc>
        <w:tc>
          <w:tcPr>
            <w:tcW w:w="1800" w:type="dxa"/>
            <w:noWrap w:val="0"/>
            <w:vAlign w:val="center"/>
          </w:tcPr>
          <w:p w14:paraId="1AB9E7F7">
            <w:pPr>
              <w:jc w:val="both"/>
              <w:rPr>
                <w:rFonts w:hint="eastAsia" w:ascii="宋体" w:hAnsi="宋体" w:eastAsia="宋体" w:cs="宋体"/>
                <w:sz w:val="18"/>
                <w:szCs w:val="18"/>
                <w:vertAlign w:val="baseline"/>
              </w:rPr>
            </w:pPr>
            <w:r>
              <w:rPr>
                <w:rFonts w:hint="eastAsia" w:ascii="宋体" w:hAnsi="宋体" w:eastAsia="宋体" w:cs="宋体"/>
                <w:sz w:val="18"/>
                <w:szCs w:val="18"/>
              </w:rPr>
              <w:t xml:space="preserve">荔枝、龙眼 </w:t>
            </w:r>
          </w:p>
        </w:tc>
        <w:tc>
          <w:tcPr>
            <w:tcW w:w="5611" w:type="dxa"/>
            <w:noWrap w:val="0"/>
            <w:vAlign w:val="center"/>
          </w:tcPr>
          <w:p w14:paraId="1E0450A5">
            <w:pPr>
              <w:jc w:val="both"/>
              <w:rPr>
                <w:rFonts w:hint="eastAsia" w:ascii="宋体" w:hAnsi="宋体" w:eastAsia="宋体" w:cs="宋体"/>
                <w:sz w:val="18"/>
                <w:szCs w:val="18"/>
                <w:vertAlign w:val="baseline"/>
                <w:lang w:eastAsia="zh-CN"/>
              </w:rPr>
            </w:pPr>
            <w:r>
              <w:rPr>
                <w:rFonts w:hint="eastAsia" w:ascii="宋体" w:hAnsi="宋体" w:eastAsia="宋体" w:cs="宋体"/>
                <w:sz w:val="18"/>
                <w:szCs w:val="18"/>
                <w:vertAlign w:val="baseline"/>
                <w:lang w:eastAsia="zh-CN"/>
              </w:rPr>
              <w:t>将果实包装堆放在冷库中，堆垛方向应该顺着冷库冷风的流动方向。</w:t>
            </w:r>
          </w:p>
        </w:tc>
      </w:tr>
    </w:tbl>
    <w:p w14:paraId="60905501">
      <w:pPr>
        <w:pStyle w:val="59"/>
        <w:ind w:left="0" w:leftChars="0" w:firstLine="0" w:firstLineChars="0"/>
        <w:rPr>
          <w:rFonts w:hint="eastAsia" w:ascii="黑体" w:hAnsi="黑体" w:eastAsia="黑体" w:cs="黑体"/>
        </w:rPr>
      </w:pPr>
    </w:p>
    <w:p w14:paraId="292DC02A">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i w:val="0"/>
          <w:iCs w:val="0"/>
          <w:lang w:val="en-US" w:eastAsia="zh-CN"/>
        </w:rPr>
      </w:pPr>
      <w:bookmarkStart w:id="64" w:name="_Toc785691411"/>
      <w:bookmarkStart w:id="65" w:name="_Toc1863915323"/>
      <w:r>
        <w:rPr>
          <w:rFonts w:hint="eastAsia" w:ascii="黑体" w:hAnsi="黑体" w:eastAsia="黑体" w:cs="黑体"/>
          <w:i w:val="0"/>
          <w:iCs w:val="0"/>
          <w:lang w:val="en"/>
        </w:rPr>
        <w:t>杀菌保鲜</w:t>
      </w:r>
      <w:bookmarkEnd w:id="64"/>
      <w:bookmarkEnd w:id="65"/>
    </w:p>
    <w:p w14:paraId="339A1471">
      <w:pPr>
        <w:pStyle w:val="68"/>
        <w:spacing w:before="156" w:after="156"/>
        <w:rPr>
          <w:rFonts w:hint="eastAsia" w:ascii="宋体" w:hAnsi="宋体" w:eastAsia="宋体" w:cs="宋体"/>
          <w:lang w:eastAsia="zh-CN"/>
        </w:rPr>
      </w:pPr>
      <w:r>
        <w:rPr>
          <w:rFonts w:hint="eastAsia" w:ascii="宋体" w:hAnsi="宋体" w:eastAsia="宋体" w:cs="宋体"/>
          <w:lang w:eastAsia="zh-CN"/>
        </w:rPr>
        <w:t xml:space="preserve">荔枝/龙眼：500 ppm二氧化氯熏蒸20 min或52℃苯莱特浸果2 min；  </w:t>
      </w:r>
    </w:p>
    <w:p w14:paraId="55B3D3EC">
      <w:pPr>
        <w:pStyle w:val="68"/>
        <w:spacing w:before="156" w:after="156"/>
        <w:rPr>
          <w:rFonts w:hint="eastAsia" w:ascii="宋体" w:hAnsi="宋体" w:eastAsia="宋体" w:cs="宋体"/>
          <w:lang w:eastAsia="zh-CN"/>
        </w:rPr>
      </w:pPr>
      <w:r>
        <w:rPr>
          <w:rFonts w:hint="eastAsia" w:ascii="宋体" w:hAnsi="宋体" w:eastAsia="宋体" w:cs="宋体"/>
          <w:lang w:eastAsia="zh-CN"/>
        </w:rPr>
        <w:t xml:space="preserve">释迦果：50~52℃苯来特溶液（0.5 g/L）浸果5 min；  </w:t>
      </w:r>
    </w:p>
    <w:p w14:paraId="35957842">
      <w:pPr>
        <w:pStyle w:val="68"/>
        <w:spacing w:before="156" w:after="156"/>
        <w:rPr>
          <w:rFonts w:hint="eastAsia" w:ascii="宋体" w:hAnsi="宋体" w:eastAsia="宋体" w:cs="宋体"/>
          <w:lang w:eastAsia="zh-CN"/>
        </w:rPr>
      </w:pPr>
      <w:r>
        <w:rPr>
          <w:rFonts w:hint="eastAsia" w:ascii="宋体" w:hAnsi="宋体" w:eastAsia="宋体" w:cs="宋体"/>
          <w:lang w:eastAsia="zh-CN"/>
        </w:rPr>
        <w:t>番石榴：1%壳聚糖涂膜。</w:t>
      </w:r>
    </w:p>
    <w:p w14:paraId="17914355">
      <w:pPr>
        <w:pStyle w:val="68"/>
        <w:spacing w:before="156" w:after="156"/>
        <w:rPr>
          <w:rFonts w:hint="eastAsia" w:ascii="宋体" w:hAnsi="宋体" w:eastAsia="宋体" w:cs="宋体"/>
          <w:lang w:eastAsia="zh-CN"/>
        </w:rPr>
      </w:pPr>
      <w:r>
        <w:rPr>
          <w:rFonts w:hint="eastAsia" w:ascii="宋体" w:hAnsi="宋体" w:eastAsia="宋体" w:cs="宋体"/>
          <w:lang w:eastAsia="zh-CN"/>
        </w:rPr>
        <w:t>火龙果：在450 mg/L～500 mg/L异菌脲溶液或400 mg/L～450 mg/L咪鲜胺锰盐溶液浸泡1 min～2 min，晾干表面水分。</w:t>
      </w:r>
    </w:p>
    <w:p w14:paraId="1C670986">
      <w:pPr>
        <w:pStyle w:val="107"/>
        <w:spacing w:before="312" w:beforeLines="0" w:after="312" w:afterLines="0"/>
        <w:rPr>
          <w:rFonts w:hint="eastAsia" w:ascii="黑体" w:hAnsi="黑体" w:eastAsia="黑体" w:cs="黑体"/>
        </w:rPr>
      </w:pPr>
      <w:bookmarkStart w:id="66" w:name="_Toc570379205"/>
      <w:r>
        <w:rPr>
          <w:rFonts w:hint="eastAsia" w:ascii="黑体" w:hAnsi="黑体" w:eastAsia="黑体" w:cs="黑体"/>
        </w:rPr>
        <w:t>分级（通用）</w:t>
      </w:r>
      <w:bookmarkEnd w:id="66"/>
    </w:p>
    <w:p w14:paraId="22A1C7F1">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表</w:t>
      </w:r>
      <w:r>
        <w:rPr>
          <w:rFonts w:hint="eastAsia" w:asciiTheme="minorEastAsia" w:hAnsiTheme="minorEastAsia" w:eastAsiaTheme="minorEastAsia" w:cstheme="minorEastAsia"/>
          <w:lang w:val="en-US" w:eastAsia="zh-CN"/>
        </w:rPr>
        <w:t>3 分级标准</w:t>
      </w:r>
    </w:p>
    <w:tbl>
      <w:tblPr>
        <w:tblStyle w:val="30"/>
        <w:tblpPr w:leftFromText="180" w:rightFromText="180" w:vertAnchor="text" w:horzAnchor="page" w:tblpXSpec="center" w:tblpY="306"/>
        <w:tblOverlap w:val="never"/>
        <w:tblW w:w="9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570"/>
        <w:gridCol w:w="2438"/>
        <w:gridCol w:w="2438"/>
        <w:gridCol w:w="2438"/>
      </w:tblGrid>
      <w:tr w14:paraId="7C30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37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B1960CD">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项目</w:t>
            </w:r>
          </w:p>
        </w:tc>
        <w:tc>
          <w:tcPr>
            <w:tcW w:w="7314" w:type="dxa"/>
            <w:gridSpan w:val="3"/>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B327DD">
            <w:pPr>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等级</w:t>
            </w:r>
          </w:p>
        </w:tc>
      </w:tr>
      <w:tr w14:paraId="4A40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37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16097A8">
            <w:pPr>
              <w:jc w:val="center"/>
              <w:rPr>
                <w:rFonts w:hint="eastAsia" w:ascii="宋体" w:hAnsi="宋体" w:eastAsia="宋体" w:cs="宋体"/>
                <w:color w:val="000000"/>
                <w:sz w:val="18"/>
                <w:szCs w:val="18"/>
                <w:vertAlign w:val="baseline"/>
              </w:rPr>
            </w:pP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583CBB">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优等品</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35A5363">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一等品</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DCBFC62">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二等品</w:t>
            </w:r>
          </w:p>
        </w:tc>
      </w:tr>
      <w:tr w14:paraId="0DA6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C53D795">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感官指标</w:t>
            </w:r>
          </w:p>
        </w:tc>
        <w:tc>
          <w:tcPr>
            <w:tcW w:w="157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E8CC95">
            <w:pPr>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rPr>
              <w:t>果形</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D0DE0AD">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果形端正，符合品种特征</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FCF0076">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果形基本端正，允许轻微畸形</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A29E20A">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果形允许轻微畸形</w:t>
            </w:r>
          </w:p>
        </w:tc>
      </w:tr>
      <w:tr w14:paraId="33F8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B4C1730">
            <w:pPr>
              <w:jc w:val="center"/>
              <w:rPr>
                <w:rFonts w:hint="eastAsia" w:ascii="宋体" w:hAnsi="宋体" w:eastAsia="宋体" w:cs="宋体"/>
                <w:color w:val="000000"/>
                <w:sz w:val="18"/>
                <w:szCs w:val="18"/>
                <w:vertAlign w:val="baseline"/>
              </w:rPr>
            </w:pPr>
          </w:p>
        </w:tc>
        <w:tc>
          <w:tcPr>
            <w:tcW w:w="157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1F7BE93">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日灼</w:t>
            </w:r>
            <w:r>
              <w:rPr>
                <w:rFonts w:hint="eastAsia" w:ascii="宋体" w:hAnsi="宋体" w:eastAsia="宋体" w:cs="宋体"/>
                <w:color w:val="000000"/>
                <w:sz w:val="18"/>
                <w:szCs w:val="18"/>
                <w:lang w:val="en" w:eastAsia="zh-CN"/>
              </w:rPr>
              <w:t>、</w:t>
            </w:r>
            <w:r>
              <w:rPr>
                <w:rFonts w:hint="eastAsia" w:ascii="宋体" w:hAnsi="宋体" w:eastAsia="宋体" w:cs="宋体"/>
                <w:color w:val="000000"/>
                <w:sz w:val="18"/>
                <w:szCs w:val="18"/>
              </w:rPr>
              <w:t>斑痕</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6398081">
            <w:pPr>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无裂果、无日灼斑</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7C345EF">
            <w:pPr>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轻微裂果（≤1处）或斑痕面积≤</w:t>
            </w:r>
            <w:r>
              <w:rPr>
                <w:rFonts w:hint="eastAsia" w:ascii="宋体" w:hAnsi="宋体" w:eastAsia="宋体" w:cs="宋体"/>
                <w:sz w:val="18"/>
                <w:szCs w:val="18"/>
              </w:rPr>
              <w:t>5%</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DC63249">
            <w:pPr>
              <w:jc w:val="center"/>
              <w:rPr>
                <w:rFonts w:hint="eastAsia" w:ascii="宋体" w:hAnsi="宋体" w:eastAsia="宋体" w:cs="宋体"/>
                <w:color w:val="000000"/>
                <w:sz w:val="18"/>
                <w:szCs w:val="18"/>
                <w:vertAlign w:val="baseline"/>
                <w:lang w:val="en"/>
              </w:rPr>
            </w:pPr>
            <w:r>
              <w:rPr>
                <w:rFonts w:hint="eastAsia" w:ascii="宋体" w:hAnsi="宋体" w:eastAsia="宋体" w:cs="宋体"/>
                <w:color w:val="000000"/>
                <w:sz w:val="18"/>
                <w:szCs w:val="18"/>
                <w:vertAlign w:val="baseline"/>
                <w:lang w:eastAsia="zh-CN"/>
              </w:rPr>
              <w:t>裂果≤1处，斑痕面积≤</w:t>
            </w:r>
            <w:r>
              <w:rPr>
                <w:rFonts w:hint="eastAsia" w:ascii="宋体" w:hAnsi="宋体" w:eastAsia="宋体" w:cs="宋体"/>
                <w:color w:val="000000"/>
                <w:sz w:val="18"/>
                <w:szCs w:val="18"/>
                <w:vertAlign w:val="baseline"/>
                <w:lang w:val="en" w:eastAsia="zh-CN"/>
              </w:rPr>
              <w:t>10%</w:t>
            </w:r>
          </w:p>
        </w:tc>
      </w:tr>
      <w:tr w14:paraId="5C06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77D5443">
            <w:pPr>
              <w:jc w:val="center"/>
              <w:rPr>
                <w:rFonts w:hint="eastAsia" w:ascii="宋体" w:hAnsi="宋体" w:eastAsia="宋体" w:cs="宋体"/>
                <w:color w:val="000000"/>
                <w:sz w:val="18"/>
                <w:szCs w:val="18"/>
                <w:vertAlign w:val="baseline"/>
              </w:rPr>
            </w:pPr>
          </w:p>
        </w:tc>
        <w:tc>
          <w:tcPr>
            <w:tcW w:w="1570"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7CE212">
            <w:pPr>
              <w:jc w:val="center"/>
              <w:rPr>
                <w:rFonts w:hint="eastAsia" w:ascii="宋体" w:hAnsi="宋体" w:eastAsia="宋体" w:cs="宋体"/>
                <w:color w:val="000000"/>
                <w:sz w:val="18"/>
                <w:szCs w:val="18"/>
                <w:vertAlign w:val="baseline"/>
                <w:lang w:val="en" w:eastAsia="zh-CN"/>
              </w:rPr>
            </w:pPr>
            <w:r>
              <w:rPr>
                <w:rFonts w:hint="eastAsia" w:ascii="宋体" w:hAnsi="宋体" w:eastAsia="宋体" w:cs="宋体"/>
                <w:color w:val="000000"/>
                <w:sz w:val="18"/>
                <w:szCs w:val="18"/>
              </w:rPr>
              <w:t>病虫害</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 w:eastAsia="zh-CN"/>
              </w:rPr>
              <w:t>机械伤</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67F78D">
            <w:pPr>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rPr>
              <w:t>无病虫害</w:t>
            </w:r>
            <w:r>
              <w:rPr>
                <w:rFonts w:hint="eastAsia" w:ascii="宋体" w:hAnsi="宋体" w:eastAsia="宋体" w:cs="宋体"/>
                <w:color w:val="000000"/>
                <w:sz w:val="18"/>
                <w:szCs w:val="18"/>
                <w:lang w:eastAsia="zh-CN"/>
              </w:rPr>
              <w:t>、机械伤</w:t>
            </w:r>
          </w:p>
        </w:tc>
        <w:tc>
          <w:tcPr>
            <w:tcW w:w="243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04BFB3">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允许已愈合的机械伤</w:t>
            </w:r>
          </w:p>
        </w:tc>
        <w:tc>
          <w:tcPr>
            <w:tcW w:w="2438" w:type="dxa"/>
            <w:tcBorders>
              <w:top w:val="single" w:color="000000" w:sz="8" w:space="0"/>
              <w:left w:val="single" w:color="000000" w:sz="8" w:space="0"/>
              <w:bottom w:val="single" w:color="auto" w:sz="4" w:space="0"/>
              <w:right w:val="single" w:color="000000" w:sz="8" w:space="0"/>
            </w:tcBorders>
            <w:shd w:val="clear" w:color="auto" w:fill="FFFFFF"/>
            <w:noWrap w:val="0"/>
            <w:vAlign w:val="center"/>
          </w:tcPr>
          <w:p w14:paraId="40D29298">
            <w:pPr>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rPr>
              <w:t>允许明显机械伤及轻微病虫害</w:t>
            </w:r>
          </w:p>
        </w:tc>
      </w:tr>
    </w:tbl>
    <w:p w14:paraId="41FE858D">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剔除裂果、腐烂果及严重机械损伤果。去除果面附着物（泥土、枝叶等）。  </w:t>
      </w:r>
    </w:p>
    <w:p w14:paraId="6A0B7B4E">
      <w:pPr>
        <w:pStyle w:val="107"/>
        <w:spacing w:before="312" w:beforeLines="0" w:after="312" w:afterLines="0"/>
        <w:rPr>
          <w:rFonts w:hint="eastAsia" w:ascii="黑体" w:hAnsi="黑体" w:eastAsia="黑体" w:cs="黑体"/>
          <w:lang w:val="en" w:eastAsia="zh-CN"/>
        </w:rPr>
      </w:pPr>
      <w:bookmarkStart w:id="67" w:name="_Toc385559"/>
      <w:r>
        <w:rPr>
          <w:rFonts w:hint="eastAsia" w:ascii="黑体" w:hAnsi="黑体" w:eastAsia="黑体" w:cs="黑体"/>
          <w:lang w:val="en-US" w:eastAsia="zh-CN"/>
        </w:rPr>
        <w:t>包装与标识</w:t>
      </w:r>
      <w:bookmarkEnd w:id="67"/>
      <w:r>
        <w:rPr>
          <w:rFonts w:hint="eastAsia" w:ascii="黑体" w:hAnsi="黑体" w:eastAsia="黑体" w:cs="黑体"/>
          <w:lang w:val="en-US" w:eastAsia="zh-CN"/>
        </w:rPr>
        <w:t xml:space="preserve"> </w:t>
      </w:r>
    </w:p>
    <w:p w14:paraId="42A12EAD">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lang w:val="en" w:eastAsia="zh-CN"/>
        </w:rPr>
      </w:pPr>
      <w:bookmarkStart w:id="68" w:name="_Toc1297013369"/>
      <w:bookmarkStart w:id="69" w:name="_Toc161750619"/>
      <w:r>
        <w:rPr>
          <w:rFonts w:hint="eastAsia" w:ascii="黑体" w:hAnsi="黑体" w:eastAsia="黑体" w:cs="黑体"/>
          <w:lang w:val="en"/>
        </w:rPr>
        <w:t>包装材料</w:t>
      </w:r>
      <w:bookmarkEnd w:id="68"/>
      <w:bookmarkEnd w:id="69"/>
    </w:p>
    <w:p w14:paraId="055B2C40">
      <w:pPr>
        <w:pStyle w:val="68"/>
        <w:spacing w:before="156" w:after="156"/>
        <w:rPr>
          <w:rFonts w:hint="eastAsia" w:hAnsi="Times New Roman" w:cs="Times New Roman"/>
          <w:lang w:val="en" w:eastAsia="zh-CN"/>
        </w:rPr>
      </w:pPr>
      <w:r>
        <w:rPr>
          <w:rFonts w:hint="eastAsia" w:hAnsi="Times New Roman" w:cs="Times New Roman"/>
          <w:lang w:val="en" w:eastAsia="zh-CN"/>
        </w:rPr>
        <w:t xml:space="preserve">内包装  </w:t>
      </w:r>
    </w:p>
    <w:p w14:paraId="3E9765B3">
      <w:pPr>
        <w:pStyle w:val="167"/>
        <w:ind w:left="0"/>
        <w:rPr>
          <w:rFonts w:hint="eastAsia" w:hAnsi="Times New Roman" w:cs="Times New Roman"/>
          <w:lang w:val="en-US" w:eastAsia="zh-CN"/>
        </w:rPr>
      </w:pPr>
      <w:r>
        <w:rPr>
          <w:rFonts w:hint="eastAsia" w:hAnsi="Times New Roman" w:cs="Times New Roman"/>
          <w:lang w:val="en-US" w:eastAsia="zh-CN"/>
        </w:rPr>
        <w:t xml:space="preserve">荔枝/龙眼：带孔PE膜（厚度0.02 mm）；  </w:t>
      </w:r>
    </w:p>
    <w:p w14:paraId="1B48EFAE">
      <w:pPr>
        <w:pStyle w:val="167"/>
        <w:ind w:left="0"/>
        <w:rPr>
          <w:rFonts w:hint="eastAsia" w:hAnsi="Times New Roman" w:cs="Times New Roman"/>
          <w:lang w:val="en-US" w:eastAsia="zh-CN"/>
        </w:rPr>
      </w:pPr>
      <w:r>
        <w:rPr>
          <w:rFonts w:hint="eastAsia" w:hAnsi="Times New Roman" w:cs="Times New Roman"/>
          <w:lang w:val="en-US" w:eastAsia="zh-CN"/>
        </w:rPr>
        <w:t xml:space="preserve">释迦果/番石榴：单果泡沫网套+纸托盘；  </w:t>
      </w:r>
    </w:p>
    <w:p w14:paraId="563F49EE">
      <w:pPr>
        <w:pStyle w:val="167"/>
        <w:ind w:left="0"/>
        <w:rPr>
          <w:rFonts w:hint="eastAsia" w:asciiTheme="minorEastAsia" w:hAnsiTheme="minorEastAsia" w:eastAsiaTheme="minorEastAsia" w:cstheme="minorEastAsia"/>
        </w:rPr>
      </w:pPr>
      <w:r>
        <w:rPr>
          <w:rFonts w:hint="eastAsia" w:hAnsi="Times New Roman" w:cs="Times New Roman"/>
          <w:lang w:val="en-US" w:eastAsia="zh-CN"/>
        </w:rPr>
        <w:t xml:space="preserve"> 火龙果：食品级PE膜包裹防鳞片磨损。 </w:t>
      </w:r>
      <w:r>
        <w:rPr>
          <w:rFonts w:hint="eastAsia" w:asciiTheme="minorEastAsia" w:hAnsiTheme="minorEastAsia" w:eastAsiaTheme="minorEastAsia" w:cstheme="minorEastAsia"/>
        </w:rPr>
        <w:t xml:space="preserve"> </w:t>
      </w:r>
    </w:p>
    <w:p w14:paraId="1ACF4EE4">
      <w:pPr>
        <w:pStyle w:val="68"/>
        <w:spacing w:before="156" w:after="156"/>
        <w:rPr>
          <w:rFonts w:hint="eastAsia" w:hAnsi="Times New Roman" w:cs="Times New Roman"/>
          <w:lang w:val="en" w:eastAsia="zh-CN"/>
        </w:rPr>
      </w:pPr>
      <w:r>
        <w:rPr>
          <w:rFonts w:hint="eastAsia" w:hAnsi="Times New Roman" w:cs="Times New Roman"/>
          <w:lang w:val="en" w:eastAsia="zh-CN"/>
        </w:rPr>
        <w:t>外包装</w:t>
      </w:r>
    </w:p>
    <w:p w14:paraId="0CC55957">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瓦楞纸箱（GB/T 6543），载重≤5 kg（荔枝/龙眼）或≤10 kg（火龙果）；开孔率≥8%（侧壁</w:t>
      </w:r>
      <w:r>
        <w:rPr>
          <w:rFonts w:hint="eastAsia" w:ascii="宋体" w:hAnsi="Times New Roman" w:eastAsia="宋体" w:cs="Times New Roman"/>
          <w:kern w:val="0"/>
          <w:sz w:val="21"/>
          <w:szCs w:val="20"/>
          <w:lang w:val="en-US" w:eastAsia="zh-CN" w:bidi="ar-SA"/>
        </w:rPr>
        <w:t>通气孔）。</w:t>
      </w:r>
    </w:p>
    <w:p w14:paraId="5A6884B3">
      <w:pPr>
        <w:pStyle w:val="107"/>
        <w:spacing w:before="312" w:beforeLines="0" w:after="312" w:afterLines="0"/>
        <w:rPr>
          <w:rFonts w:hint="eastAsia" w:ascii="黑体" w:hAnsi="黑体" w:eastAsia="黑体" w:cs="黑体"/>
          <w:lang w:val="en-US" w:eastAsia="zh-CN"/>
        </w:rPr>
      </w:pPr>
      <w:bookmarkStart w:id="70" w:name="_Toc1223604394"/>
      <w:r>
        <w:rPr>
          <w:rFonts w:hint="eastAsia" w:ascii="黑体" w:hAnsi="黑体" w:eastAsia="黑体" w:cs="黑体"/>
          <w:lang w:val="en-US" w:eastAsia="zh-CN"/>
        </w:rPr>
        <w:t>贮藏</w:t>
      </w:r>
      <w:bookmarkEnd w:id="70"/>
    </w:p>
    <w:p w14:paraId="17B38B89">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表</w:t>
      </w:r>
      <w:r>
        <w:rPr>
          <w:rFonts w:hint="eastAsia" w:asciiTheme="minorEastAsia" w:hAnsiTheme="minorEastAsia" w:eastAsiaTheme="minorEastAsia" w:cstheme="minorEastAsia"/>
          <w:lang w:val="en-US" w:eastAsia="zh-CN"/>
        </w:rPr>
        <w:t>4 适宜贮藏温湿度及贮藏期</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4"/>
        <w:gridCol w:w="1954"/>
        <w:gridCol w:w="1956"/>
        <w:gridCol w:w="1733"/>
      </w:tblGrid>
      <w:tr w14:paraId="2EB1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954" w:type="dxa"/>
            <w:noWrap w:val="0"/>
            <w:vAlign w:val="center"/>
          </w:tcPr>
          <w:p w14:paraId="37A3E1B1">
            <w:pPr>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rPr>
              <w:t>水果</w:t>
            </w:r>
            <w:r>
              <w:rPr>
                <w:rFonts w:hint="eastAsia" w:ascii="宋体" w:hAnsi="宋体" w:eastAsia="宋体" w:cs="宋体"/>
                <w:sz w:val="18"/>
                <w:szCs w:val="18"/>
                <w:lang w:eastAsia="zh-CN"/>
              </w:rPr>
              <w:t>名称</w:t>
            </w:r>
          </w:p>
        </w:tc>
        <w:tc>
          <w:tcPr>
            <w:tcW w:w="1954" w:type="dxa"/>
            <w:noWrap w:val="0"/>
            <w:vAlign w:val="center"/>
          </w:tcPr>
          <w:p w14:paraId="418CAAF5">
            <w:pPr>
              <w:jc w:val="center"/>
              <w:rPr>
                <w:rFonts w:hint="eastAsia" w:ascii="宋体" w:hAnsi="宋体" w:eastAsia="宋体" w:cs="宋体"/>
                <w:sz w:val="18"/>
                <w:szCs w:val="18"/>
                <w:vertAlign w:val="baseline"/>
              </w:rPr>
            </w:pPr>
            <w:r>
              <w:rPr>
                <w:rFonts w:hint="eastAsia" w:ascii="宋体" w:hAnsi="宋体" w:eastAsia="宋体" w:cs="宋体"/>
                <w:sz w:val="18"/>
                <w:szCs w:val="18"/>
              </w:rPr>
              <w:t>温度（℃）</w:t>
            </w:r>
          </w:p>
        </w:tc>
        <w:tc>
          <w:tcPr>
            <w:tcW w:w="1956" w:type="dxa"/>
            <w:noWrap w:val="0"/>
            <w:vAlign w:val="center"/>
          </w:tcPr>
          <w:p w14:paraId="4D1491C7">
            <w:pPr>
              <w:jc w:val="center"/>
              <w:rPr>
                <w:rFonts w:hint="eastAsia" w:ascii="宋体" w:hAnsi="宋体" w:eastAsia="宋体" w:cs="宋体"/>
                <w:sz w:val="18"/>
                <w:szCs w:val="18"/>
                <w:vertAlign w:val="baseline"/>
              </w:rPr>
            </w:pPr>
            <w:r>
              <w:rPr>
                <w:rFonts w:hint="eastAsia" w:ascii="宋体" w:hAnsi="宋体" w:eastAsia="宋体" w:cs="宋体"/>
                <w:sz w:val="18"/>
                <w:szCs w:val="18"/>
              </w:rPr>
              <w:t>湿度（%）</w:t>
            </w:r>
          </w:p>
        </w:tc>
        <w:tc>
          <w:tcPr>
            <w:tcW w:w="1733" w:type="dxa"/>
            <w:noWrap w:val="0"/>
            <w:vAlign w:val="center"/>
          </w:tcPr>
          <w:p w14:paraId="6B1E7A64">
            <w:pPr>
              <w:jc w:val="center"/>
              <w:rPr>
                <w:rFonts w:hint="eastAsia" w:ascii="宋体" w:hAnsi="宋体" w:eastAsia="宋体" w:cs="宋体"/>
                <w:sz w:val="18"/>
                <w:szCs w:val="18"/>
                <w:vertAlign w:val="baseline"/>
                <w:lang w:eastAsia="zh-CN"/>
              </w:rPr>
            </w:pPr>
            <w:r>
              <w:rPr>
                <w:rFonts w:hint="eastAsia" w:ascii="宋体" w:hAnsi="宋体" w:eastAsia="宋体" w:cs="宋体"/>
                <w:sz w:val="18"/>
                <w:szCs w:val="18"/>
              </w:rPr>
              <w:t>贮藏期</w:t>
            </w:r>
            <w:r>
              <w:rPr>
                <w:rFonts w:hint="eastAsia" w:ascii="宋体" w:hAnsi="宋体" w:eastAsia="宋体" w:cs="宋体"/>
                <w:sz w:val="18"/>
                <w:szCs w:val="18"/>
                <w:lang w:eastAsia="zh-CN"/>
              </w:rPr>
              <w:t>（天）</w:t>
            </w:r>
          </w:p>
        </w:tc>
      </w:tr>
      <w:tr w14:paraId="0545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954" w:type="dxa"/>
            <w:noWrap w:val="0"/>
            <w:vAlign w:val="center"/>
          </w:tcPr>
          <w:p w14:paraId="3D213504">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rPr>
              <w:t>荔枝</w:t>
            </w:r>
          </w:p>
        </w:tc>
        <w:tc>
          <w:tcPr>
            <w:tcW w:w="1954" w:type="dxa"/>
            <w:noWrap w:val="0"/>
            <w:vAlign w:val="center"/>
          </w:tcPr>
          <w:p w14:paraId="0436C226">
            <w:pPr>
              <w:keepNext w:val="0"/>
              <w:keepLines w:val="0"/>
              <w:widowControl/>
              <w:suppressLineNumbers w:val="0"/>
              <w:jc w:val="center"/>
              <w:rPr>
                <w:rFonts w:hint="eastAsia" w:ascii="宋体" w:hAnsi="宋体" w:eastAsia="宋体" w:cs="宋体"/>
                <w:b w:val="0"/>
                <w:bCs w:val="0"/>
                <w:sz w:val="18"/>
                <w:szCs w:val="18"/>
                <w:vertAlign w:val="baseline"/>
              </w:rPr>
            </w:pPr>
            <w:r>
              <w:rPr>
                <w:rStyle w:val="32"/>
                <w:rFonts w:hint="eastAsia" w:ascii="宋体" w:hAnsi="宋体" w:eastAsia="宋体" w:cs="宋体"/>
                <w:b w:val="0"/>
                <w:bCs w:val="0"/>
                <w:kern w:val="0"/>
                <w:sz w:val="18"/>
                <w:szCs w:val="18"/>
                <w:lang w:val="en-US" w:eastAsia="zh-CN" w:bidi="ar"/>
              </w:rPr>
              <w:t>2-5</w:t>
            </w:r>
          </w:p>
        </w:tc>
        <w:tc>
          <w:tcPr>
            <w:tcW w:w="1956" w:type="dxa"/>
            <w:noWrap w:val="0"/>
            <w:vAlign w:val="center"/>
          </w:tcPr>
          <w:p w14:paraId="248C5659">
            <w:pPr>
              <w:keepNext w:val="0"/>
              <w:keepLines w:val="0"/>
              <w:widowControl/>
              <w:suppressLineNumbers w:val="0"/>
              <w:jc w:val="center"/>
              <w:rPr>
                <w:rFonts w:hint="eastAsia" w:ascii="宋体" w:hAnsi="宋体" w:eastAsia="宋体" w:cs="宋体"/>
                <w:b w:val="0"/>
                <w:bCs w:val="0"/>
                <w:sz w:val="18"/>
                <w:szCs w:val="18"/>
                <w:vertAlign w:val="baseline"/>
                <w:lang w:val="en-US"/>
              </w:rPr>
            </w:pPr>
            <w:r>
              <w:rPr>
                <w:rFonts w:hint="eastAsia" w:ascii="宋体" w:hAnsi="宋体" w:eastAsia="宋体" w:cs="宋体"/>
                <w:b w:val="0"/>
                <w:bCs w:val="0"/>
                <w:kern w:val="0"/>
                <w:sz w:val="18"/>
                <w:szCs w:val="18"/>
                <w:lang w:val="en-US" w:eastAsia="zh-CN" w:bidi="ar"/>
              </w:rPr>
              <w:t>9</w:t>
            </w:r>
            <w:r>
              <w:rPr>
                <w:rFonts w:hint="eastAsia" w:ascii="宋体" w:hAnsi="宋体" w:eastAsia="宋体" w:cs="宋体"/>
                <w:b w:val="0"/>
                <w:bCs w:val="0"/>
                <w:kern w:val="0"/>
                <w:sz w:val="18"/>
                <w:szCs w:val="18"/>
                <w:lang w:eastAsia="zh-CN" w:bidi="ar"/>
              </w:rPr>
              <w:t>0</w:t>
            </w:r>
            <w:r>
              <w:rPr>
                <w:rFonts w:hint="eastAsia" w:ascii="宋体" w:hAnsi="宋体" w:eastAsia="宋体" w:cs="宋体"/>
                <w:b w:val="0"/>
                <w:bCs w:val="0"/>
                <w:kern w:val="0"/>
                <w:sz w:val="18"/>
                <w:szCs w:val="18"/>
                <w:lang w:val="en-US" w:eastAsia="zh-CN" w:bidi="ar"/>
              </w:rPr>
              <w:t>-95</w:t>
            </w:r>
          </w:p>
        </w:tc>
        <w:tc>
          <w:tcPr>
            <w:tcW w:w="1733" w:type="dxa"/>
            <w:noWrap w:val="0"/>
            <w:vAlign w:val="center"/>
          </w:tcPr>
          <w:p w14:paraId="00125B88">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15-20</w:t>
            </w:r>
          </w:p>
        </w:tc>
      </w:tr>
      <w:tr w14:paraId="7D60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954" w:type="dxa"/>
            <w:noWrap w:val="0"/>
            <w:vAlign w:val="center"/>
          </w:tcPr>
          <w:p w14:paraId="6951A6CC">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rPr>
              <w:t>龙眼</w:t>
            </w:r>
          </w:p>
        </w:tc>
        <w:tc>
          <w:tcPr>
            <w:tcW w:w="1954" w:type="dxa"/>
            <w:noWrap w:val="0"/>
            <w:vAlign w:val="center"/>
          </w:tcPr>
          <w:p w14:paraId="4140890B">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3-5</w:t>
            </w:r>
          </w:p>
        </w:tc>
        <w:tc>
          <w:tcPr>
            <w:tcW w:w="1956" w:type="dxa"/>
            <w:noWrap w:val="0"/>
            <w:vAlign w:val="center"/>
          </w:tcPr>
          <w:p w14:paraId="56C5B18E">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90-95</w:t>
            </w:r>
          </w:p>
        </w:tc>
        <w:tc>
          <w:tcPr>
            <w:tcW w:w="1733" w:type="dxa"/>
            <w:noWrap w:val="0"/>
            <w:vAlign w:val="center"/>
          </w:tcPr>
          <w:p w14:paraId="582E9947">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20-25</w:t>
            </w:r>
          </w:p>
        </w:tc>
      </w:tr>
      <w:tr w14:paraId="5720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954" w:type="dxa"/>
            <w:noWrap w:val="0"/>
            <w:vAlign w:val="center"/>
          </w:tcPr>
          <w:p w14:paraId="5551CF42">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rPr>
              <w:t>释迦果</w:t>
            </w:r>
          </w:p>
        </w:tc>
        <w:tc>
          <w:tcPr>
            <w:tcW w:w="1954" w:type="dxa"/>
            <w:noWrap w:val="0"/>
            <w:vAlign w:val="center"/>
          </w:tcPr>
          <w:p w14:paraId="255D2EF9">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15-20</w:t>
            </w:r>
          </w:p>
        </w:tc>
        <w:tc>
          <w:tcPr>
            <w:tcW w:w="1956" w:type="dxa"/>
            <w:noWrap w:val="0"/>
            <w:vAlign w:val="center"/>
          </w:tcPr>
          <w:p w14:paraId="0FC4DA2D">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85-90</w:t>
            </w:r>
          </w:p>
        </w:tc>
        <w:tc>
          <w:tcPr>
            <w:tcW w:w="1733" w:type="dxa"/>
            <w:noWrap w:val="0"/>
            <w:vAlign w:val="center"/>
          </w:tcPr>
          <w:p w14:paraId="09ABCCC4">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10-15</w:t>
            </w:r>
          </w:p>
        </w:tc>
      </w:tr>
      <w:tr w14:paraId="5A2E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954" w:type="dxa"/>
            <w:noWrap w:val="0"/>
            <w:vAlign w:val="center"/>
          </w:tcPr>
          <w:p w14:paraId="35DFA15F">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rPr>
              <w:t>火龙果</w:t>
            </w:r>
          </w:p>
        </w:tc>
        <w:tc>
          <w:tcPr>
            <w:tcW w:w="1954" w:type="dxa"/>
            <w:noWrap w:val="0"/>
            <w:vAlign w:val="center"/>
          </w:tcPr>
          <w:p w14:paraId="4EFBA25F">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5-8</w:t>
            </w:r>
          </w:p>
        </w:tc>
        <w:tc>
          <w:tcPr>
            <w:tcW w:w="1956" w:type="dxa"/>
            <w:noWrap w:val="0"/>
            <w:vAlign w:val="center"/>
          </w:tcPr>
          <w:p w14:paraId="1EE8F1D0">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85-90</w:t>
            </w:r>
          </w:p>
        </w:tc>
        <w:tc>
          <w:tcPr>
            <w:tcW w:w="1733" w:type="dxa"/>
            <w:noWrap w:val="0"/>
            <w:vAlign w:val="center"/>
          </w:tcPr>
          <w:p w14:paraId="7FDA8C0D">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30-40</w:t>
            </w:r>
          </w:p>
        </w:tc>
      </w:tr>
      <w:tr w14:paraId="280D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954" w:type="dxa"/>
            <w:noWrap w:val="0"/>
            <w:vAlign w:val="center"/>
          </w:tcPr>
          <w:p w14:paraId="65CC495E">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rPr>
              <w:t>番石榴</w:t>
            </w:r>
          </w:p>
        </w:tc>
        <w:tc>
          <w:tcPr>
            <w:tcW w:w="1954" w:type="dxa"/>
            <w:noWrap w:val="0"/>
            <w:vAlign w:val="center"/>
          </w:tcPr>
          <w:p w14:paraId="6269D62A">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7-10</w:t>
            </w:r>
          </w:p>
        </w:tc>
        <w:tc>
          <w:tcPr>
            <w:tcW w:w="1956" w:type="dxa"/>
            <w:noWrap w:val="0"/>
            <w:vAlign w:val="center"/>
          </w:tcPr>
          <w:p w14:paraId="06DD8351">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85-90</w:t>
            </w:r>
          </w:p>
        </w:tc>
        <w:tc>
          <w:tcPr>
            <w:tcW w:w="1733" w:type="dxa"/>
            <w:noWrap w:val="0"/>
            <w:vAlign w:val="center"/>
          </w:tcPr>
          <w:p w14:paraId="53107E50">
            <w:pPr>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7-15</w:t>
            </w:r>
          </w:p>
        </w:tc>
      </w:tr>
    </w:tbl>
    <w:p w14:paraId="656F9DE2">
      <w:pPr>
        <w:rPr>
          <w:rFonts w:hint="eastAsia" w:asciiTheme="minorEastAsia" w:hAnsiTheme="minorEastAsia" w:eastAsiaTheme="minorEastAsia" w:cstheme="minorEastAsia"/>
        </w:rPr>
      </w:pPr>
    </w:p>
    <w:p w14:paraId="6CCA20C3">
      <w:pPr>
        <w:rPr>
          <w:rFonts w:hint="default" w:ascii="黑体" w:hAnsi="黑体" w:eastAsia="黑体" w:cs="黑体"/>
          <w:lang w:val="en-US" w:eastAsia="zh-CN"/>
        </w:rPr>
      </w:pPr>
      <w:r>
        <w:rPr>
          <w:rFonts w:hint="eastAsia" w:asciiTheme="minorEastAsia" w:hAnsiTheme="minorEastAsia" w:eastAsiaTheme="minorEastAsia" w:cstheme="minorEastAsia"/>
        </w:rPr>
        <w:t>管理要求：定期通风（每3天1次，≤30 min）；每周检查腐烂率（＞3%即分拣）。</w:t>
      </w:r>
      <w:r>
        <w:rPr>
          <w:rFonts w:hint="eastAsia" w:ascii="黑体" w:hAnsi="黑体" w:eastAsia="黑体" w:cs="黑体"/>
        </w:rPr>
        <w:t xml:space="preserve"> </w:t>
      </w:r>
      <w:r>
        <w:rPr>
          <w:rFonts w:hint="eastAsia" w:asciiTheme="minorEastAsia" w:hAnsiTheme="minorEastAsia" w:eastAsiaTheme="minorEastAsia" w:cstheme="minorEastAsia"/>
          <w:lang w:eastAsia="zh-CN"/>
        </w:rPr>
        <w:t>贮藏条件应符合</w:t>
      </w:r>
      <w:r>
        <w:rPr>
          <w:rFonts w:hint="eastAsia" w:asciiTheme="minorEastAsia" w:hAnsiTheme="minorEastAsia" w:eastAsiaTheme="minorEastAsia" w:cstheme="minorEastAsia"/>
          <w:lang w:val="en-US" w:eastAsia="zh-CN"/>
        </w:rPr>
        <w:t>NY/T 1056-2021。</w:t>
      </w:r>
    </w:p>
    <w:p w14:paraId="5062D144">
      <w:pPr>
        <w:pStyle w:val="107"/>
        <w:spacing w:before="312" w:beforeLines="0" w:after="312" w:afterLines="0"/>
        <w:rPr>
          <w:rFonts w:hint="eastAsia"/>
          <w:lang w:val="en-US" w:eastAsia="zh-CN"/>
        </w:rPr>
      </w:pPr>
      <w:bookmarkStart w:id="71" w:name="_Toc758135616"/>
      <w:r>
        <w:rPr>
          <w:rFonts w:hint="eastAsia" w:ascii="黑体" w:hAnsi="黑体" w:eastAsia="黑体" w:cs="黑体"/>
        </w:rPr>
        <w:t>运输</w:t>
      </w:r>
      <w:bookmarkEnd w:id="71"/>
      <w:r>
        <w:rPr>
          <w:rFonts w:hint="eastAsia" w:ascii="黑体" w:hAnsi="黑体" w:eastAsia="黑体" w:cs="黑体"/>
        </w:rPr>
        <w:t xml:space="preserve"> </w:t>
      </w:r>
    </w:p>
    <w:p w14:paraId="1B1B7462">
      <w:pPr>
        <w:pStyle w:val="201"/>
        <w:rPr>
          <w:rFonts w:ascii="Times New Roman" w:hAnsi="Times New Roman" w:cs="Times New Roman"/>
          <w:vanish w:val="0"/>
        </w:rPr>
      </w:pPr>
    </w:p>
    <w:p w14:paraId="6DBC35A4">
      <w:pPr>
        <w:pStyle w:val="108"/>
        <w:keepNext w:val="0"/>
        <w:keepLines w:val="0"/>
        <w:pageBreakBefore w:val="0"/>
        <w:widowControl/>
        <w:kinsoku/>
        <w:wordWrap/>
        <w:overflowPunct/>
        <w:topLinePunct w:val="0"/>
        <w:autoSpaceDE/>
        <w:autoSpaceDN/>
        <w:bidi w:val="0"/>
        <w:adjustRightInd/>
        <w:snapToGrid/>
        <w:spacing w:before="0" w:beforeLines="0" w:after="156" w:afterLines="0"/>
        <w:textAlignment w:val="auto"/>
        <w:outlineLvl w:val="9"/>
        <w:rPr>
          <w:rFonts w:hint="eastAsia" w:ascii="黑体" w:hAnsi="黑体" w:eastAsia="黑体" w:cs="黑体"/>
          <w:lang w:val="en"/>
        </w:rPr>
      </w:pPr>
      <w:bookmarkStart w:id="72" w:name="_Toc1426280502"/>
      <w:bookmarkStart w:id="73" w:name="_Toc286820604"/>
      <w:r>
        <w:rPr>
          <w:rFonts w:hint="eastAsia" w:ascii="黑体" w:hAnsi="黑体" w:eastAsia="黑体" w:cs="黑体"/>
          <w:lang w:val="en"/>
        </w:rPr>
        <w:t>冷链运输</w:t>
      </w:r>
      <w:bookmarkEnd w:id="72"/>
      <w:bookmarkEnd w:id="73"/>
      <w:r>
        <w:rPr>
          <w:rFonts w:hint="eastAsia" w:ascii="黑体" w:hAnsi="黑体" w:eastAsia="黑体" w:cs="黑体"/>
          <w:lang w:val="en"/>
        </w:rPr>
        <w:t xml:space="preserve">  </w:t>
      </w:r>
    </w:p>
    <w:p w14:paraId="3E02B290">
      <w:pPr>
        <w:pStyle w:val="68"/>
        <w:spacing w:before="156" w:after="156"/>
        <w:rPr>
          <w:rFonts w:hint="eastAsia" w:ascii="宋体" w:hAnsi="宋体" w:eastAsia="宋体" w:cs="宋体"/>
          <w:lang w:eastAsia="zh-CN"/>
        </w:rPr>
      </w:pPr>
      <w:r>
        <w:rPr>
          <w:rFonts w:hint="eastAsia" w:ascii="宋体" w:hAnsi="宋体" w:eastAsia="宋体" w:cs="宋体"/>
          <w:lang w:eastAsia="zh-CN"/>
        </w:rPr>
        <w:t xml:space="preserve">温度：荔枝/龙眼 4±1℃，释迦果 12±1℃，番石榴/火龙果 8±1℃；  </w:t>
      </w:r>
    </w:p>
    <w:p w14:paraId="178E11FD">
      <w:pPr>
        <w:pStyle w:val="68"/>
        <w:spacing w:before="156" w:after="156"/>
        <w:rPr>
          <w:rFonts w:hint="eastAsia" w:ascii="宋体" w:hAnsi="宋体" w:eastAsia="宋体" w:cs="宋体"/>
          <w:lang w:eastAsia="zh-CN"/>
        </w:rPr>
      </w:pPr>
      <w:r>
        <w:rPr>
          <w:rFonts w:hint="eastAsia" w:ascii="宋体" w:hAnsi="宋体" w:eastAsia="宋体" w:cs="宋体"/>
          <w:lang w:eastAsia="zh-CN"/>
        </w:rPr>
        <w:t xml:space="preserve">堆码：间隙≥15 cm，全程温湿度监控+自动记录。  </w:t>
      </w:r>
    </w:p>
    <w:p w14:paraId="657E1FE1">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黑体" w:hAnsi="黑体" w:eastAsia="黑体" w:cs="黑体"/>
          <w:lang w:val="en"/>
        </w:rPr>
      </w:pPr>
      <w:bookmarkStart w:id="74" w:name="_Toc974448828"/>
      <w:bookmarkStart w:id="75" w:name="_Toc253886536"/>
      <w:r>
        <w:rPr>
          <w:rFonts w:hint="eastAsia" w:ascii="黑体" w:hAnsi="黑体" w:eastAsia="黑体" w:cs="黑体"/>
          <w:lang w:val="en"/>
        </w:rPr>
        <w:t>常温运输</w:t>
      </w:r>
      <w:bookmarkEnd w:id="74"/>
      <w:bookmarkEnd w:id="75"/>
      <w:r>
        <w:rPr>
          <w:rFonts w:hint="eastAsia" w:ascii="黑体" w:hAnsi="黑体" w:eastAsia="黑体" w:cs="黑体"/>
          <w:lang w:val="en"/>
        </w:rPr>
        <w:t xml:space="preserve">  </w:t>
      </w:r>
    </w:p>
    <w:p w14:paraId="5482E622">
      <w:pPr>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隔热车厢+蓄冷剂（冰袋），运输时间≤24 h（荔枝/龙眼）或≤48 h（火龙果/番石榴）；覆盖遮阳篷布，轻装轻卸。</w:t>
      </w:r>
    </w:p>
    <w:p w14:paraId="20439AC8">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default" w:ascii="黑体" w:hAnsi="黑体" w:eastAsia="黑体" w:cs="黑体"/>
          <w:lang w:val="en-US" w:eastAsia="zh-CN"/>
        </w:rPr>
      </w:pPr>
      <w:bookmarkStart w:id="76" w:name="_Toc927125409"/>
      <w:r>
        <w:rPr>
          <w:rFonts w:hint="eastAsia" w:ascii="黑体" w:hAnsi="黑体" w:eastAsia="黑体" w:cs="黑体"/>
          <w:lang w:val="en-US" w:eastAsia="zh-CN"/>
        </w:rPr>
        <w:t>运输条件</w:t>
      </w:r>
      <w:r>
        <w:rPr>
          <w:rFonts w:hint="eastAsia" w:asciiTheme="minorEastAsia" w:hAnsiTheme="minorEastAsia" w:eastAsiaTheme="minorEastAsia" w:cstheme="minorEastAsia"/>
          <w:lang w:eastAsia="zh-CN"/>
        </w:rPr>
        <w:t>应符合</w:t>
      </w:r>
      <w:r>
        <w:rPr>
          <w:rFonts w:hint="eastAsia" w:asciiTheme="minorEastAsia" w:hAnsiTheme="minorEastAsia" w:eastAsiaTheme="minorEastAsia" w:cstheme="minorEastAsia"/>
          <w:lang w:val="en-US" w:eastAsia="zh-CN"/>
        </w:rPr>
        <w:t>NY/T 1056-2021。</w:t>
      </w:r>
      <w:bookmarkEnd w:id="76"/>
    </w:p>
    <w:p w14:paraId="0DD36BC5">
      <w:pPr>
        <w:pStyle w:val="107"/>
        <w:spacing w:before="312" w:beforeLines="0" w:after="312" w:afterLines="0"/>
        <w:rPr>
          <w:rFonts w:hint="eastAsia" w:ascii="黑体" w:hAnsi="黑体" w:eastAsia="黑体" w:cs="黑体"/>
          <w:lang w:val="en-US" w:eastAsia="zh-CN"/>
        </w:rPr>
      </w:pPr>
      <w:bookmarkStart w:id="77" w:name="_Toc458958499"/>
      <w:r>
        <w:rPr>
          <w:rFonts w:hint="eastAsia" w:ascii="黑体" w:hAnsi="黑体" w:eastAsia="黑体" w:cs="黑体"/>
          <w:lang w:val="en-US" w:eastAsia="zh-CN"/>
        </w:rPr>
        <w:t>检验方法</w:t>
      </w:r>
      <w:bookmarkEnd w:id="77"/>
      <w:r>
        <w:rPr>
          <w:rFonts w:hint="eastAsia" w:ascii="黑体" w:hAnsi="黑体" w:eastAsia="黑体" w:cs="黑体"/>
          <w:lang w:val="en-US" w:eastAsia="zh-CN"/>
        </w:rPr>
        <w:t xml:space="preserve">  </w:t>
      </w:r>
    </w:p>
    <w:p w14:paraId="65E0A33F">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宋体" w:hAnsi="宋体" w:eastAsia="宋体" w:cs="宋体"/>
          <w:lang w:eastAsia="zh-CN"/>
        </w:rPr>
      </w:pPr>
      <w:bookmarkStart w:id="78" w:name="_Toc2073378570"/>
      <w:r>
        <w:rPr>
          <w:rFonts w:hint="eastAsia" w:ascii="宋体" w:hAnsi="宋体" w:eastAsia="宋体" w:cs="宋体"/>
          <w:lang w:val="en" w:eastAsia="zh-CN"/>
        </w:rPr>
        <w:t>TSS测定：</w:t>
      </w:r>
      <w:r>
        <w:rPr>
          <w:rFonts w:hint="eastAsia" w:ascii="宋体" w:hAnsi="宋体" w:eastAsia="宋体" w:cs="宋体"/>
          <w:lang w:eastAsia="zh-CN"/>
        </w:rPr>
        <w:t>按</w:t>
      </w:r>
      <w:r>
        <w:rPr>
          <w:rFonts w:hint="eastAsia" w:ascii="宋体" w:hAnsi="宋体" w:eastAsia="宋体" w:cs="宋体"/>
          <w:lang w:val="en-US" w:eastAsia="zh-CN"/>
        </w:rPr>
        <w:t>NY/T 2637规定的方法执行。</w:t>
      </w:r>
      <w:bookmarkEnd w:id="78"/>
      <w:r>
        <w:rPr>
          <w:rFonts w:hint="eastAsia" w:ascii="宋体" w:hAnsi="宋体" w:eastAsia="宋体" w:cs="宋体"/>
          <w:lang w:eastAsia="zh-CN"/>
        </w:rPr>
        <w:t xml:space="preserve">  </w:t>
      </w:r>
    </w:p>
    <w:p w14:paraId="662969D7">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eastAsia" w:ascii="宋体" w:hAnsi="宋体" w:eastAsia="宋体" w:cs="宋体"/>
          <w:lang w:eastAsia="zh-CN"/>
        </w:rPr>
      </w:pPr>
      <w:bookmarkStart w:id="79" w:name="_Toc1152224677"/>
      <w:r>
        <w:rPr>
          <w:rFonts w:hint="eastAsia" w:ascii="宋体" w:hAnsi="宋体" w:eastAsia="宋体" w:cs="宋体"/>
          <w:lang w:val="en" w:eastAsia="zh-CN"/>
        </w:rPr>
        <w:t>好果率</w:t>
      </w:r>
      <w:r>
        <w:rPr>
          <w:rFonts w:hint="eastAsia" w:ascii="宋体" w:hAnsi="宋体" w:eastAsia="宋体" w:cs="宋体"/>
          <w:lang w:eastAsia="zh-CN"/>
        </w:rPr>
        <w:t>：剔除病斑＞5 mm²或失重＞5%的果实</w:t>
      </w:r>
      <w:r>
        <w:rPr>
          <w:rFonts w:hint="eastAsia" w:ascii="宋体" w:hAnsi="宋体" w:eastAsia="宋体" w:cs="宋体"/>
          <w:lang w:val="en-US" w:eastAsia="zh-CN"/>
        </w:rPr>
        <w:t>，</w:t>
      </w:r>
      <w:r>
        <w:rPr>
          <w:rFonts w:hint="eastAsia" w:ascii="宋体" w:hAnsi="宋体" w:eastAsia="宋体" w:cs="宋体"/>
          <w:lang w:eastAsia="zh-CN"/>
        </w:rPr>
        <w:t>好果率(%)=好果数/总果数×100。</w:t>
      </w:r>
      <w:bookmarkEnd w:id="79"/>
    </w:p>
    <w:p w14:paraId="132DB609">
      <w:pPr>
        <w:pStyle w:val="108"/>
        <w:keepNext w:val="0"/>
        <w:keepLines w:val="0"/>
        <w:pageBreakBefore w:val="0"/>
        <w:widowControl/>
        <w:kinsoku/>
        <w:wordWrap/>
        <w:overflowPunct/>
        <w:topLinePunct w:val="0"/>
        <w:autoSpaceDE/>
        <w:autoSpaceDN/>
        <w:bidi w:val="0"/>
        <w:adjustRightInd/>
        <w:snapToGrid/>
        <w:spacing w:before="156" w:beforeLines="0" w:after="156" w:afterLines="0"/>
        <w:textAlignment w:val="auto"/>
        <w:outlineLvl w:val="9"/>
        <w:rPr>
          <w:rFonts w:hint="default" w:ascii="黑体" w:hAnsi="黑体" w:eastAsia="黑体" w:cs="黑体"/>
          <w:lang w:val="en-US" w:eastAsia="zh-CN"/>
        </w:rPr>
      </w:pPr>
      <w:bookmarkStart w:id="80" w:name="_Toc435909632"/>
      <w:r>
        <w:rPr>
          <w:rFonts w:hint="eastAsia" w:ascii="宋体" w:hAnsi="宋体" w:eastAsia="宋体" w:cs="宋体"/>
          <w:lang w:val="en-US" w:eastAsia="zh-CN"/>
        </w:rPr>
        <w:t>冷害指数</w:t>
      </w:r>
      <w:r>
        <w:rPr>
          <w:rFonts w:hint="eastAsia" w:ascii="宋体" w:hAnsi="宋体" w:eastAsia="宋体" w:cs="宋体"/>
          <w:lang w:eastAsia="zh-CN"/>
        </w:rPr>
        <w:t>：统计果皮褐变面积占比（%）；</w:t>
      </w:r>
      <w:bookmarkEnd w:id="80"/>
      <w:r>
        <w:rPr>
          <w:rFonts w:hint="eastAsia" w:ascii="黑体" w:hAnsi="黑体" w:eastAsia="黑体" w:cs="黑体"/>
          <w:lang w:eastAsia="zh-CN"/>
        </w:rPr>
        <w:t xml:space="preserve">  </w:t>
      </w:r>
    </w:p>
    <w:p w14:paraId="1F03B32F">
      <w:pPr>
        <w:pStyle w:val="107"/>
        <w:spacing w:before="312" w:beforeLines="0" w:after="312" w:afterLines="0"/>
        <w:rPr>
          <w:rFonts w:hint="default" w:ascii="Times New Roman" w:hAnsi="Times New Roman" w:cs="Times New Roman"/>
          <w:color w:val="auto"/>
          <w:szCs w:val="21"/>
          <w:highlight w:val="none"/>
          <w:lang w:val="en-US" w:eastAsia="zh-CN"/>
        </w:rPr>
      </w:pPr>
      <w:bookmarkStart w:id="81" w:name="_Toc532749169"/>
      <w:r>
        <w:rPr>
          <w:rFonts w:hint="eastAsia" w:ascii="Times New Roman" w:hAnsi="Times New Roman" w:cs="Times New Roman"/>
          <w:color w:val="auto"/>
          <w:szCs w:val="21"/>
          <w:highlight w:val="none"/>
          <w:lang w:val="en-US" w:eastAsia="zh-CN"/>
        </w:rPr>
        <w:t>农药残留限</w:t>
      </w:r>
      <w:bookmarkStart w:id="83" w:name="_GoBack"/>
      <w:bookmarkEnd w:id="83"/>
      <w:r>
        <w:rPr>
          <w:rFonts w:hint="eastAsia" w:ascii="Times New Roman" w:hAnsi="Times New Roman" w:cs="Times New Roman"/>
          <w:color w:val="auto"/>
          <w:szCs w:val="21"/>
          <w:highlight w:val="none"/>
          <w:lang w:val="en-US" w:eastAsia="zh-CN"/>
        </w:rPr>
        <w:t>量</w:t>
      </w:r>
      <w:bookmarkEnd w:id="81"/>
    </w:p>
    <w:p w14:paraId="3EC71530">
      <w:pPr>
        <w:pStyle w:val="107"/>
        <w:numPr>
          <w:numId w:val="0"/>
        </w:numPr>
        <w:spacing w:before="312" w:after="312"/>
        <w:ind w:leftChars="0" w:firstLine="630" w:firstLineChars="300"/>
        <w:rPr>
          <w:rFonts w:ascii="宋体" w:hAnsi="宋体" w:eastAsia="宋体" w:cstheme="minorEastAsia"/>
        </w:rPr>
      </w:pPr>
      <w:r>
        <w:rPr>
          <w:rFonts w:hint="eastAsia" w:ascii="Times New Roman" w:cs="Times New Roman"/>
          <w:color w:val="auto"/>
          <w:szCs w:val="21"/>
          <w:highlight w:val="none"/>
          <w:lang w:val="en-US" w:eastAsia="zh-CN"/>
        </w:rPr>
        <w:t>应符合</w:t>
      </w:r>
      <w:r>
        <w:rPr>
          <w:rFonts w:hint="eastAsia" w:asciiTheme="minorEastAsia" w:hAnsiTheme="minorEastAsia" w:eastAsiaTheme="minorEastAsia" w:cstheme="minorEastAsia"/>
          <w:kern w:val="2"/>
          <w:sz w:val="21"/>
          <w:szCs w:val="21"/>
          <w:lang w:val="en-US" w:eastAsia="zh-CN" w:bidi="ar-SA"/>
        </w:rPr>
        <w:t>NY/T 750—2020。</w:t>
      </w:r>
    </w:p>
    <w:bookmarkEnd w:id="26"/>
    <w:p w14:paraId="7096CC47">
      <w:pPr>
        <w:pStyle w:val="59"/>
        <w:ind w:firstLine="0" w:firstLineChars="0"/>
        <w:jc w:val="center"/>
      </w:pPr>
      <w:bookmarkStart w:id="82"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8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sans-serif">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B87E">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7F84">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9AA55">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A899">
    <w:pPr>
      <w:pStyle w:val="55"/>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71F41">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4E3BD">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FA64C">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69C1">
    <w:pPr>
      <w:pStyle w:val="64"/>
    </w:pPr>
    <w:r>
      <w:fldChar w:fldCharType="begin"/>
    </w:r>
    <w:r>
      <w:instrText xml:space="preserve"> STYLEREF  标准文件_文件编号  \* MERGEFORMAT </w:instrText>
    </w:r>
    <w:r>
      <w:fldChar w:fldCharType="separate"/>
    </w:r>
    <w:r>
      <w:t>DB5104/TXXXX—2026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089E">
    <w:pPr>
      <w:pStyle w:val="21"/>
      <w:jc w:val="right"/>
      <w:rPr>
        <w:lang w:val="fr-FR"/>
      </w:rPr>
    </w:pPr>
    <w:r>
      <w:fldChar w:fldCharType="begin"/>
    </w:r>
    <w:r>
      <w:instrText xml:space="preserve"> STYLEREF  标准文件_文件编号  \* MERGEFORMAT </w:instrText>
    </w:r>
    <w:r>
      <w:fldChar w:fldCharType="separate"/>
    </w:r>
    <w:r>
      <w:t>DB5104/TXXXX—2026</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7E0FF"/>
    <w:multiLevelType w:val="multilevel"/>
    <w:tmpl w:val="E997E0FF"/>
    <w:lvl w:ilvl="0" w:tentative="0">
      <w:start w:val="1"/>
      <w:numFmt w:val="decimal"/>
      <w:pStyle w:val="236"/>
      <w:suff w:val="nothing"/>
      <w:lvlText w:val="%1　"/>
      <w:lvlJc w:val="left"/>
      <w:pPr>
        <w:tabs>
          <w:tab w:val="left" w:pos="0"/>
        </w:tabs>
        <w:ind w:left="0" w:firstLine="0"/>
      </w:pPr>
      <w:rPr>
        <w:rFonts w:hint="eastAsia" w:ascii="黑体" w:hAnsi="黑体" w:eastAsia="黑体"/>
        <w:b w:val="0"/>
        <w:i w:val="0"/>
        <w:sz w:val="21"/>
        <w:szCs w:val="21"/>
      </w:rPr>
    </w:lvl>
    <w:lvl w:ilvl="1" w:tentative="0">
      <w:start w:val="1"/>
      <w:numFmt w:val="decimal"/>
      <w:pStyle w:val="235"/>
      <w:suff w:val="nothing"/>
      <w:lvlText w:val="%1.%2　"/>
      <w:lvlJc w:val="left"/>
      <w:pPr>
        <w:tabs>
          <w:tab w:val="left" w:pos="0"/>
        </w:tabs>
        <w:ind w:left="0" w:firstLine="0"/>
      </w:pPr>
      <w:rPr>
        <w:rFonts w:hint="eastAsia" w:ascii="黑体" w:hAnsi="黑体" w:eastAsia="黑体" w:cs="Times New Roman"/>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7"/>
      <w:suff w:val="nothing"/>
      <w:lvlText w:val="%1.%2.%3　"/>
      <w:lvlJc w:val="left"/>
      <w:pPr>
        <w:tabs>
          <w:tab w:val="left" w:pos="0"/>
        </w:tabs>
        <w:ind w:left="0" w:firstLine="0"/>
      </w:pPr>
      <w:rPr>
        <w:rFonts w:hint="eastAsia" w:ascii="黑体" w:hAnsi="黑体" w:eastAsia="黑体"/>
        <w:b w:val="0"/>
        <w:i w:val="0"/>
        <w:sz w:val="21"/>
      </w:rPr>
    </w:lvl>
    <w:lvl w:ilvl="3" w:tentative="0">
      <w:start w:val="1"/>
      <w:numFmt w:val="decimal"/>
      <w:pStyle w:val="238"/>
      <w:suff w:val="nothing"/>
      <w:lvlText w:val="%1.%2.%3.%4　"/>
      <w:lvlJc w:val="left"/>
      <w:pPr>
        <w:tabs>
          <w:tab w:val="left" w:pos="0"/>
        </w:tabs>
        <w:ind w:left="0" w:firstLine="0"/>
      </w:pPr>
      <w:rPr>
        <w:rFonts w:hint="eastAsia" w:ascii="黑体" w:hAnsi="黑体" w:eastAsia="黑体"/>
        <w:b w:val="0"/>
        <w:i w:val="0"/>
        <w:sz w:val="21"/>
      </w:rPr>
    </w:lvl>
    <w:lvl w:ilvl="4" w:tentative="0">
      <w:start w:val="1"/>
      <w:numFmt w:val="decimal"/>
      <w:pStyle w:val="239"/>
      <w:suff w:val="nothing"/>
      <w:lvlText w:val="%1.%2.%3.%4.%5　"/>
      <w:lvlJc w:val="left"/>
      <w:pPr>
        <w:tabs>
          <w:tab w:val="left" w:pos="0"/>
        </w:tabs>
        <w:ind w:left="0" w:firstLine="0"/>
      </w:pPr>
      <w:rPr>
        <w:rFonts w:hint="eastAsia" w:ascii="黑体" w:hAnsi="黑体" w:eastAsia="黑体"/>
        <w:b w:val="0"/>
        <w:i w:val="0"/>
        <w:sz w:val="21"/>
      </w:rPr>
    </w:lvl>
    <w:lvl w:ilvl="5" w:tentative="0">
      <w:start w:val="1"/>
      <w:numFmt w:val="decimal"/>
      <w:pStyle w:val="240"/>
      <w:suff w:val="nothing"/>
      <w:lvlText w:val="%1.%2.%3.%4.%5.%6　"/>
      <w:lvlJc w:val="left"/>
      <w:pPr>
        <w:tabs>
          <w:tab w:val="left" w:pos="0"/>
        </w:tabs>
        <w:ind w:left="0" w:firstLine="0"/>
      </w:pPr>
      <w:rPr>
        <w:rFonts w:hint="eastAsia" w:ascii="黑体" w:hAnsi="黑体" w:eastAsia="黑体"/>
        <w:b w:val="0"/>
        <w:i w:val="0"/>
        <w:sz w:val="21"/>
      </w:rPr>
    </w:lvl>
    <w:lvl w:ilvl="6" w:tentative="0">
      <w:start w:val="1"/>
      <w:numFmt w:val="decimal"/>
      <w:suff w:val="nothing"/>
      <w:lvlText w:val="%1%2.%3.%4.%5.%6.%7　"/>
      <w:lvlJc w:val="left"/>
      <w:pPr>
        <w:tabs>
          <w:tab w:val="left" w:pos="0"/>
        </w:tabs>
        <w:ind w:left="0" w:firstLine="0"/>
      </w:pPr>
      <w:rPr>
        <w:rFonts w:hint="eastAsia" w:ascii="黑体" w:hAnsi="黑体" w:eastAsia="黑体"/>
        <w:b w:val="0"/>
        <w:i w:val="0"/>
        <w:sz w:val="21"/>
      </w:rPr>
    </w:lvl>
    <w:lvl w:ilvl="7" w:tentative="0">
      <w:start w:val="1"/>
      <w:numFmt w:val="decimal"/>
      <w:lvlText w:val="%1.%2.%3.%4.%5.%6.%7.%8"/>
      <w:lvlJc w:val="left"/>
      <w:pPr>
        <w:tabs>
          <w:tab w:val="left" w:pos="0"/>
        </w:tabs>
        <w:ind w:left="3969" w:hanging="1418"/>
      </w:pPr>
      <w:rPr>
        <w:rFonts w:hint="eastAsia"/>
      </w:rPr>
    </w:lvl>
    <w:lvl w:ilvl="8" w:tentative="0">
      <w:start w:val="1"/>
      <w:numFmt w:val="decimal"/>
      <w:lvlText w:val="%1.%2.%3.%4.%5.%6.%7.%8.%9"/>
      <w:lvlJc w:val="left"/>
      <w:pPr>
        <w:tabs>
          <w:tab w:val="left" w:pos="0"/>
        </w:tabs>
        <w:ind w:left="4677" w:hanging="1700"/>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693E"/>
    <w:rsid w:val="0000040A"/>
    <w:rsid w:val="00000A94"/>
    <w:rsid w:val="00001972"/>
    <w:rsid w:val="00001D9A"/>
    <w:rsid w:val="00005BB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7D5"/>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89A"/>
    <w:rsid w:val="00133010"/>
    <w:rsid w:val="001338EE"/>
    <w:rsid w:val="00133AAE"/>
    <w:rsid w:val="00135323"/>
    <w:rsid w:val="001356C4"/>
    <w:rsid w:val="00141114"/>
    <w:rsid w:val="001419D7"/>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E5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AD4"/>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FD0"/>
    <w:rsid w:val="003C010C"/>
    <w:rsid w:val="003C0A6C"/>
    <w:rsid w:val="003C14F8"/>
    <w:rsid w:val="003C5A43"/>
    <w:rsid w:val="003D0519"/>
    <w:rsid w:val="003D0FF6"/>
    <w:rsid w:val="003D262C"/>
    <w:rsid w:val="003D6D61"/>
    <w:rsid w:val="003D79C6"/>
    <w:rsid w:val="003E091D"/>
    <w:rsid w:val="003E1C53"/>
    <w:rsid w:val="003E227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C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41F"/>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5C1"/>
    <w:rsid w:val="00630661"/>
    <w:rsid w:val="006317B3"/>
    <w:rsid w:val="00632182"/>
    <w:rsid w:val="006323CD"/>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C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356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D1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765"/>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82A"/>
    <w:rsid w:val="00A75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AB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60"/>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36C"/>
    <w:rsid w:val="00CC038D"/>
    <w:rsid w:val="00CC08DB"/>
    <w:rsid w:val="00CC39FF"/>
    <w:rsid w:val="00CC3C2F"/>
    <w:rsid w:val="00CC4AC8"/>
    <w:rsid w:val="00CC5233"/>
    <w:rsid w:val="00CC5C0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DB9"/>
    <w:rsid w:val="00CF686F"/>
    <w:rsid w:val="00CF6E60"/>
    <w:rsid w:val="00CF7BCA"/>
    <w:rsid w:val="00D008FD"/>
    <w:rsid w:val="00D02ED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0F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5E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0AB"/>
    <w:rsid w:val="00F81141"/>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09D"/>
    <w:rsid w:val="00FE1FBE"/>
    <w:rsid w:val="00FE3901"/>
    <w:rsid w:val="00FE39D3"/>
    <w:rsid w:val="00FE4BCE"/>
    <w:rsid w:val="00FE54AE"/>
    <w:rsid w:val="00FE576A"/>
    <w:rsid w:val="00FE7E79"/>
    <w:rsid w:val="00FF3E7D"/>
    <w:rsid w:val="00FF5B99"/>
    <w:rsid w:val="00FF730C"/>
    <w:rsid w:val="00FF73F4"/>
    <w:rsid w:val="00FF7CE4"/>
    <w:rsid w:val="00FF7E39"/>
    <w:rsid w:val="05B1343C"/>
    <w:rsid w:val="0E7A5F2D"/>
    <w:rsid w:val="251713E4"/>
    <w:rsid w:val="27A21D1D"/>
    <w:rsid w:val="333B262F"/>
    <w:rsid w:val="33C61EE3"/>
    <w:rsid w:val="692073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 w:val="32"/>
      <w:szCs w:val="32"/>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Document Map"/>
    <w:basedOn w:val="1"/>
    <w:link w:val="233"/>
    <w:semiHidden/>
    <w:unhideWhenUsed/>
    <w:qFormat/>
    <w:uiPriority w:val="99"/>
    <w:rPr>
      <w:rFonts w:ascii="宋体"/>
      <w:sz w:val="18"/>
      <w:szCs w:val="18"/>
    </w:rPr>
  </w:style>
  <w:style w:type="paragraph" w:styleId="15">
    <w:name w:val="index 6"/>
    <w:basedOn w:val="1"/>
    <w:next w:val="1"/>
    <w:qFormat/>
    <w:uiPriority w:val="0"/>
    <w:pPr>
      <w:adjustRightInd/>
      <w:spacing w:line="240" w:lineRule="auto"/>
      <w:ind w:left="1260" w:hanging="210"/>
      <w:jc w:val="left"/>
    </w:pPr>
    <w:rPr>
      <w:sz w:val="20"/>
      <w:szCs w:val="20"/>
    </w:rPr>
  </w:style>
  <w:style w:type="paragraph" w:styleId="16">
    <w:name w:val="Body Text"/>
    <w:basedOn w:val="1"/>
    <w:link w:val="89"/>
    <w:qFormat/>
    <w:uiPriority w:val="0"/>
    <w:pPr>
      <w:spacing w:after="120"/>
    </w:pPr>
  </w:style>
  <w:style w:type="paragraph" w:styleId="17">
    <w:name w:val="toc 5"/>
    <w:basedOn w:val="1"/>
    <w:next w:val="1"/>
    <w:autoRedefine/>
    <w:unhideWhenUsed/>
    <w:qFormat/>
    <w:uiPriority w:val="39"/>
    <w:pPr>
      <w:ind w:left="839"/>
    </w:pPr>
    <w:rPr>
      <w:rFonts w:ascii="宋体"/>
    </w:rPr>
  </w:style>
  <w:style w:type="paragraph" w:styleId="18">
    <w:name w:val="toc 3"/>
    <w:basedOn w:val="1"/>
    <w:next w:val="1"/>
    <w:autoRedefine/>
    <w:unhideWhenUsed/>
    <w:qFormat/>
    <w:uiPriority w:val="39"/>
    <w:pPr>
      <w:spacing w:line="300" w:lineRule="exact"/>
      <w:ind w:left="420"/>
    </w:pPr>
    <w:rPr>
      <w:rFonts w:ascii="宋体"/>
    </w:rPr>
  </w:style>
  <w:style w:type="paragraph" w:styleId="19">
    <w:name w:val="Balloon Text"/>
    <w:basedOn w:val="1"/>
    <w:link w:val="48"/>
    <w:semiHidden/>
    <w:unhideWhenUsed/>
    <w:qFormat/>
    <w:uiPriority w:val="99"/>
    <w:rPr>
      <w:sz w:val="18"/>
      <w:szCs w:val="18"/>
    </w:rPr>
  </w:style>
  <w:style w:type="paragraph" w:styleId="20">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6"/>
    <w:qFormat/>
    <w:uiPriority w:val="99"/>
    <w:pPr>
      <w:tabs>
        <w:tab w:val="center" w:pos="4153"/>
        <w:tab w:val="right" w:pos="8306"/>
      </w:tabs>
      <w:adjustRightInd/>
      <w:snapToGrid w:val="0"/>
      <w:jc w:val="center"/>
    </w:pPr>
    <w:rPr>
      <w:sz w:val="18"/>
      <w:szCs w:val="18"/>
    </w:rPr>
  </w:style>
  <w:style w:type="paragraph" w:styleId="22">
    <w:name w:val="toc 1"/>
    <w:basedOn w:val="1"/>
    <w:next w:val="1"/>
    <w:autoRedefine/>
    <w:unhideWhenUsed/>
    <w:qFormat/>
    <w:uiPriority w:val="39"/>
    <w:rPr>
      <w:rFonts w:ascii="宋体"/>
    </w:rPr>
  </w:style>
  <w:style w:type="paragraph" w:styleId="23">
    <w:name w:val="toc 4"/>
    <w:basedOn w:val="1"/>
    <w:next w:val="1"/>
    <w:autoRedefine/>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autoRedefine/>
    <w:unhideWhenUsed/>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autoRedefine/>
    <w:unhideWhenUsed/>
    <w:uiPriority w:val="39"/>
    <w:pPr>
      <w:tabs>
        <w:tab w:val="right" w:leader="dot" w:pos="9344"/>
      </w:tabs>
      <w:spacing w:line="300" w:lineRule="exact"/>
      <w:ind w:left="210"/>
    </w:pPr>
    <w:rPr>
      <w:rFonts w:ascii="宋体"/>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3"/>
    <w:qFormat/>
    <w:uiPriority w:val="0"/>
    <w:rPr>
      <w:b/>
      <w:bCs/>
      <w:kern w:val="44"/>
      <w:sz w:val="44"/>
      <w:szCs w:val="44"/>
    </w:rPr>
  </w:style>
  <w:style w:type="character" w:customStyle="1" w:styleId="38">
    <w:name w:val="标题 2 Char"/>
    <w:link w:val="4"/>
    <w:qFormat/>
    <w:uiPriority w:val="0"/>
    <w:rPr>
      <w:rFonts w:ascii="Arial" w:hAnsi="Arial" w:eastAsia="黑体"/>
      <w:b/>
      <w:bCs/>
      <w:kern w:val="2"/>
      <w:sz w:val="32"/>
      <w:szCs w:val="32"/>
    </w:rPr>
  </w:style>
  <w:style w:type="character" w:customStyle="1" w:styleId="39">
    <w:name w:val="标题 3 Char"/>
    <w:link w:val="5"/>
    <w:qFormat/>
    <w:uiPriority w:val="0"/>
    <w:rPr>
      <w:b/>
      <w:bCs/>
      <w:kern w:val="2"/>
      <w:sz w:val="32"/>
      <w:szCs w:val="32"/>
    </w:rPr>
  </w:style>
  <w:style w:type="character" w:customStyle="1" w:styleId="40">
    <w:name w:val="标题 4 Char"/>
    <w:link w:val="6"/>
    <w:qFormat/>
    <w:uiPriority w:val="0"/>
    <w:rPr>
      <w:rFonts w:ascii="Arial" w:hAnsi="Arial" w:eastAsia="黑体"/>
      <w:b/>
      <w:bCs/>
      <w:kern w:val="2"/>
      <w:sz w:val="28"/>
      <w:szCs w:val="28"/>
    </w:rPr>
  </w:style>
  <w:style w:type="character" w:customStyle="1" w:styleId="41">
    <w:name w:val="标题 5 Char"/>
    <w:link w:val="7"/>
    <w:qFormat/>
    <w:uiPriority w:val="0"/>
    <w:rPr>
      <w:b/>
      <w:bCs/>
      <w:kern w:val="2"/>
      <w:sz w:val="28"/>
      <w:szCs w:val="28"/>
    </w:rPr>
  </w:style>
  <w:style w:type="character" w:customStyle="1" w:styleId="42">
    <w:name w:val="标题 6 Char"/>
    <w:link w:val="8"/>
    <w:qFormat/>
    <w:uiPriority w:val="0"/>
    <w:rPr>
      <w:rFonts w:ascii="Arial" w:hAnsi="Arial" w:eastAsia="黑体"/>
      <w:b/>
      <w:bCs/>
      <w:kern w:val="2"/>
      <w:sz w:val="24"/>
      <w:szCs w:val="24"/>
    </w:rPr>
  </w:style>
  <w:style w:type="character" w:customStyle="1" w:styleId="43">
    <w:name w:val="标题 7 Char"/>
    <w:link w:val="9"/>
    <w:qFormat/>
    <w:uiPriority w:val="0"/>
    <w:rPr>
      <w:b/>
      <w:bCs/>
      <w:kern w:val="2"/>
      <w:sz w:val="24"/>
      <w:szCs w:val="24"/>
    </w:rPr>
  </w:style>
  <w:style w:type="character" w:customStyle="1" w:styleId="44">
    <w:name w:val="标题 8 Char"/>
    <w:link w:val="10"/>
    <w:qFormat/>
    <w:uiPriority w:val="0"/>
    <w:rPr>
      <w:rFonts w:ascii="Arial" w:hAnsi="Arial" w:eastAsia="黑体"/>
      <w:kern w:val="2"/>
      <w:sz w:val="24"/>
      <w:szCs w:val="24"/>
    </w:rPr>
  </w:style>
  <w:style w:type="character" w:customStyle="1" w:styleId="45">
    <w:name w:val="标题 9 Char"/>
    <w:link w:val="11"/>
    <w:qFormat/>
    <w:uiPriority w:val="0"/>
    <w:rPr>
      <w:rFonts w:ascii="Arial" w:hAnsi="Arial" w:eastAsia="黑体"/>
      <w:kern w:val="2"/>
      <w:sz w:val="21"/>
      <w:szCs w:val="21"/>
    </w:rPr>
  </w:style>
  <w:style w:type="character" w:customStyle="1" w:styleId="46">
    <w:name w:val="页眉 Char"/>
    <w:link w:val="21"/>
    <w:qFormat/>
    <w:uiPriority w:val="99"/>
    <w:rPr>
      <w:kern w:val="2"/>
      <w:sz w:val="18"/>
      <w:szCs w:val="18"/>
    </w:rPr>
  </w:style>
  <w:style w:type="character" w:customStyle="1" w:styleId="47">
    <w:name w:val="页脚 Char"/>
    <w:link w:val="20"/>
    <w:qFormat/>
    <w:uiPriority w:val="99"/>
    <w:rPr>
      <w:rFonts w:ascii="宋体"/>
      <w:kern w:val="2"/>
      <w:sz w:val="18"/>
      <w:szCs w:val="18"/>
    </w:rPr>
  </w:style>
  <w:style w:type="character" w:customStyle="1" w:styleId="48">
    <w:name w:val="批注框文本 Char"/>
    <w:link w:val="19"/>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6"/>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4"/>
    <w:semiHidden/>
    <w:uiPriority w:val="0"/>
    <w:rPr>
      <w:rFonts w:ascii="宋体"/>
      <w:kern w:val="2"/>
      <w:sz w:val="18"/>
      <w:szCs w:val="18"/>
    </w:rPr>
  </w:style>
  <w:style w:type="paragraph" w:customStyle="1" w:styleId="103">
    <w:name w:val="标准文件_条文脚注"/>
    <w:basedOn w:val="24"/>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文档结构图 Char"/>
    <w:basedOn w:val="31"/>
    <w:link w:val="14"/>
    <w:semiHidden/>
    <w:uiPriority w:val="99"/>
    <w:rPr>
      <w:rFonts w:ascii="宋体"/>
      <w:kern w:val="2"/>
      <w:sz w:val="18"/>
      <w:szCs w:val="18"/>
    </w:rPr>
  </w:style>
  <w:style w:type="paragraph" w:customStyle="1" w:styleId="23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5">
    <w:name w:val="一级条标题"/>
    <w:next w:val="234"/>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章标题"/>
    <w:next w:val="234"/>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二级条标题"/>
    <w:basedOn w:val="235"/>
    <w:next w:val="234"/>
    <w:qFormat/>
    <w:uiPriority w:val="0"/>
    <w:pPr>
      <w:numPr>
        <w:ilvl w:val="2"/>
      </w:numPr>
      <w:spacing w:beforeLines="0" w:afterLines="0"/>
      <w:outlineLvl w:val="3"/>
    </w:pPr>
  </w:style>
  <w:style w:type="paragraph" w:customStyle="1" w:styleId="238">
    <w:name w:val="三级条标题"/>
    <w:basedOn w:val="237"/>
    <w:next w:val="234"/>
    <w:qFormat/>
    <w:uiPriority w:val="0"/>
    <w:pPr>
      <w:numPr>
        <w:ilvl w:val="3"/>
      </w:numPr>
      <w:outlineLvl w:val="4"/>
    </w:pPr>
  </w:style>
  <w:style w:type="paragraph" w:customStyle="1" w:styleId="239">
    <w:name w:val="四级条标题"/>
    <w:basedOn w:val="238"/>
    <w:next w:val="234"/>
    <w:qFormat/>
    <w:uiPriority w:val="0"/>
    <w:pPr>
      <w:numPr>
        <w:ilvl w:val="4"/>
      </w:numPr>
      <w:outlineLvl w:val="5"/>
    </w:pPr>
  </w:style>
  <w:style w:type="paragraph" w:customStyle="1" w:styleId="240">
    <w:name w:val="五级条标题"/>
    <w:basedOn w:val="239"/>
    <w:next w:val="234"/>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5E65F3B1F140B08A376520658E9AB0"/>
        <w:style w:val=""/>
        <w:category>
          <w:name w:val="常规"/>
          <w:gallery w:val="placeholder"/>
        </w:category>
        <w:types>
          <w:type w:val="bbPlcHdr"/>
        </w:types>
        <w:behaviors>
          <w:behavior w:val="content"/>
        </w:behaviors>
        <w:description w:val=""/>
        <w:guid w:val="{2F0B267B-2F80-4C9C-9957-CB191EB4A298}"/>
      </w:docPartPr>
      <w:docPartBody>
        <w:p w14:paraId="2D9B7E45">
          <w:pPr>
            <w:pStyle w:val="5"/>
          </w:pPr>
          <w:r>
            <w:rPr>
              <w:rStyle w:val="4"/>
              <w:rFonts w:hint="eastAsia"/>
            </w:rPr>
            <w:t>单击或点击此处输入文字。</w:t>
          </w:r>
        </w:p>
      </w:docPartBody>
    </w:docPart>
    <w:docPart>
      <w:docPartPr>
        <w:name w:val="A9CACF3B45394DC8BC946805C9403B0C"/>
        <w:style w:val=""/>
        <w:category>
          <w:name w:val="常规"/>
          <w:gallery w:val="placeholder"/>
        </w:category>
        <w:types>
          <w:type w:val="bbPlcHdr"/>
        </w:types>
        <w:behaviors>
          <w:behavior w:val="content"/>
        </w:behaviors>
        <w:description w:val=""/>
        <w:guid w:val="{5112316C-8400-49A6-AE3D-56BCEEB06BF7}"/>
      </w:docPartPr>
      <w:docPartBody>
        <w:p w14:paraId="0C8B87B8">
          <w:pPr>
            <w:pStyle w:val="6"/>
          </w:pPr>
          <w:r>
            <w:rPr>
              <w:rStyle w:val="4"/>
              <w:rFonts w:hint="eastAsia"/>
            </w:rPr>
            <w:t>选择一项。</w:t>
          </w:r>
        </w:p>
      </w:docPartBody>
    </w:docPart>
    <w:docPart>
      <w:docPartPr>
        <w:name w:val="6633933ADA554FC1A8E55464F0A880FD"/>
        <w:style w:val=""/>
        <w:category>
          <w:name w:val="常规"/>
          <w:gallery w:val="placeholder"/>
        </w:category>
        <w:types>
          <w:type w:val="bbPlcHdr"/>
        </w:types>
        <w:behaviors>
          <w:behavior w:val="content"/>
        </w:behaviors>
        <w:description w:val=""/>
        <w:guid w:val="{998DC3D1-C7FC-4146-A86B-2EDF785A67A3}"/>
      </w:docPartPr>
      <w:docPartBody>
        <w:p w14:paraId="5C3C8D2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AC6"/>
    <w:rsid w:val="00436AC6"/>
    <w:rsid w:val="00487901"/>
    <w:rsid w:val="00733DCF"/>
    <w:rsid w:val="009B5321"/>
    <w:rsid w:val="009D2B45"/>
    <w:rsid w:val="00E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5E65F3B1F140B08A376520658E9A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CACF3B45394DC8BC946805C9403B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633933ADA554FC1A8E55464F0A880F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6058</Words>
  <Characters>6798</Characters>
  <Lines>55</Lines>
  <Paragraphs>15</Paragraphs>
  <TotalTime>10</TotalTime>
  <ScaleCrop>false</ScaleCrop>
  <LinksUpToDate>false</LinksUpToDate>
  <CharactersWithSpaces>6978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2026-03-16T01:25:00Z</dcterms:created>
  <dc:creator>AutoBVT</dc:creator>
  <dc:description>&lt;config cover="true" show_menu="true" version="1.0.0" doctype="SDKXY"&gt;_x000d_
&lt;/config&gt;</dc:description>
  <cp:lastModifiedBy>Administrator</cp:lastModifiedBy>
  <cp:lastPrinted>2020-08-30T10:00:00Z</cp:lastPrinted>
  <dcterms:modified xsi:type="dcterms:W3CDTF">2026-03-17T02:37:30Z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eyJoZGlkIjoiMDU3YmFhOGY0MTMwNzljNmUyNDRjNjQxMzgwNzNiODIifQ==</vt:lpwstr>
  </property>
  <property fmtid="{D5CDD505-2E9C-101B-9397-08002B2CF9AE}" pid="15" name="KSOProductBuildVer">
    <vt:lpwstr>2052-12.1.0.22529</vt:lpwstr>
  </property>
  <property fmtid="{D5CDD505-2E9C-101B-9397-08002B2CF9AE}" pid="16" name="ICV">
    <vt:lpwstr>45710CFB22D24802BE2CC9798377AD4A_12</vt:lpwstr>
  </property>
</Properties>
</file>