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0B9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DD6129F">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953FB1">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7A3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0A492F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A7779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AA1F7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526C2A5C">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5</w:t>
            </w:r>
            <w:r>
              <w:rPr>
                <w:rFonts w:hint="eastAsia"/>
                <w:lang w:val="en-US" w:eastAsia="zh-CN"/>
              </w:rPr>
              <w:t>104</w:t>
            </w:r>
            <w:r>
              <w:fldChar w:fldCharType="end"/>
            </w:r>
            <w:bookmarkEnd w:id="3"/>
          </w:p>
        </w:tc>
      </w:tr>
    </w:tbl>
    <w:p w14:paraId="5296EDF9">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四川省（攀枝花市）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3344B3E">
      <w:pPr>
        <w:pStyle w:val="195"/>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5104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8373E94">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A6857F5">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0033893">
      <w:pPr>
        <w:pStyle w:val="50"/>
        <w:framePr w:w="9639" w:h="6976" w:hRule="exact" w:hSpace="0" w:vSpace="0" w:wrap="around" w:hAnchor="page" w:y="6408"/>
        <w:jc w:val="center"/>
        <w:rPr>
          <w:rFonts w:hint="eastAsia" w:ascii="黑体" w:hAnsi="黑体" w:eastAsia="黑体"/>
          <w:b w:val="0"/>
          <w:bCs w:val="0"/>
          <w:w w:val="100"/>
        </w:rPr>
      </w:pPr>
    </w:p>
    <w:p w14:paraId="369E1D25">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凯特芒果果肉溃败病防治技术规程</w:t>
      </w:r>
      <w:r>
        <w:fldChar w:fldCharType="end"/>
      </w:r>
      <w:bookmarkEnd w:id="9"/>
    </w:p>
    <w:p w14:paraId="6AD0E1B1">
      <w:pPr>
        <w:framePr w:w="9639" w:h="6974" w:hRule="exact" w:wrap="around" w:vAnchor="page" w:hAnchor="page" w:x="1419" w:y="6408" w:anchorLock="1"/>
        <w:ind w:left="-1418"/>
      </w:pPr>
    </w:p>
    <w:p w14:paraId="6A6F278D">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454D4DEC">
      <w:pPr>
        <w:framePr w:w="9639" w:h="6974" w:hRule="exact" w:wrap="around" w:vAnchor="page" w:hAnchor="page" w:x="1419" w:y="6408" w:anchorLock="1"/>
        <w:spacing w:line="760" w:lineRule="exact"/>
        <w:ind w:left="-1418"/>
      </w:pPr>
    </w:p>
    <w:p w14:paraId="41B340AF">
      <w:pPr>
        <w:pStyle w:val="125"/>
        <w:framePr w:w="9639" w:h="6974" w:hRule="exact" w:wrap="around" w:vAnchor="page" w:hAnchor="page" w:x="1419" w:y="6408" w:anchorLock="1"/>
        <w:textAlignment w:val="bottom"/>
        <w:rPr>
          <w:rFonts w:eastAsia="黑体"/>
          <w:szCs w:val="28"/>
        </w:rPr>
      </w:pPr>
    </w:p>
    <w:p w14:paraId="14C54D4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03225C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EE0621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11EFC1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CBAF1D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ADD01B3">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攀枝花市市场监督管理局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B971135">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2B9937C">
      <w:pPr>
        <w:pStyle w:val="91"/>
        <w:bidi w:val="0"/>
        <w:rPr>
          <w:rFonts w:hint="eastAsia"/>
          <w:lang w:eastAsia="zh-CN"/>
        </w:rPr>
      </w:pPr>
      <w:bookmarkStart w:id="21" w:name="BookMark1"/>
      <w:r>
        <w:rPr>
          <w:rFonts w:hint="eastAsia"/>
          <w:spacing w:val="320"/>
          <w:lang w:eastAsia="zh-CN"/>
        </w:rPr>
        <w:t>目</w:t>
      </w:r>
      <w:r>
        <w:rPr>
          <w:rFonts w:hint="eastAsia"/>
          <w:lang w:eastAsia="zh-CN"/>
        </w:rPr>
        <w:t>次</w:t>
      </w:r>
    </w:p>
    <w:p w14:paraId="0DC2F40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_Toc24428 </w:instrText>
      </w:r>
      <w:r>
        <w:rPr>
          <w:rFonts w:hint="eastAsia"/>
          <w:spacing w:val="0"/>
          <w:lang w:eastAsia="zh-CN"/>
        </w:rPr>
        <w:fldChar w:fldCharType="separate"/>
      </w:r>
      <w:r>
        <w:rPr>
          <w:rFonts w:hint="eastAsia"/>
          <w:spacing w:val="0"/>
          <w:lang w:eastAsia="zh-CN"/>
        </w:rPr>
        <w:t>前</w:t>
      </w:r>
      <w:r>
        <w:rPr>
          <w:rFonts w:hint="eastAsia"/>
          <w:spacing w:val="0"/>
          <w:lang w:val="en-US" w:eastAsia="zh-CN"/>
        </w:rPr>
        <w:t xml:space="preserve"> </w:t>
      </w:r>
      <w:r>
        <w:rPr>
          <w:rFonts w:hint="eastAsia"/>
          <w:spacing w:val="0"/>
          <w:lang w:eastAsia="zh-CN"/>
        </w:rPr>
        <w:t>言</w:t>
      </w:r>
      <w:r>
        <w:rPr>
          <w:spacing w:val="0"/>
        </w:rPr>
        <w:tab/>
      </w:r>
      <w:r>
        <w:rPr>
          <w:spacing w:val="0"/>
        </w:rPr>
        <w:fldChar w:fldCharType="begin"/>
      </w:r>
      <w:r>
        <w:rPr>
          <w:spacing w:val="0"/>
        </w:rPr>
        <w:instrText xml:space="preserve"> PAGEREF _Toc24428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48F7FD23">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_Toc8311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_Toc8311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99D99B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_Toc20200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_Toc20200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5A8DCE3F">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_Toc25422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_Toc25422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7C5B2AD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_Toc10656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spacing w:val="0"/>
        </w:rPr>
        <w:t>病害诊断与识别</w:t>
      </w:r>
      <w:r>
        <w:rPr>
          <w:spacing w:val="0"/>
        </w:rPr>
        <w:tab/>
      </w:r>
      <w:r>
        <w:rPr>
          <w:spacing w:val="0"/>
        </w:rPr>
        <w:fldChar w:fldCharType="begin"/>
      </w:r>
      <w:r>
        <w:rPr>
          <w:spacing w:val="0"/>
        </w:rPr>
        <w:instrText xml:space="preserve"> PAGEREF _Toc10656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40FABC8F">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_Toc25609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spacing w:val="0"/>
        </w:rPr>
        <w:t>综合防治技术</w:t>
      </w:r>
      <w:r>
        <w:rPr>
          <w:spacing w:val="0"/>
        </w:rPr>
        <w:tab/>
      </w:r>
      <w:r>
        <w:rPr>
          <w:spacing w:val="0"/>
        </w:rPr>
        <w:fldChar w:fldCharType="begin"/>
      </w:r>
      <w:r>
        <w:rPr>
          <w:spacing w:val="0"/>
        </w:rPr>
        <w:instrText xml:space="preserve"> PAGEREF _Toc25609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5FC2615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_Toc1245 </w:instrText>
      </w:r>
      <w:r>
        <w:rPr>
          <w:rFonts w:hint="eastAsia"/>
          <w:spacing w:val="0"/>
          <w:lang w:eastAsia="zh-CN"/>
        </w:rPr>
        <w:fldChar w:fldCharType="separate"/>
      </w:r>
      <w:r>
        <w:rPr>
          <w:rFonts w:hint="eastAsia" w:ascii="黑体" w:eastAsia="黑体"/>
          <w:i w:val="0"/>
          <w:spacing w:val="0"/>
        </w:rPr>
        <w:t>6</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记录与溯源</w:t>
      </w:r>
      <w:r>
        <w:rPr>
          <w:spacing w:val="0"/>
        </w:rPr>
        <w:tab/>
      </w:r>
      <w:r>
        <w:rPr>
          <w:spacing w:val="0"/>
        </w:rPr>
        <w:fldChar w:fldCharType="begin"/>
      </w:r>
      <w:r>
        <w:rPr>
          <w:spacing w:val="0"/>
        </w:rPr>
        <w:instrText xml:space="preserve"> PAGEREF _Toc1245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3493BE4D">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_Toc2469 </w:instrText>
      </w:r>
      <w:r>
        <w:rPr>
          <w:rFonts w:hint="eastAsia"/>
          <w:spacing w:val="0"/>
          <w:lang w:eastAsia="zh-CN"/>
        </w:rPr>
        <w:fldChar w:fldCharType="separate"/>
      </w:r>
      <w:r>
        <w:rPr>
          <w:rFonts w:hint="eastAsia"/>
          <w:spacing w:val="0"/>
        </w:rPr>
        <w:t>附录A</w:t>
      </w:r>
      <w:r>
        <w:rPr>
          <w:spacing w:val="0"/>
        </w:rPr>
        <w:t xml:space="preserve"> </w:t>
      </w:r>
      <w:r>
        <w:rPr>
          <w:rFonts w:hint="eastAsia"/>
          <w:spacing w:val="0"/>
          <w:lang w:eastAsia="zh-CN"/>
        </w:rPr>
        <w:t>（资料性 ） 凯特芒果果肉溃败病分级标准</w:t>
      </w:r>
      <w:r>
        <w:rPr>
          <w:spacing w:val="0"/>
        </w:rPr>
        <w:tab/>
      </w:r>
      <w:r>
        <w:rPr>
          <w:spacing w:val="0"/>
        </w:rPr>
        <w:fldChar w:fldCharType="begin"/>
      </w:r>
      <w:r>
        <w:rPr>
          <w:spacing w:val="0"/>
        </w:rPr>
        <w:instrText xml:space="preserve"> PAGEREF _Toc2469 \h </w:instrText>
      </w:r>
      <w:r>
        <w:rPr>
          <w:spacing w:val="0"/>
        </w:rPr>
        <w:fldChar w:fldCharType="separate"/>
      </w:r>
      <w:r>
        <w:rPr>
          <w:spacing w:val="0"/>
        </w:rPr>
        <w:t>5</w:t>
      </w:r>
      <w:r>
        <w:rPr>
          <w:spacing w:val="0"/>
        </w:rPr>
        <w:fldChar w:fldCharType="end"/>
      </w:r>
      <w:r>
        <w:rPr>
          <w:rFonts w:hint="eastAsia"/>
          <w:spacing w:val="0"/>
          <w:lang w:eastAsia="zh-CN"/>
        </w:rPr>
        <w:fldChar w:fldCharType="end"/>
      </w:r>
    </w:p>
    <w:p w14:paraId="7EB3752C">
      <w:pPr>
        <w:pStyle w:val="91"/>
        <w:bidi w:val="0"/>
        <w:rPr>
          <w:rFonts w:hint="eastAsia"/>
          <w:spacing w:val="0"/>
          <w:lang w:eastAsia="zh-CN"/>
        </w:rPr>
        <w:sectPr>
          <w:headerReference r:id="rId9" w:type="default"/>
          <w:footerReference r:id="rId10" w:type="default"/>
          <w:pgSz w:w="11906" w:h="16838"/>
          <w:pgMar w:top="1928" w:right="1134" w:bottom="1134" w:left="1134" w:header="1418" w:footer="1134" w:gutter="284"/>
          <w:pgNumType w:fmt="upperRoman" w:start="1"/>
          <w:cols w:space="425" w:num="1"/>
          <w:formProt w:val="0"/>
          <w:docGrid w:type="lines" w:linePitch="312" w:charSpace="0"/>
        </w:sectPr>
      </w:pPr>
      <w:r>
        <w:rPr>
          <w:rFonts w:hint="eastAsia"/>
          <w:spacing w:val="0"/>
          <w:lang w:eastAsia="zh-CN"/>
        </w:rPr>
        <w:fldChar w:fldCharType="end"/>
      </w:r>
    </w:p>
    <w:bookmarkEnd w:id="21"/>
    <w:p w14:paraId="5F01DADE">
      <w:pPr>
        <w:pStyle w:val="89"/>
        <w:bidi w:val="0"/>
        <w:spacing w:before="560"/>
        <w:rPr>
          <w:rFonts w:hint="eastAsia"/>
          <w:lang w:eastAsia="zh-CN"/>
        </w:rPr>
      </w:pPr>
      <w:bookmarkStart w:id="22" w:name="_Toc24428"/>
      <w:bookmarkStart w:id="23" w:name="BookMark2"/>
      <w:r>
        <w:rPr>
          <w:rFonts w:hint="eastAsia"/>
          <w:spacing w:val="320"/>
          <w:lang w:eastAsia="zh-CN"/>
        </w:rPr>
        <w:t>前</w:t>
      </w:r>
      <w:r>
        <w:rPr>
          <w:rFonts w:hint="eastAsia"/>
          <w:lang w:eastAsia="zh-CN"/>
        </w:rPr>
        <w:t>言</w:t>
      </w:r>
      <w:bookmarkEnd w:id="22"/>
    </w:p>
    <w:p w14:paraId="38D095A1">
      <w:pPr>
        <w:pStyle w:val="56"/>
        <w:bidi w:val="0"/>
        <w:rPr>
          <w:rFonts w:hint="eastAsia"/>
          <w:lang w:eastAsia="zh-CN"/>
        </w:rPr>
      </w:pPr>
      <w:r>
        <w:rPr>
          <w:rFonts w:hint="eastAsia"/>
          <w:lang w:eastAsia="zh-CN"/>
        </w:rPr>
        <w:t>本文件按照GB/T 1.1—2020《标准化工作导则  第1部分：标准化文件的结构和起草规则》的规定起草。</w:t>
      </w:r>
    </w:p>
    <w:p w14:paraId="7CB568B4">
      <w:pPr>
        <w:pStyle w:val="56"/>
        <w:bidi w:val="0"/>
        <w:rPr>
          <w:rFonts w:hint="eastAsia"/>
          <w:lang w:eastAsia="zh-CN"/>
        </w:rPr>
      </w:pPr>
      <w:r>
        <w:rPr>
          <w:rFonts w:hint="eastAsia"/>
          <w:lang w:eastAsia="zh-CN"/>
        </w:rPr>
        <w:t>请注意本文件的某些内容可能涉及专利。本文件的发布机构不承担识别专利的责任。</w:t>
      </w:r>
    </w:p>
    <w:p w14:paraId="7ACD2111">
      <w:pPr>
        <w:pStyle w:val="56"/>
        <w:bidi w:val="0"/>
        <w:rPr>
          <w:rFonts w:hint="eastAsia"/>
          <w:lang w:eastAsia="zh-CN"/>
        </w:rPr>
      </w:pPr>
      <w:r>
        <w:rPr>
          <w:rFonts w:hint="eastAsia"/>
          <w:lang w:eastAsia="zh-CN"/>
        </w:rPr>
        <w:t xml:space="preserve">本标准由攀枝花市农林科学研究院提出。 </w:t>
      </w:r>
    </w:p>
    <w:p w14:paraId="4B445C22">
      <w:pPr>
        <w:pStyle w:val="56"/>
        <w:bidi w:val="0"/>
        <w:rPr>
          <w:rFonts w:hint="eastAsia"/>
          <w:lang w:eastAsia="zh-CN"/>
        </w:rPr>
      </w:pPr>
      <w:r>
        <w:rPr>
          <w:rFonts w:hint="eastAsia"/>
          <w:lang w:eastAsia="zh-CN"/>
        </w:rPr>
        <w:t xml:space="preserve">本标准由攀枝花市农业农村局归口。 </w:t>
      </w:r>
    </w:p>
    <w:p w14:paraId="3B179BB5">
      <w:pPr>
        <w:pStyle w:val="56"/>
        <w:bidi w:val="0"/>
        <w:rPr>
          <w:rFonts w:hint="eastAsia"/>
          <w:lang w:eastAsia="zh-CN"/>
        </w:rPr>
      </w:pPr>
      <w:r>
        <w:rPr>
          <w:rFonts w:hint="eastAsia"/>
          <w:lang w:eastAsia="zh-CN"/>
        </w:rPr>
        <w:t>本标准起草单位：攀枝花市农林科学研究院、中国热带农业科学院南亚热带作物研究所 、攀枝花市农业农村局</w:t>
      </w:r>
    </w:p>
    <w:p w14:paraId="09EC6609">
      <w:pPr>
        <w:pStyle w:val="56"/>
        <w:bidi w:val="0"/>
        <w:rPr>
          <w:rFonts w:hint="eastAsia"/>
          <w:lang w:eastAsia="zh-CN"/>
        </w:rPr>
      </w:pPr>
      <w:r>
        <w:rPr>
          <w:rFonts w:hint="eastAsia"/>
          <w:lang w:eastAsia="zh-CN"/>
        </w:rPr>
        <w:t>本标准主要起草人：刘斌、马小卫、张森、朱太富、黄云、李所清、祝毅娟、黄朝举、王建芳</w:t>
      </w:r>
    </w:p>
    <w:p w14:paraId="1294E4DB">
      <w:pPr>
        <w:pStyle w:val="56"/>
        <w:bidi w:val="0"/>
        <w:rPr>
          <w:rFonts w:hint="eastAsia"/>
          <w:lang w:eastAsia="zh-CN"/>
        </w:rPr>
      </w:pPr>
      <w:r>
        <w:rPr>
          <w:rFonts w:hint="eastAsia"/>
          <w:lang w:eastAsia="zh-CN"/>
        </w:rPr>
        <w:t>本标准首次制定发布。</w:t>
      </w:r>
    </w:p>
    <w:p w14:paraId="5A22F3DE">
      <w:pPr>
        <w:pStyle w:val="56"/>
        <w:bidi w:val="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3"/>
    <w:p w14:paraId="426C514E">
      <w:pPr>
        <w:spacing w:line="20" w:lineRule="exact"/>
        <w:jc w:val="center"/>
        <w:rPr>
          <w:rFonts w:hint="eastAsia" w:ascii="黑体" w:hAnsi="黑体" w:eastAsia="黑体"/>
          <w:sz w:val="32"/>
          <w:szCs w:val="32"/>
        </w:rPr>
      </w:pPr>
      <w:bookmarkStart w:id="24" w:name="BookMark4"/>
    </w:p>
    <w:p w14:paraId="3B4ABB77">
      <w:pPr>
        <w:spacing w:line="20" w:lineRule="exact"/>
        <w:jc w:val="center"/>
        <w:rPr>
          <w:rFonts w:hint="eastAsia" w:ascii="黑体" w:hAnsi="黑体" w:eastAsia="黑体"/>
          <w:sz w:val="32"/>
          <w:szCs w:val="32"/>
        </w:rPr>
      </w:pPr>
    </w:p>
    <w:sdt>
      <w:sdtPr>
        <w:tag w:val="NEW_STAND_NAME"/>
        <w:id w:val="595910757"/>
        <w:lock w:val="sdtLocked"/>
        <w:placeholder>
          <w:docPart w:val="44A38090058141E5BCF867FEE79180DC"/>
        </w:placeholder>
      </w:sdtPr>
      <w:sdtContent>
        <w:p w14:paraId="3D0690CF">
          <w:pPr>
            <w:pStyle w:val="177"/>
            <w:bidi w:val="0"/>
            <w:spacing w:before="313" w:beforeLines="100" w:after="687" w:afterLines="220"/>
            <w:rPr>
              <w:rFonts w:hint="eastAsia"/>
            </w:rPr>
          </w:pPr>
          <w:bookmarkStart w:id="25" w:name="NEW_STAND_NAME"/>
          <w:r>
            <w:rPr>
              <w:rFonts w:hint="eastAsia"/>
              <w:lang w:eastAsia="zh-CN"/>
            </w:rPr>
            <w:t>凯特芒果果肉溃败病防治技术规程</w:t>
          </w:r>
        </w:p>
      </w:sdtContent>
    </w:sdt>
    <w:bookmarkEnd w:id="25"/>
    <w:p w14:paraId="3FEE211A">
      <w:pPr>
        <w:pStyle w:val="104"/>
        <w:spacing w:before="312" w:after="312"/>
      </w:pPr>
      <w:bookmarkStart w:id="26" w:name="_Toc26986530"/>
      <w:bookmarkStart w:id="27" w:name="_Toc17233325"/>
      <w:bookmarkStart w:id="28" w:name="_Toc24884211"/>
      <w:bookmarkStart w:id="29" w:name="_Toc26648465"/>
      <w:bookmarkStart w:id="30" w:name="_Toc26718930"/>
      <w:bookmarkStart w:id="31" w:name="_Toc24884218"/>
      <w:bookmarkStart w:id="32" w:name="_Toc97191423"/>
      <w:bookmarkStart w:id="33" w:name="_Toc17233333"/>
      <w:bookmarkStart w:id="34" w:name="_Toc26986771"/>
      <w:bookmarkStart w:id="35" w:name="_Toc28907"/>
      <w:bookmarkStart w:id="36" w:name="_Toc8311"/>
      <w:r>
        <w:rPr>
          <w:rFonts w:hint="eastAsia"/>
        </w:rPr>
        <w:t>范围</w:t>
      </w:r>
      <w:bookmarkEnd w:id="26"/>
      <w:bookmarkEnd w:id="27"/>
      <w:bookmarkEnd w:id="28"/>
      <w:bookmarkEnd w:id="29"/>
      <w:bookmarkEnd w:id="30"/>
      <w:bookmarkEnd w:id="31"/>
      <w:bookmarkEnd w:id="32"/>
      <w:bookmarkEnd w:id="33"/>
      <w:bookmarkEnd w:id="34"/>
      <w:bookmarkEnd w:id="35"/>
      <w:bookmarkEnd w:id="36"/>
    </w:p>
    <w:p w14:paraId="6E09AF82">
      <w:pPr>
        <w:pStyle w:val="56"/>
        <w:bidi w:val="0"/>
      </w:pPr>
      <w:bookmarkStart w:id="37" w:name="_Toc17233326"/>
      <w:bookmarkStart w:id="38" w:name="_Toc24884212"/>
      <w:bookmarkStart w:id="39" w:name="_Toc17233334"/>
      <w:bookmarkStart w:id="40" w:name="_Toc24884219"/>
      <w:bookmarkStart w:id="41" w:name="_Toc26648466"/>
      <w:r>
        <w:t>本</w:t>
      </w:r>
      <w:r>
        <w:rPr>
          <w:rFonts w:hint="eastAsia"/>
        </w:rPr>
        <w:t>文件</w:t>
      </w:r>
      <w:r>
        <w:t>规定了芒果果肉溃败病的</w:t>
      </w:r>
      <w:r>
        <w:rPr>
          <w:rFonts w:hint="eastAsia"/>
        </w:rPr>
        <w:t>术语和定义、</w:t>
      </w:r>
      <w:r>
        <w:t>诊断识别</w:t>
      </w:r>
      <w:r>
        <w:rPr>
          <w:rFonts w:hint="eastAsia"/>
        </w:rPr>
        <w:t>、</w:t>
      </w:r>
      <w:r>
        <w:t>生产环节中的</w:t>
      </w:r>
      <w:r>
        <w:rPr>
          <w:rFonts w:hint="eastAsia"/>
        </w:rPr>
        <w:t>品种选择、园地选择、</w:t>
      </w:r>
      <w:r>
        <w:t>农业防治、化学防治防治技术和</w:t>
      </w:r>
      <w:r>
        <w:rPr>
          <w:rFonts w:hint="eastAsia"/>
        </w:rPr>
        <w:t>采收、</w:t>
      </w:r>
      <w:r>
        <w:t>采后处理防治技术</w:t>
      </w:r>
      <w:r>
        <w:rPr>
          <w:rFonts w:hint="eastAsia"/>
        </w:rPr>
        <w:t>及记录与溯源</w:t>
      </w:r>
      <w:r>
        <w:t>。</w:t>
      </w:r>
    </w:p>
    <w:p w14:paraId="365A56F5">
      <w:pPr>
        <w:pStyle w:val="56"/>
        <w:bidi w:val="0"/>
        <w:rPr>
          <w:rFonts w:hint="eastAsia"/>
          <w:lang w:eastAsia="zh-CN"/>
        </w:rPr>
      </w:pPr>
      <w:r>
        <w:t>本</w:t>
      </w:r>
      <w:r>
        <w:rPr>
          <w:rFonts w:hint="eastAsia"/>
        </w:rPr>
        <w:t>文件</w:t>
      </w:r>
      <w:r>
        <w:t>适用于</w:t>
      </w:r>
      <w:r>
        <w:rPr>
          <w:rFonts w:hint="eastAsia"/>
        </w:rPr>
        <w:t>攀枝花芒果产区对</w:t>
      </w:r>
      <w:r>
        <w:t>凯特芒果果肉溃败病的预防与控制。</w:t>
      </w:r>
    </w:p>
    <w:p w14:paraId="0BDEEE11">
      <w:pPr>
        <w:pStyle w:val="104"/>
        <w:spacing w:before="312" w:after="312"/>
      </w:pPr>
      <w:bookmarkStart w:id="42" w:name="_Toc26718931"/>
      <w:bookmarkStart w:id="43" w:name="_Toc26986772"/>
      <w:bookmarkStart w:id="44" w:name="_Toc26986531"/>
      <w:bookmarkStart w:id="45" w:name="_Toc97191424"/>
      <w:bookmarkStart w:id="46" w:name="_Toc21504"/>
      <w:bookmarkStart w:id="47" w:name="_Toc20200"/>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83ACEA082902419DAEC754314F0D25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25FB11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859DD22">
      <w:pPr>
        <w:pStyle w:val="56"/>
        <w:bidi w:val="0"/>
        <w:rPr>
          <w:rFonts w:hint="eastAsia"/>
          <w:lang w:val="en-US" w:eastAsia="zh-CN"/>
        </w:rPr>
      </w:pPr>
      <w:r>
        <w:rPr>
          <w:rFonts w:hint="eastAsia"/>
        </w:rPr>
        <w:t>GB/T8321.1~GB/T8321.10</w:t>
      </w:r>
      <w:r>
        <w:rPr>
          <w:rFonts w:hint="eastAsia"/>
          <w:lang w:val="en-US" w:eastAsia="zh-CN"/>
        </w:rPr>
        <w:t xml:space="preserve"> 农药合理使用准则</w:t>
      </w:r>
    </w:p>
    <w:p w14:paraId="31B6E6EC">
      <w:pPr>
        <w:pStyle w:val="56"/>
        <w:bidi w:val="0"/>
      </w:pPr>
      <w:r>
        <w:t>NY/T 393 绿色食品 农药使用准则</w:t>
      </w:r>
    </w:p>
    <w:p w14:paraId="2FD746DF">
      <w:pPr>
        <w:pStyle w:val="56"/>
        <w:bidi w:val="0"/>
        <w:rPr>
          <w:rFonts w:hint="eastAsia"/>
          <w:lang w:eastAsia="zh-CN"/>
        </w:rPr>
      </w:pPr>
      <w:r>
        <w:t>DB51/T2821</w:t>
      </w:r>
      <w:r>
        <w:rPr>
          <w:rFonts w:hint="eastAsia"/>
          <w:lang w:val="en-US" w:eastAsia="zh-CN"/>
        </w:rPr>
        <w:t>-</w:t>
      </w:r>
      <w:r>
        <w:t>2021</w:t>
      </w:r>
      <w:r>
        <w:rPr>
          <w:rFonts w:hint="eastAsia"/>
          <w:lang w:val="en-US" w:eastAsia="zh-CN"/>
        </w:rPr>
        <w:t xml:space="preserve">  晚熟芒果栽培技术规程</w:t>
      </w:r>
    </w:p>
    <w:p w14:paraId="5FE83CAA">
      <w:pPr>
        <w:pStyle w:val="104"/>
        <w:spacing w:before="312" w:after="312"/>
      </w:pPr>
      <w:bookmarkStart w:id="48" w:name="_Toc97191425"/>
      <w:bookmarkStart w:id="49" w:name="_Toc25422"/>
      <w:bookmarkStart w:id="50" w:name="_Toc31285"/>
      <w:r>
        <w:rPr>
          <w:rFonts w:hint="eastAsia"/>
          <w:szCs w:val="21"/>
        </w:rPr>
        <w:t>术语和定义</w:t>
      </w:r>
      <w:bookmarkEnd w:id="48"/>
      <w:bookmarkEnd w:id="49"/>
      <w:bookmarkEnd w:id="50"/>
    </w:p>
    <w:sdt>
      <w:sdtPr>
        <w:id w:val="-1909835108"/>
        <w:placeholder>
          <w:docPart w:val="1300A4C75D794D6291D16A5282D6F45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0CF3D4">
          <w:pPr>
            <w:pStyle w:val="56"/>
            <w:ind w:firstLine="420"/>
          </w:pPr>
          <w:bookmarkStart w:id="51" w:name="_Toc26986532"/>
          <w:bookmarkEnd w:id="51"/>
          <w:r>
            <w:rPr>
              <w:rFonts w:ascii="Times New Roman" w:hAnsi="Times New Roman" w:eastAsia="宋体" w:cs="Times New Roman"/>
              <w:sz w:val="21"/>
              <w:lang w:val="en-US" w:eastAsia="zh-CN" w:bidi="ar-SA"/>
            </w:rPr>
            <w:t>下列术语和定义适用于本文件。</w:t>
          </w:r>
        </w:p>
      </w:sdtContent>
    </w:sdt>
    <w:p w14:paraId="1212E469">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果肉溃败病</w:t>
      </w:r>
    </w:p>
    <w:p w14:paraId="2A4C91BE">
      <w:pPr>
        <w:pStyle w:val="230"/>
        <w:keepNext w:val="0"/>
        <w:keepLines w:val="0"/>
        <w:pageBreakBefore w:val="0"/>
        <w:widowControl w:val="0"/>
        <w:kinsoku/>
        <w:wordWrap/>
        <w:overflowPunct/>
        <w:topLinePunct w:val="0"/>
        <w:autoSpaceDE/>
        <w:autoSpaceDN/>
        <w:bidi w:val="0"/>
        <w:adjustRightInd/>
        <w:snapToGrid/>
        <w:spacing w:line="200" w:lineRule="exact"/>
        <w:ind w:left="0" w:leftChars="0" w:firstLine="420" w:firstLineChars="200"/>
        <w:textAlignment w:val="baseline"/>
      </w:pPr>
      <w:r>
        <w:rPr>
          <w:rFonts w:hint="eastAsia"/>
        </w:rPr>
        <w:t>是一种发生在芒果果实内部的生理性病害，其症状表现为果实</w:t>
      </w:r>
      <w:r>
        <w:t>内部果肉组织软化、糊化、变色（常呈水浸状或黄褐色），并伴随异味，</w:t>
      </w:r>
      <w:r>
        <w:rPr>
          <w:rFonts w:hint="eastAsia"/>
        </w:rPr>
        <w:t>严重影响果实</w:t>
      </w:r>
      <w:r>
        <w:t>商品价值。</w:t>
      </w:r>
    </w:p>
    <w:p w14:paraId="7714E3A1">
      <w:pPr>
        <w:pStyle w:val="104"/>
        <w:bidi w:val="0"/>
      </w:pPr>
      <w:bookmarkStart w:id="52" w:name="_Toc10656"/>
      <w:r>
        <w:t>病害诊断与识别</w:t>
      </w:r>
      <w:bookmarkEnd w:id="52"/>
    </w:p>
    <w:p w14:paraId="7E715C2A">
      <w:pPr>
        <w:pStyle w:val="105"/>
        <w:bidi w:val="0"/>
      </w:pPr>
      <w:r>
        <w:t>外观症状</w:t>
      </w:r>
    </w:p>
    <w:p w14:paraId="5F9E361D">
      <w:pPr>
        <w:pStyle w:val="56"/>
        <w:bidi w:val="0"/>
      </w:pPr>
      <w:r>
        <w:t xml:space="preserve"> </w:t>
      </w:r>
      <w:bookmarkStart w:id="53" w:name="OLE_LINK2"/>
      <w:r>
        <w:rPr>
          <w:rFonts w:hint="eastAsia"/>
        </w:rPr>
        <w:t>处于发病1级</w:t>
      </w:r>
      <w:bookmarkEnd w:id="53"/>
      <w:r>
        <w:rPr>
          <w:rFonts w:hint="eastAsia"/>
        </w:rPr>
        <w:t>时，</w:t>
      </w:r>
      <w:r>
        <w:t>果实外观</w:t>
      </w:r>
      <w:r>
        <w:rPr>
          <w:rFonts w:hint="eastAsia"/>
        </w:rPr>
        <w:t>无明显症状</w:t>
      </w:r>
      <w:r>
        <w:t>，与健康果无异</w:t>
      </w:r>
      <w:r>
        <w:rPr>
          <w:rFonts w:hint="eastAsia"/>
        </w:rPr>
        <w:t>；</w:t>
      </w:r>
      <w:bookmarkStart w:id="54" w:name="OLE_LINK1"/>
      <w:r>
        <w:rPr>
          <w:rFonts w:hint="eastAsia"/>
        </w:rPr>
        <w:t>处于发病2级</w:t>
      </w:r>
      <w:bookmarkEnd w:id="54"/>
      <w:r>
        <w:rPr>
          <w:rFonts w:hint="eastAsia"/>
        </w:rPr>
        <w:t>时，发病部位果皮失绿、变黄；处于发病3级时，发病部位果皮开裂</w:t>
      </w:r>
      <w:r>
        <w:t>。</w:t>
      </w:r>
    </w:p>
    <w:p w14:paraId="31049BF5">
      <w:pPr>
        <w:pStyle w:val="105"/>
        <w:bidi w:val="0"/>
      </w:pPr>
      <w:r>
        <w:t>内部症状</w:t>
      </w:r>
    </w:p>
    <w:p w14:paraId="0921B025">
      <w:pPr>
        <w:pStyle w:val="65"/>
        <w:bidi w:val="0"/>
      </w:pPr>
      <w:r>
        <w:rPr>
          <w:rFonts w:hint="eastAsia"/>
        </w:rPr>
        <w:t>果肉组织症状</w:t>
      </w:r>
    </w:p>
    <w:p w14:paraId="0A4B0B5B">
      <w:pPr>
        <w:pStyle w:val="56"/>
        <w:bidi w:val="0"/>
      </w:pPr>
      <w:r>
        <w:t>果肉组织软化、解体，失去弹性，</w:t>
      </w:r>
      <w:r>
        <w:rPr>
          <w:rFonts w:hint="eastAsia"/>
        </w:rPr>
        <w:t>发病1级时果肉呈水泽状、糊状，发病</w:t>
      </w:r>
      <w:r>
        <w:t>2</w:t>
      </w:r>
      <w:r>
        <w:rPr>
          <w:rFonts w:hint="eastAsia"/>
        </w:rPr>
        <w:t>级、3级果肉呈海绵状、木质化</w:t>
      </w:r>
      <w:r>
        <w:t>。</w:t>
      </w:r>
    </w:p>
    <w:p w14:paraId="608AE2CD">
      <w:pPr>
        <w:pStyle w:val="65"/>
        <w:bidi w:val="0"/>
      </w:pPr>
      <w:r>
        <w:rPr>
          <w:rFonts w:hint="eastAsia"/>
        </w:rPr>
        <w:t>果肉颜色症状</w:t>
      </w:r>
    </w:p>
    <w:p w14:paraId="6E5708B3">
      <w:pPr>
        <w:pStyle w:val="56"/>
        <w:bidi w:val="0"/>
      </w:pPr>
      <w:r>
        <w:t>果肉颜色变为半透明的水浸状或黄褐色、暗褐色。</w:t>
      </w:r>
    </w:p>
    <w:p w14:paraId="159CAE2B">
      <w:pPr>
        <w:pStyle w:val="65"/>
        <w:bidi w:val="0"/>
      </w:pPr>
      <w:r>
        <w:rPr>
          <w:rFonts w:hint="eastAsia"/>
        </w:rPr>
        <w:t>口感风味</w:t>
      </w:r>
    </w:p>
    <w:p w14:paraId="2FB6093E">
      <w:pPr>
        <w:pStyle w:val="56"/>
        <w:bidi w:val="0"/>
      </w:pPr>
      <w:r>
        <w:rPr>
          <w:rFonts w:hint="eastAsia"/>
        </w:rPr>
        <w:t>发病1级时发病部位果肉</w:t>
      </w:r>
      <w:r>
        <w:t>口感风味变差，</w:t>
      </w:r>
      <w:r>
        <w:rPr>
          <w:rFonts w:hint="eastAsia"/>
        </w:rPr>
        <w:t>发病</w:t>
      </w:r>
      <w:r>
        <w:t>2</w:t>
      </w:r>
      <w:r>
        <w:rPr>
          <w:rFonts w:hint="eastAsia"/>
        </w:rPr>
        <w:t>级、3级时整个果实果肉具有</w:t>
      </w:r>
      <w:r>
        <w:t>发酵味或酸败味</w:t>
      </w:r>
      <w:r>
        <w:rPr>
          <w:rFonts w:hint="eastAsia"/>
        </w:rPr>
        <w:t>。</w:t>
      </w:r>
    </w:p>
    <w:p w14:paraId="648DE78C">
      <w:pPr>
        <w:pStyle w:val="104"/>
        <w:bidi w:val="0"/>
      </w:pPr>
      <w:bookmarkStart w:id="55" w:name="_Toc25609"/>
      <w:r>
        <w:t>综合防治技术</w:t>
      </w:r>
      <w:bookmarkEnd w:id="55"/>
    </w:p>
    <w:p w14:paraId="6E025930">
      <w:pPr>
        <w:pStyle w:val="105"/>
        <w:bidi w:val="0"/>
      </w:pPr>
      <w:r>
        <w:t>品种</w:t>
      </w:r>
      <w:r>
        <w:rPr>
          <w:rFonts w:hint="eastAsia"/>
        </w:rPr>
        <w:t>与园地</w:t>
      </w:r>
      <w:r>
        <w:t>选择</w:t>
      </w:r>
    </w:p>
    <w:p w14:paraId="5AEDE357">
      <w:pPr>
        <w:pStyle w:val="65"/>
        <w:bidi w:val="0"/>
      </w:pPr>
      <w:r>
        <w:t>品种选择</w:t>
      </w:r>
    </w:p>
    <w:p w14:paraId="6BF93392">
      <w:pPr>
        <w:pStyle w:val="56"/>
        <w:bidi w:val="0"/>
      </w:pPr>
      <w:r>
        <w:t>在病害高</w:t>
      </w:r>
      <w:r>
        <w:rPr>
          <w:rFonts w:hint="eastAsia"/>
        </w:rPr>
        <w:t>发果园</w:t>
      </w:r>
      <w:r>
        <w:t>，优先</w:t>
      </w:r>
      <w:r>
        <w:rPr>
          <w:rFonts w:hint="eastAsia"/>
        </w:rPr>
        <w:t>早熟品种或</w:t>
      </w:r>
      <w:r>
        <w:t>选择果肉质地较致密、抗性较强的品种，</w:t>
      </w:r>
      <w:r>
        <w:rPr>
          <w:rFonts w:hint="eastAsia"/>
        </w:rPr>
        <w:t>减少大果形、</w:t>
      </w:r>
      <w:r>
        <w:t>皮薄、后熟快易感病的品种（如凯特</w:t>
      </w:r>
      <w:r>
        <w:rPr>
          <w:rFonts w:hint="eastAsia"/>
        </w:rPr>
        <w:t>芒、金煌芒</w:t>
      </w:r>
      <w:r>
        <w:t>）</w:t>
      </w:r>
      <w:r>
        <w:rPr>
          <w:rFonts w:hint="eastAsia"/>
        </w:rPr>
        <w:t>等</w:t>
      </w:r>
      <w:r>
        <w:t>。</w:t>
      </w:r>
    </w:p>
    <w:p w14:paraId="06D105A1">
      <w:pPr>
        <w:pStyle w:val="65"/>
        <w:bidi w:val="0"/>
      </w:pPr>
      <w:r>
        <w:t>园地选择</w:t>
      </w:r>
    </w:p>
    <w:p w14:paraId="66B5074B">
      <w:pPr>
        <w:pStyle w:val="56"/>
        <w:bidi w:val="0"/>
      </w:pPr>
      <w:r>
        <w:rPr>
          <w:rFonts w:hint="eastAsia"/>
        </w:rPr>
        <w:t>芒果对土壤种类，酸碱度等要求不严，适应性较广，即使在含大量沙砾和石灰磐的土壤中也能正常生长和结果。但碱性过大的土壤对芒果幼树生长很不利，常常会引起叶片出现灼伤状。由于芒果为深根性果树，因此，最佳的土壤条件是：土层深厚，质地中等，灌溉方便，排水良好，PH值为5.5～7.5的土壤。</w:t>
      </w:r>
    </w:p>
    <w:p w14:paraId="440B05C5">
      <w:pPr>
        <w:pStyle w:val="105"/>
        <w:bidi w:val="0"/>
      </w:pPr>
      <w:r>
        <w:t>土壤与肥料管理</w:t>
      </w:r>
    </w:p>
    <w:p w14:paraId="7D623021">
      <w:pPr>
        <w:pStyle w:val="65"/>
        <w:bidi w:val="0"/>
      </w:pPr>
      <w:r>
        <w:rPr>
          <w:rFonts w:hint="eastAsia"/>
        </w:rPr>
        <w:t>施肥原则</w:t>
      </w:r>
    </w:p>
    <w:p w14:paraId="4C9BAD28">
      <w:pPr>
        <w:pStyle w:val="56"/>
        <w:bidi w:val="0"/>
      </w:pPr>
      <w:r>
        <w:rPr>
          <w:rFonts w:hint="eastAsia"/>
        </w:rPr>
        <w:t>根据芒果树体需肥规律、土壤养分状况和肥料效应，确定相应的施肥量和施肥方法，采用发酵、充分腐熟好的有机肥。有机肥料必需充分腐熟，不应使用工业废弃物、城市垃圾和污泥。不应使用未经发酵腐熟、未达到无害化指标的人畜粪尿等有机肥料。</w:t>
      </w:r>
    </w:p>
    <w:p w14:paraId="62C1B8EF">
      <w:pPr>
        <w:pStyle w:val="65"/>
        <w:bidi w:val="0"/>
      </w:pPr>
      <w:r>
        <w:rPr>
          <w:rFonts w:hint="eastAsia"/>
        </w:rPr>
        <w:t>扩穴改土、增施有机肥</w:t>
      </w:r>
    </w:p>
    <w:p w14:paraId="2A9ED167">
      <w:pPr>
        <w:pStyle w:val="56"/>
        <w:bidi w:val="0"/>
      </w:pPr>
      <w:r>
        <w:rPr>
          <w:rFonts w:hint="eastAsia"/>
        </w:rPr>
        <w:t>扩穴改土的时间，除雨天和高温干旱天气外，全年都可进行，但以秋冬季为宜。每年交替在株间或行间挖长方形坑改土，通过3～4年从定植穴边缘往外扩穴深翻至全园。扩穴深度50～70厘米，宽度60厘米，长度则应随树龄而逐渐增加。扩穴后施入一定量的有机肥。常用的有机肥有果园杂草、枯枝落叶、作物秸秆、腐熟厩肥、饼肥等。</w:t>
      </w:r>
    </w:p>
    <w:p w14:paraId="0EFDA62C">
      <w:pPr>
        <w:pStyle w:val="65"/>
        <w:bidi w:val="0"/>
      </w:pPr>
      <w:r>
        <w:rPr>
          <w:rFonts w:hint="eastAsia"/>
        </w:rPr>
        <w:t>科学补充钙肥</w:t>
      </w:r>
    </w:p>
    <w:p w14:paraId="0000DA7D">
      <w:pPr>
        <w:pStyle w:val="94"/>
        <w:bidi w:val="0"/>
      </w:pPr>
      <w:r>
        <w:rPr>
          <w:rFonts w:hint="eastAsia"/>
        </w:rPr>
        <w:t>土壤补钙</w:t>
      </w:r>
    </w:p>
    <w:p w14:paraId="3F2CFED7">
      <w:pPr>
        <w:pStyle w:val="56"/>
        <w:bidi w:val="0"/>
      </w:pPr>
      <w:r>
        <w:rPr>
          <w:rFonts w:hint="eastAsia"/>
        </w:rPr>
        <w:t>于采果后，在树冠滴水线附近开沟追施硝酸钙、石灰或石膏。用量根据土壤酸碱度和钙含量测定结果确定，一般每株施硝酸钙0.5-1.0公斤或石灰1-2公斤。</w:t>
      </w:r>
    </w:p>
    <w:p w14:paraId="3EED457B">
      <w:pPr>
        <w:pStyle w:val="94"/>
        <w:bidi w:val="0"/>
      </w:pPr>
      <w:r>
        <w:rPr>
          <w:rFonts w:hint="eastAsia" w:ascii="Times New Roman" w:hAnsi="Times New Roman"/>
          <w:szCs w:val="24"/>
        </w:rPr>
        <w:t>根外追钙</w:t>
      </w:r>
    </w:p>
    <w:p w14:paraId="66852774">
      <w:pPr>
        <w:pStyle w:val="56"/>
        <w:bidi w:val="0"/>
      </w:pPr>
      <w:r>
        <w:rPr>
          <w:rFonts w:hint="eastAsia"/>
        </w:rPr>
        <w:t>从谢花后开始，每隔10-15天喷施一次钙肥，连续3-4次。可选用0.3%-0.5%的硝酸钙、氨基酸钙或糖醇钙等螯合钙肥。重点喷施果实和叶片。注意：高温天气喷施硝酸钙需提高稀释倍数，避免药害。</w:t>
      </w:r>
    </w:p>
    <w:p w14:paraId="4255338B">
      <w:pPr>
        <w:pStyle w:val="65"/>
        <w:bidi w:val="0"/>
      </w:pPr>
      <w:r>
        <w:rPr>
          <w:rFonts w:hint="eastAsia"/>
        </w:rPr>
        <w:t>氮肥控量</w:t>
      </w:r>
    </w:p>
    <w:p w14:paraId="69C7FBE9">
      <w:pPr>
        <w:pStyle w:val="56"/>
        <w:bidi w:val="0"/>
      </w:pPr>
      <w:r>
        <w:rPr>
          <w:rFonts w:hint="eastAsia"/>
        </w:rPr>
        <w:t>控制氮肥</w:t>
      </w:r>
      <w:r>
        <w:t>的施用量</w:t>
      </w:r>
      <w:r>
        <w:rPr>
          <w:rFonts w:hint="eastAsia"/>
        </w:rPr>
        <w:t>，</w:t>
      </w:r>
      <w:r>
        <w:t>尤其是铵态氮</w:t>
      </w:r>
      <w:r>
        <w:rPr>
          <w:rFonts w:hint="eastAsia"/>
        </w:rPr>
        <w:t>，</w:t>
      </w:r>
      <w:r>
        <w:t>避免枝叶徒长与果实竞争钙元素。</w:t>
      </w:r>
      <w:r>
        <w:rPr>
          <w:rFonts w:hint="eastAsia"/>
        </w:rPr>
        <w:t>15年生凯特、挂果正常，年度生长周期内，每生产</w:t>
      </w:r>
      <w:r>
        <w:rPr>
          <w:rFonts w:hint="eastAsia"/>
          <w:lang w:val="en-US" w:eastAsia="zh-CN"/>
        </w:rPr>
        <w:t xml:space="preserve"> </w:t>
      </w:r>
      <w:r>
        <w:rPr>
          <w:rFonts w:hint="eastAsia"/>
        </w:rPr>
        <w:t>100</w:t>
      </w:r>
      <w:r>
        <w:rPr>
          <w:rFonts w:hint="eastAsia"/>
          <w:lang w:val="en-US" w:eastAsia="zh-CN"/>
        </w:rPr>
        <w:t xml:space="preserve"> </w:t>
      </w:r>
      <w:r>
        <w:rPr>
          <w:rFonts w:hint="eastAsia"/>
        </w:rPr>
        <w:t>Kg</w:t>
      </w:r>
      <w:r>
        <w:rPr>
          <w:rFonts w:hint="eastAsia"/>
          <w:lang w:val="en-US" w:eastAsia="zh-CN"/>
        </w:rPr>
        <w:t xml:space="preserve"> </w:t>
      </w:r>
      <w:r>
        <w:rPr>
          <w:rFonts w:hint="eastAsia"/>
        </w:rPr>
        <w:t>鲜果，芒果树体需要吸收纯氮</w:t>
      </w:r>
      <w:r>
        <w:rPr>
          <w:rFonts w:hint="eastAsia"/>
          <w:lang w:val="en-US" w:eastAsia="zh-CN"/>
        </w:rPr>
        <w:t xml:space="preserve"> </w:t>
      </w:r>
      <w:r>
        <w:rPr>
          <w:rFonts w:hint="eastAsia"/>
        </w:rPr>
        <w:t>601.32</w:t>
      </w:r>
      <w:r>
        <w:rPr>
          <w:rFonts w:hint="eastAsia"/>
          <w:lang w:val="en-US" w:eastAsia="zh-CN"/>
        </w:rPr>
        <w:t xml:space="preserve"> </w:t>
      </w:r>
      <w:r>
        <w:rPr>
          <w:rFonts w:hint="eastAsia"/>
        </w:rPr>
        <w:t>g。氮肥分两次施用，氮肥用量前移，</w:t>
      </w:r>
      <w:bookmarkStart w:id="56" w:name="OLE_LINK17"/>
      <w:r>
        <w:rPr>
          <w:rFonts w:hint="eastAsia"/>
        </w:rPr>
        <w:t>采果后氮肥施入量占全年氮肥用量的60-70%，</w:t>
      </w:r>
      <w:bookmarkEnd w:id="56"/>
      <w:r>
        <w:rPr>
          <w:rFonts w:hint="eastAsia"/>
        </w:rPr>
        <w:t>果实膨大期氮肥施入量占全年氮肥用量的3</w:t>
      </w:r>
      <w:r>
        <w:t>0-</w:t>
      </w:r>
      <w:r>
        <w:rPr>
          <w:rFonts w:hint="eastAsia"/>
        </w:rPr>
        <w:t>4</w:t>
      </w:r>
      <w:r>
        <w:t>0%</w:t>
      </w:r>
      <w:r>
        <w:rPr>
          <w:rFonts w:hint="eastAsia"/>
        </w:rPr>
        <w:t>。</w:t>
      </w:r>
    </w:p>
    <w:p w14:paraId="08462285">
      <w:pPr>
        <w:pStyle w:val="230"/>
        <w:keepNext w:val="0"/>
        <w:keepLines w:val="0"/>
        <w:pageBreakBefore w:val="0"/>
        <w:kinsoku/>
        <w:wordWrap/>
        <w:overflowPunct/>
        <w:topLinePunct w:val="0"/>
        <w:autoSpaceDE/>
        <w:autoSpaceDN/>
        <w:bidi w:val="0"/>
        <w:adjustRightInd/>
        <w:snapToGrid/>
        <w:ind w:left="0" w:leftChars="0" w:firstLine="420" w:firstLineChars="200"/>
      </w:pPr>
    </w:p>
    <w:p w14:paraId="682F9D8E">
      <w:pPr>
        <w:pStyle w:val="105"/>
        <w:bidi w:val="0"/>
      </w:pPr>
      <w:r>
        <w:t>水分管理</w:t>
      </w:r>
    </w:p>
    <w:p w14:paraId="0E6B8350">
      <w:pPr>
        <w:pStyle w:val="65"/>
        <w:bidi w:val="0"/>
      </w:pPr>
      <w:r>
        <w:rPr>
          <w:rFonts w:hint="eastAsia"/>
        </w:rPr>
        <w:t>均衡供水</w:t>
      </w:r>
    </w:p>
    <w:p w14:paraId="0BF9B689">
      <w:pPr>
        <w:pStyle w:val="56"/>
        <w:bidi w:val="0"/>
      </w:pPr>
      <w:r>
        <w:rPr>
          <w:rFonts w:hint="eastAsia"/>
        </w:rPr>
        <w:t>保证果实整个发育期水分供应均衡，避免土壤干湿剧烈变化。特别是果实膨大期，如遇干旱应及时灌溉。</w:t>
      </w:r>
    </w:p>
    <w:p w14:paraId="003542CC">
      <w:pPr>
        <w:pStyle w:val="65"/>
        <w:bidi w:val="0"/>
      </w:pPr>
      <w:r>
        <w:rPr>
          <w:rFonts w:hint="eastAsia"/>
        </w:rPr>
        <w:t>采前控水</w:t>
      </w:r>
    </w:p>
    <w:p w14:paraId="33B3550F">
      <w:pPr>
        <w:pStyle w:val="56"/>
        <w:bidi w:val="0"/>
      </w:pPr>
      <w:r>
        <w:t xml:space="preserve"> 采收前1</w:t>
      </w:r>
      <w:r>
        <w:rPr>
          <w:rFonts w:hint="eastAsia"/>
        </w:rPr>
        <w:t>5</w:t>
      </w:r>
      <w:r>
        <w:t>-</w:t>
      </w:r>
      <w:r>
        <w:rPr>
          <w:rFonts w:hint="eastAsia"/>
        </w:rPr>
        <w:t>20</w:t>
      </w:r>
      <w:r>
        <w:t>天适当控水，有助于提高果实干物质含量和耐贮性</w:t>
      </w:r>
      <w:r>
        <w:rPr>
          <w:rFonts w:hint="eastAsia"/>
        </w:rPr>
        <w:t>。</w:t>
      </w:r>
    </w:p>
    <w:p w14:paraId="7554CA58">
      <w:pPr>
        <w:pStyle w:val="105"/>
        <w:bidi w:val="0"/>
      </w:pPr>
      <w:r>
        <w:rPr>
          <w:rFonts w:hint="eastAsia"/>
        </w:rPr>
        <w:t>树体管理与花果管理</w:t>
      </w:r>
    </w:p>
    <w:p w14:paraId="120B4824">
      <w:pPr>
        <w:pStyle w:val="65"/>
        <w:bidi w:val="0"/>
      </w:pPr>
      <w:r>
        <w:rPr>
          <w:rFonts w:hint="eastAsia"/>
        </w:rPr>
        <w:t>合理修剪</w:t>
      </w:r>
    </w:p>
    <w:p w14:paraId="6A735666">
      <w:pPr>
        <w:pStyle w:val="164"/>
        <w:bidi w:val="0"/>
        <w:rPr>
          <w:rFonts w:hint="eastAsia"/>
        </w:rPr>
      </w:pPr>
      <w:r>
        <w:rPr>
          <w:rFonts w:hint="eastAsia"/>
        </w:rPr>
        <w:t>果子采收后，回缩修剪树冠周围的过长枝和株行间的交叉枝，保持株行间的间隙。对树体高大、枝叶茂密的树冠顶部应进行重点回缩修剪（俗称“开天窗”），降低树体高度，使树冠顶部适度地透光。芒果花芽分化前约两个月删除过密枝、荫弱枝、徒长枝、病虫枝和枯枝等，每枝留1～2个梢即可。这样可增加树冠的透光度，利于养分的集中和形成良好的通风、光照条件，促进花芽分化及防止病虫害发生。10月份以后成熟的，采果修剪后由于温度较低，秋梢生长发育的时间短，枝梢营养积累严重不足，不能为花芽分化提供良好的营养，易出现大小年结果和“老茎结果”现象。</w:t>
      </w:r>
    </w:p>
    <w:p w14:paraId="77F76109">
      <w:pPr>
        <w:pStyle w:val="164"/>
        <w:bidi w:val="0"/>
        <w:rPr>
          <w:rFonts w:hint="eastAsia"/>
        </w:rPr>
      </w:pPr>
      <w:r>
        <w:rPr>
          <w:rFonts w:hint="eastAsia"/>
        </w:rPr>
        <w:t>坐果稳定后至套袋前，剪除树冠中部的错乱枝、荫弱枝、徒长枝、病虫枝和枯枝等，使树冠内膛适度地中空。谢花后果实横径约3厘米时到套袋前，选留60～70%结3～5个果实的结果枝结果，短剪多余的、结果少的或没结果的、以及树冠下部已结果的下垂枝，新梢抽发后保留适当的梢，培养其为翌年的结果枝。</w:t>
      </w:r>
    </w:p>
    <w:p w14:paraId="51B896E5">
      <w:pPr>
        <w:pStyle w:val="65"/>
        <w:bidi w:val="0"/>
      </w:pPr>
      <w:r>
        <w:rPr>
          <w:rFonts w:hint="eastAsia"/>
        </w:rPr>
        <w:t>科学疏果，合理负载</w:t>
      </w:r>
    </w:p>
    <w:p w14:paraId="5291A204">
      <w:pPr>
        <w:pStyle w:val="56"/>
        <w:bidi w:val="0"/>
      </w:pPr>
      <w:r>
        <w:rPr>
          <w:rFonts w:hint="eastAsia"/>
        </w:rPr>
        <w:t>及时疏除畸形果、病虫果和过密果。在疏花疏果阶段尽量多留果，过大的果实疏除，选择留大小均匀的果实，避免果太少，造成果形过大。</w:t>
      </w:r>
    </w:p>
    <w:p w14:paraId="5318727C">
      <w:pPr>
        <w:pStyle w:val="65"/>
        <w:bidi w:val="0"/>
      </w:pPr>
      <w:r>
        <w:rPr>
          <w:rFonts w:hint="eastAsia"/>
        </w:rPr>
        <w:t>果实套袋</w:t>
      </w:r>
    </w:p>
    <w:p w14:paraId="3853B3A0">
      <w:pPr>
        <w:pStyle w:val="56"/>
        <w:bidi w:val="0"/>
      </w:pPr>
      <w:r>
        <w:t>按</w:t>
      </w:r>
      <w:r>
        <w:rPr>
          <w:rFonts w:hint="eastAsia"/>
          <w:lang w:val="en-US" w:eastAsia="zh-CN"/>
        </w:rPr>
        <w:t xml:space="preserve"> </w:t>
      </w:r>
      <w:r>
        <w:t>DB51/T</w:t>
      </w:r>
      <w:r>
        <w:rPr>
          <w:rFonts w:hint="eastAsia"/>
          <w:lang w:val="en-US" w:eastAsia="zh-CN"/>
        </w:rPr>
        <w:t xml:space="preserve"> </w:t>
      </w:r>
      <w:r>
        <w:t>2821</w:t>
      </w:r>
      <w:r>
        <w:rPr>
          <w:rFonts w:hint="eastAsia"/>
          <w:lang w:val="en-US" w:eastAsia="zh-CN"/>
        </w:rPr>
        <w:t>-</w:t>
      </w:r>
      <w:r>
        <w:t>2021</w:t>
      </w:r>
      <w:r>
        <w:rPr>
          <w:rFonts w:hint="eastAsia"/>
          <w:lang w:val="en-US" w:eastAsia="zh-CN"/>
        </w:rPr>
        <w:t xml:space="preserve"> </w:t>
      </w:r>
      <w:r>
        <w:t>中</w:t>
      </w:r>
      <w:r>
        <w:rPr>
          <w:rFonts w:hint="eastAsia"/>
          <w:lang w:val="en-US" w:eastAsia="zh-CN"/>
        </w:rPr>
        <w:t xml:space="preserve"> </w:t>
      </w:r>
      <w:r>
        <w:t>7.5.5.3</w:t>
      </w:r>
      <w:r>
        <w:rPr>
          <w:rFonts w:hint="eastAsia"/>
          <w:lang w:val="en-US" w:eastAsia="zh-CN"/>
        </w:rPr>
        <w:t xml:space="preserve"> </w:t>
      </w:r>
      <w:r>
        <w:t>的规定对果实进行套袋。</w:t>
      </w:r>
    </w:p>
    <w:p w14:paraId="55BE0F4D">
      <w:pPr>
        <w:pStyle w:val="65"/>
        <w:bidi w:val="0"/>
      </w:pPr>
      <w:r>
        <w:rPr>
          <w:rFonts w:hint="eastAsia"/>
        </w:rPr>
        <w:t>其他主要病虫害防治</w:t>
      </w:r>
    </w:p>
    <w:p w14:paraId="049DE812">
      <w:pPr>
        <w:pStyle w:val="56"/>
        <w:bidi w:val="0"/>
      </w:pPr>
      <w:r>
        <w:rPr>
          <w:rFonts w:hint="eastAsia"/>
        </w:rPr>
        <w:t>执行 “预防为主,综合防治”的方针。以农业和物理防治为基础,提倡生物防控，化学防控技术相结合，有效控制病虫害。化学农药的使用应符合 GB/T</w:t>
      </w:r>
      <w:r>
        <w:rPr>
          <w:rFonts w:hint="eastAsia"/>
          <w:lang w:val="en-US" w:eastAsia="zh-CN"/>
        </w:rPr>
        <w:t xml:space="preserve"> </w:t>
      </w:r>
      <w:r>
        <w:rPr>
          <w:rFonts w:hint="eastAsia"/>
        </w:rPr>
        <w:t>8321.1~GB/T</w:t>
      </w:r>
      <w:r>
        <w:rPr>
          <w:rFonts w:hint="eastAsia"/>
          <w:lang w:val="en-US" w:eastAsia="zh-CN"/>
        </w:rPr>
        <w:t xml:space="preserve"> </w:t>
      </w:r>
      <w:r>
        <w:rPr>
          <w:rFonts w:hint="eastAsia"/>
        </w:rPr>
        <w:t>8321.10 和 NY/T</w:t>
      </w:r>
      <w:r>
        <w:rPr>
          <w:rFonts w:hint="eastAsia"/>
          <w:lang w:val="en-US" w:eastAsia="zh-CN"/>
        </w:rPr>
        <w:t xml:space="preserve"> </w:t>
      </w:r>
      <w:r>
        <w:rPr>
          <w:rFonts w:hint="eastAsia"/>
        </w:rPr>
        <w:t>393 的规定</w:t>
      </w:r>
    </w:p>
    <w:p w14:paraId="233EF6E4">
      <w:pPr>
        <w:pStyle w:val="105"/>
        <w:bidi w:val="0"/>
      </w:pPr>
      <w:r>
        <w:rPr>
          <w:rFonts w:hint="eastAsia"/>
        </w:rPr>
        <w:t>适时采收</w:t>
      </w:r>
    </w:p>
    <w:p w14:paraId="1812DC18">
      <w:pPr>
        <w:pStyle w:val="65"/>
        <w:bidi w:val="0"/>
      </w:pPr>
      <w:r>
        <w:rPr>
          <w:rFonts w:hint="eastAsia"/>
        </w:rPr>
        <w:t>成熟度判定</w:t>
      </w:r>
    </w:p>
    <w:p w14:paraId="0B9706C6">
      <w:pPr>
        <w:pStyle w:val="94"/>
        <w:bidi w:val="0"/>
      </w:pPr>
      <w:r>
        <w:rPr>
          <w:rFonts w:hint="eastAsia"/>
        </w:rPr>
        <w:t>直观法</w:t>
      </w:r>
    </w:p>
    <w:p w14:paraId="20BE38BD">
      <w:pPr>
        <w:pStyle w:val="56"/>
        <w:bidi w:val="0"/>
      </w:pPr>
      <w:r>
        <w:rPr>
          <w:rFonts w:hint="eastAsia"/>
        </w:rPr>
        <w:t>根据果实颜色和外观进行判定。一般在果实不再膨大，果肩浑圆，皮色转暗或由深绿色转为淡绿，果肉浅黄，近核处黄色或在果树上有自然成熟果出现时，表明果实已基本成熟，可以采收。</w:t>
      </w:r>
    </w:p>
    <w:p w14:paraId="58E6466F">
      <w:pPr>
        <w:pStyle w:val="94"/>
        <w:bidi w:val="0"/>
      </w:pPr>
      <w:r>
        <w:rPr>
          <w:rFonts w:hint="eastAsia"/>
        </w:rPr>
        <w:t>按果实发育天数估算</w:t>
      </w:r>
    </w:p>
    <w:p w14:paraId="071B2BDD">
      <w:pPr>
        <w:pStyle w:val="56"/>
        <w:bidi w:val="0"/>
      </w:pPr>
      <w:r>
        <w:rPr>
          <w:rFonts w:hint="eastAsia"/>
        </w:rPr>
        <w:t>不同品种之间的差别很大。一般从谢花到果实成熟，早中熟品种约需100～120天，晚熟品种约需120～150天。</w:t>
      </w:r>
    </w:p>
    <w:p w14:paraId="00DB85D3">
      <w:pPr>
        <w:pStyle w:val="65"/>
        <w:bidi w:val="0"/>
      </w:pPr>
      <w:r>
        <w:rPr>
          <w:rFonts w:hint="eastAsia"/>
        </w:rPr>
        <w:t>精细采收</w:t>
      </w:r>
    </w:p>
    <w:p w14:paraId="53FAE7B2">
      <w:pPr>
        <w:pStyle w:val="56"/>
        <w:bidi w:val="0"/>
      </w:pPr>
      <w:r>
        <w:rPr>
          <w:rFonts w:hint="eastAsia"/>
        </w:rPr>
        <w:t>宜采用“一果两剪”的方法， 即第1剪留果柄长约5cm； 第2剪留果柄长约0.5-1cm。要求“无伤化”采收，避免机械损伤。</w:t>
      </w:r>
    </w:p>
    <w:p w14:paraId="15F73351">
      <w:pPr>
        <w:pStyle w:val="105"/>
        <w:bidi w:val="0"/>
      </w:pPr>
      <w:r>
        <w:rPr>
          <w:rFonts w:hint="eastAsia"/>
        </w:rPr>
        <w:t>采后处理技术</w:t>
      </w:r>
    </w:p>
    <w:p w14:paraId="1DD5FDD2">
      <w:pPr>
        <w:pStyle w:val="65"/>
        <w:bidi w:val="0"/>
      </w:pPr>
      <w:r>
        <w:rPr>
          <w:rFonts w:hint="eastAsia"/>
        </w:rPr>
        <w:t>及时预冷</w:t>
      </w:r>
    </w:p>
    <w:p w14:paraId="7937F4F3">
      <w:pPr>
        <w:pStyle w:val="56"/>
        <w:bidi w:val="0"/>
      </w:pPr>
      <w:r>
        <w:t>采收后24小时内进行预冷，迅速将果心温度降至适宜贮藏温度（</w:t>
      </w:r>
      <w:r>
        <w:rPr>
          <w:rFonts w:hint="eastAsia"/>
        </w:rPr>
        <w:t>凯特芒</w:t>
      </w:r>
      <w:r>
        <w:t>通常为1</w:t>
      </w:r>
      <w:r>
        <w:rPr>
          <w:rFonts w:hint="eastAsia"/>
        </w:rPr>
        <w:t>3</w:t>
      </w:r>
      <w:r>
        <w:t>-15</w:t>
      </w:r>
      <w:r>
        <w:rPr>
          <w:rFonts w:hint="eastAsia"/>
          <w:lang w:val="en-US" w:eastAsia="zh-CN"/>
        </w:rPr>
        <w:t xml:space="preserve"> </w:t>
      </w:r>
      <w:r>
        <w:t>℃</w:t>
      </w:r>
      <w:r>
        <w:rPr>
          <w:rFonts w:hint="eastAsia"/>
        </w:rPr>
        <w:t>）抑制呼吸作用和病害发展。</w:t>
      </w:r>
    </w:p>
    <w:p w14:paraId="0338D6DE">
      <w:pPr>
        <w:pStyle w:val="65"/>
        <w:bidi w:val="0"/>
      </w:pPr>
      <w:r>
        <w:rPr>
          <w:rFonts w:hint="eastAsia"/>
        </w:rPr>
        <w:t>钙处理</w:t>
      </w:r>
    </w:p>
    <w:p w14:paraId="32F13508">
      <w:pPr>
        <w:pStyle w:val="56"/>
        <w:bidi w:val="0"/>
      </w:pPr>
      <w:r>
        <w:t>采后可用</w:t>
      </w:r>
      <w:r>
        <w:rPr>
          <w:rFonts w:hint="eastAsia"/>
          <w:lang w:val="en-US" w:eastAsia="zh-CN"/>
        </w:rPr>
        <w:t xml:space="preserve"> </w:t>
      </w:r>
      <w:r>
        <w:t>2</w:t>
      </w:r>
      <w:r>
        <w:rPr>
          <w:rFonts w:hint="eastAsia"/>
          <w:lang w:val="en-US" w:eastAsia="zh-CN"/>
        </w:rPr>
        <w:t xml:space="preserve"> </w:t>
      </w:r>
      <w:r>
        <w:t>%-4</w:t>
      </w:r>
      <w:r>
        <w:rPr>
          <w:rFonts w:hint="eastAsia"/>
          <w:lang w:val="en-US" w:eastAsia="zh-CN"/>
        </w:rPr>
        <w:t xml:space="preserve"> </w:t>
      </w:r>
      <w:r>
        <w:t>%</w:t>
      </w:r>
      <w:r>
        <w:rPr>
          <w:rFonts w:hint="eastAsia"/>
          <w:lang w:val="en-US" w:eastAsia="zh-CN"/>
        </w:rPr>
        <w:t xml:space="preserve"> </w:t>
      </w:r>
      <w:r>
        <w:t>的氯化钙溶液进行浸泡处理（浸泡10-15分钟），提高果肉钙含量，增强抗病性。</w:t>
      </w:r>
    </w:p>
    <w:p w14:paraId="1E040328">
      <w:pPr>
        <w:pStyle w:val="104"/>
        <w:bidi w:val="0"/>
      </w:pPr>
      <w:bookmarkStart w:id="57" w:name="_Toc1245"/>
      <w:r>
        <w:rPr>
          <w:rFonts w:hint="eastAsia"/>
        </w:rPr>
        <w:t>记录与溯源</w:t>
      </w:r>
      <w:bookmarkEnd w:id="57"/>
    </w:p>
    <w:p w14:paraId="3CB85975">
      <w:pPr>
        <w:pStyle w:val="56"/>
        <w:bidi w:val="0"/>
        <w:rPr>
          <w:rFonts w:hint="eastAsia"/>
        </w:rPr>
      </w:pPr>
      <w:r>
        <w:rPr>
          <w:rFonts w:hint="eastAsia"/>
        </w:rPr>
        <w:t>建立果园管理档案，详细记录施肥（特别是钙肥）、灌水、喷药、采收日期及采后处理等关键环节，做好档案记录，实现可追溯。所有档案应保留 3 年以上。</w:t>
      </w:r>
    </w:p>
    <w:p w14:paraId="0B1C0F1A"/>
    <w:p w14:paraId="27BC0D8E">
      <w:pPr>
        <w:pStyle w:val="56"/>
      </w:pPr>
    </w:p>
    <w:p w14:paraId="35F2CFD4">
      <w:pPr>
        <w:pStyle w:val="56"/>
        <w:ind w:firstLine="420"/>
        <w:rPr>
          <w:rFonts w:hint="eastAsia" w:eastAsia="宋体"/>
          <w:lang w:eastAsia="zh-CN"/>
        </w:rPr>
      </w:pPr>
    </w:p>
    <w:p w14:paraId="3F1BBA41">
      <w:pPr>
        <w:pStyle w:val="56"/>
        <w:ind w:firstLine="420"/>
      </w:pPr>
    </w:p>
    <w:p w14:paraId="25C518F8">
      <w:pPr>
        <w:pStyle w:val="56"/>
        <w:ind w:firstLine="420"/>
        <w:rPr>
          <w:rFonts w:hint="eastAsia" w:eastAsia="宋体"/>
          <w:lang w:eastAsia="zh-CN"/>
        </w:rPr>
      </w:pPr>
    </w:p>
    <w:p w14:paraId="155BB544">
      <w:pPr>
        <w:pStyle w:val="56"/>
        <w:ind w:firstLine="420"/>
      </w:pPr>
    </w:p>
    <w:p w14:paraId="7A45BD01">
      <w:pPr>
        <w:pStyle w:val="56"/>
        <w:ind w:firstLine="420"/>
      </w:pPr>
    </w:p>
    <w:p w14:paraId="6070BE41">
      <w:pPr>
        <w:pStyle w:val="56"/>
        <w:ind w:firstLine="420"/>
      </w:pPr>
    </w:p>
    <w:p w14:paraId="603FBD38">
      <w:pPr>
        <w:pStyle w:val="56"/>
        <w:ind w:firstLine="420"/>
      </w:pPr>
    </w:p>
    <w:p w14:paraId="084B05FB">
      <w:pPr>
        <w:pStyle w:val="56"/>
        <w:ind w:firstLine="420"/>
      </w:pPr>
    </w:p>
    <w:p w14:paraId="41313298">
      <w:pPr>
        <w:pStyle w:val="56"/>
        <w:ind w:firstLine="420"/>
      </w:pPr>
    </w:p>
    <w:p w14:paraId="176EC4D7">
      <w:pPr>
        <w:pStyle w:val="56"/>
        <w:ind w:firstLine="420"/>
      </w:pPr>
    </w:p>
    <w:p w14:paraId="0F823ADC">
      <w:pPr>
        <w:pStyle w:val="56"/>
        <w:ind w:firstLine="420"/>
      </w:pPr>
    </w:p>
    <w:p w14:paraId="1218B9BB">
      <w:pPr>
        <w:pStyle w:val="56"/>
        <w:ind w:firstLine="420"/>
      </w:pPr>
    </w:p>
    <w:p w14:paraId="5999EA10">
      <w:pPr>
        <w:pStyle w:val="56"/>
        <w:ind w:firstLine="420"/>
      </w:pPr>
    </w:p>
    <w:p w14:paraId="00B54B52">
      <w:pPr>
        <w:pStyle w:val="56"/>
        <w:ind w:firstLine="420"/>
      </w:pPr>
    </w:p>
    <w:p w14:paraId="461744A8">
      <w:pPr>
        <w:pStyle w:val="56"/>
        <w:ind w:firstLine="420"/>
      </w:pPr>
    </w:p>
    <w:p w14:paraId="05B1BFE5">
      <w:pPr>
        <w:pStyle w:val="56"/>
        <w:ind w:firstLine="420"/>
      </w:pPr>
    </w:p>
    <w:p w14:paraId="0F1B717C">
      <w:pPr>
        <w:pStyle w:val="56"/>
        <w:bidi w:val="0"/>
      </w:pPr>
    </w:p>
    <w:p w14:paraId="117F701A">
      <w:pPr>
        <w:pStyle w:val="56"/>
        <w:bidi w:val="0"/>
        <w:sectPr>
          <w:pgSz w:w="11906" w:h="16838"/>
          <w:pgMar w:top="1928" w:right="1134" w:bottom="1134" w:left="1134" w:header="1418" w:footer="1134" w:gutter="284"/>
          <w:pgNumType w:start="1"/>
          <w:cols w:space="425" w:num="1"/>
          <w:formProt w:val="0"/>
          <w:docGrid w:type="lines" w:linePitch="312" w:charSpace="0"/>
        </w:sectPr>
      </w:pPr>
    </w:p>
    <w:bookmarkEnd w:id="24"/>
    <w:p w14:paraId="36426693">
      <w:pPr>
        <w:pStyle w:val="198"/>
        <w:bidi w:val="0"/>
      </w:pPr>
      <w:bookmarkStart w:id="58" w:name="BookMark5"/>
    </w:p>
    <w:p w14:paraId="46B28E41">
      <w:pPr>
        <w:pStyle w:val="199"/>
        <w:bidi w:val="0"/>
      </w:pPr>
    </w:p>
    <w:p w14:paraId="214CD239">
      <w:pPr>
        <w:pStyle w:val="76"/>
        <w:bidi w:val="0"/>
      </w:pPr>
      <w:bookmarkStart w:id="59" w:name="_Toc2469"/>
      <w:r>
        <w:br w:type="textWrapping"/>
      </w:r>
      <w:r>
        <w:rPr>
          <w:rFonts w:hint="eastAsia"/>
          <w:lang w:eastAsia="zh-CN"/>
        </w:rPr>
        <w:t>（资料性）</w:t>
      </w:r>
      <w:r>
        <w:rPr>
          <w:rFonts w:hint="eastAsia"/>
          <w:lang w:eastAsia="zh-CN"/>
        </w:rPr>
        <w:br w:type="textWrapping"/>
      </w:r>
      <w:r>
        <w:rPr>
          <w:rFonts w:hint="eastAsia"/>
          <w:lang w:eastAsia="zh-CN"/>
        </w:rPr>
        <w:t>凯特芒果果肉溃败病分级标准</w:t>
      </w:r>
      <w:bookmarkEnd w:id="59"/>
    </w:p>
    <w:p w14:paraId="3C9BDC0B">
      <w:pPr>
        <w:pStyle w:val="77"/>
        <w:bidi w:val="0"/>
      </w:pPr>
      <w:r>
        <w:rPr>
          <w:rFonts w:hint="eastAsia"/>
        </w:rPr>
        <w:t>凯特芒果果肉溃败病分级</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626"/>
        <w:gridCol w:w="2046"/>
        <w:gridCol w:w="2207"/>
        <w:gridCol w:w="3675"/>
      </w:tblGrid>
      <w:tr w14:paraId="786C9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919" w:hRule="atLeast"/>
          <w:tblHeader/>
          <w:jc w:val="center"/>
        </w:trPr>
        <w:tc>
          <w:tcPr>
            <w:tcW w:w="1626" w:type="dxa"/>
            <w:tcBorders>
              <w:bottom w:val="single" w:color="auto" w:sz="8" w:space="0"/>
            </w:tcBorders>
            <w:vAlign w:val="center"/>
          </w:tcPr>
          <w:p w14:paraId="462409E7">
            <w:pPr>
              <w:widowControl/>
              <w:spacing w:after="160" w:line="276" w:lineRule="auto"/>
              <w:jc w:val="center"/>
              <w:textAlignment w:val="center"/>
              <w:rPr>
                <w:rFonts w:hint="eastAsia" w:ascii="黑体" w:hAnsi="黑体" w:eastAsia="黑体" w:cs="黑体"/>
                <w:b w:val="0"/>
                <w:bCs w:val="0"/>
                <w:sz w:val="18"/>
                <w:szCs w:val="18"/>
              </w:rPr>
            </w:pPr>
            <w:r>
              <w:rPr>
                <w:rFonts w:hint="eastAsia" w:ascii="黑体" w:hAnsi="黑体" w:eastAsia="黑体" w:cs="黑体"/>
                <w:b w:val="0"/>
                <w:bCs w:val="0"/>
                <w:color w:val="000000"/>
                <w:kern w:val="0"/>
                <w:sz w:val="18"/>
                <w:szCs w:val="18"/>
                <w:lang w:bidi="ar"/>
              </w:rPr>
              <w:t>等级</w:t>
            </w:r>
          </w:p>
        </w:tc>
        <w:tc>
          <w:tcPr>
            <w:tcW w:w="2046" w:type="dxa"/>
            <w:tcBorders>
              <w:bottom w:val="single" w:color="auto" w:sz="8" w:space="0"/>
            </w:tcBorders>
            <w:vAlign w:val="center"/>
          </w:tcPr>
          <w:p w14:paraId="60784E38">
            <w:pPr>
              <w:widowControl/>
              <w:spacing w:after="160" w:line="276" w:lineRule="auto"/>
              <w:jc w:val="center"/>
              <w:textAlignment w:val="center"/>
              <w:rPr>
                <w:rFonts w:hint="eastAsia" w:ascii="黑体" w:hAnsi="黑体" w:eastAsia="黑体" w:cs="黑体"/>
                <w:b w:val="0"/>
                <w:bCs w:val="0"/>
                <w:sz w:val="18"/>
                <w:szCs w:val="18"/>
              </w:rPr>
            </w:pPr>
            <w:r>
              <w:rPr>
                <w:rFonts w:hint="eastAsia" w:ascii="黑体" w:hAnsi="黑体" w:eastAsia="黑体" w:cs="黑体"/>
                <w:b w:val="0"/>
                <w:bCs w:val="0"/>
                <w:color w:val="000000"/>
                <w:kern w:val="0"/>
                <w:sz w:val="18"/>
                <w:szCs w:val="18"/>
                <w:lang w:bidi="ar"/>
              </w:rPr>
              <w:t>严重程度</w:t>
            </w:r>
          </w:p>
        </w:tc>
        <w:tc>
          <w:tcPr>
            <w:tcW w:w="2207" w:type="dxa"/>
            <w:tcBorders>
              <w:bottom w:val="single" w:color="auto" w:sz="8" w:space="0"/>
            </w:tcBorders>
            <w:vAlign w:val="center"/>
          </w:tcPr>
          <w:p w14:paraId="2B02AFB7">
            <w:pPr>
              <w:widowControl/>
              <w:spacing w:after="160" w:line="276" w:lineRule="auto"/>
              <w:jc w:val="center"/>
              <w:textAlignment w:val="center"/>
              <w:rPr>
                <w:rFonts w:hint="eastAsia" w:ascii="黑体" w:hAnsi="黑体" w:eastAsia="黑体" w:cs="黑体"/>
                <w:b w:val="0"/>
                <w:bCs w:val="0"/>
                <w:color w:val="000000"/>
                <w:kern w:val="0"/>
                <w:sz w:val="18"/>
                <w:szCs w:val="18"/>
                <w:lang w:bidi="ar"/>
              </w:rPr>
            </w:pPr>
            <w:r>
              <w:rPr>
                <w:rFonts w:hint="eastAsia" w:ascii="黑体" w:hAnsi="黑体" w:eastAsia="黑体" w:cs="黑体"/>
                <w:b w:val="0"/>
                <w:bCs w:val="0"/>
                <w:color w:val="000000"/>
                <w:kern w:val="0"/>
                <w:sz w:val="18"/>
                <w:szCs w:val="18"/>
                <w:lang w:bidi="ar"/>
              </w:rPr>
              <w:t>溃败面积占比（%）</w:t>
            </w:r>
          </w:p>
        </w:tc>
        <w:tc>
          <w:tcPr>
            <w:tcW w:w="3675" w:type="dxa"/>
            <w:tcBorders>
              <w:bottom w:val="single" w:color="auto" w:sz="8" w:space="0"/>
            </w:tcBorders>
            <w:vAlign w:val="center"/>
          </w:tcPr>
          <w:p w14:paraId="4BAFEB36">
            <w:pPr>
              <w:widowControl/>
              <w:spacing w:after="160" w:line="276" w:lineRule="auto"/>
              <w:jc w:val="center"/>
              <w:textAlignment w:val="center"/>
              <w:rPr>
                <w:rFonts w:hint="eastAsia" w:ascii="黑体" w:hAnsi="黑体" w:eastAsia="黑体" w:cs="黑体"/>
                <w:b w:val="0"/>
                <w:bCs w:val="0"/>
                <w:sz w:val="18"/>
                <w:szCs w:val="18"/>
              </w:rPr>
            </w:pPr>
            <w:r>
              <w:rPr>
                <w:rFonts w:hint="eastAsia" w:ascii="黑体" w:hAnsi="黑体" w:eastAsia="黑体" w:cs="黑体"/>
                <w:b w:val="0"/>
                <w:bCs w:val="0"/>
                <w:color w:val="000000"/>
                <w:kern w:val="0"/>
                <w:sz w:val="18"/>
                <w:szCs w:val="18"/>
                <w:lang w:bidi="ar"/>
              </w:rPr>
              <w:t>症状描述</w:t>
            </w:r>
          </w:p>
        </w:tc>
      </w:tr>
      <w:tr w14:paraId="2F77E5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26" w:type="dxa"/>
            <w:tcBorders>
              <w:top w:val="single" w:color="auto" w:sz="8" w:space="0"/>
            </w:tcBorders>
            <w:vAlign w:val="center"/>
          </w:tcPr>
          <w:p w14:paraId="487D5ADC">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0级</w:t>
            </w:r>
          </w:p>
        </w:tc>
        <w:tc>
          <w:tcPr>
            <w:tcW w:w="2046" w:type="dxa"/>
            <w:tcBorders>
              <w:top w:val="single" w:color="auto" w:sz="8" w:space="0"/>
            </w:tcBorders>
            <w:vAlign w:val="center"/>
          </w:tcPr>
          <w:p w14:paraId="0B1315C0">
            <w:pPr>
              <w:widowControl/>
              <w:spacing w:after="160" w:line="278" w:lineRule="auto"/>
              <w:jc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无症</w:t>
            </w:r>
          </w:p>
        </w:tc>
        <w:tc>
          <w:tcPr>
            <w:tcW w:w="2207" w:type="dxa"/>
            <w:tcBorders>
              <w:top w:val="single" w:color="auto" w:sz="8" w:space="0"/>
            </w:tcBorders>
            <w:vAlign w:val="center"/>
          </w:tcPr>
          <w:p w14:paraId="2981B655">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0</w:t>
            </w:r>
          </w:p>
        </w:tc>
        <w:tc>
          <w:tcPr>
            <w:tcW w:w="3675" w:type="dxa"/>
            <w:tcBorders>
              <w:top w:val="single" w:color="auto" w:sz="8" w:space="0"/>
            </w:tcBorders>
            <w:vAlign w:val="center"/>
          </w:tcPr>
          <w:p w14:paraId="08A49964">
            <w:pPr>
              <w:widowControl/>
              <w:spacing w:after="160" w:line="276" w:lineRule="auto"/>
              <w:jc w:val="left"/>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果肉正常。 果肉颜色均匀，呈品种固有色泽（如黄色、橙黄色）；组织坚实、细腻，无任何软化、变色或水渍状病变。</w:t>
            </w:r>
          </w:p>
        </w:tc>
      </w:tr>
      <w:tr w14:paraId="617B98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26" w:type="dxa"/>
            <w:vAlign w:val="center"/>
          </w:tcPr>
          <w:p w14:paraId="761E928E">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1级</w:t>
            </w:r>
          </w:p>
        </w:tc>
        <w:tc>
          <w:tcPr>
            <w:tcW w:w="2046" w:type="dxa"/>
            <w:vAlign w:val="center"/>
          </w:tcPr>
          <w:p w14:paraId="5C442B85">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轻微溃败</w:t>
            </w:r>
          </w:p>
        </w:tc>
        <w:tc>
          <w:tcPr>
            <w:tcW w:w="2207" w:type="dxa"/>
            <w:vAlign w:val="center"/>
          </w:tcPr>
          <w:p w14:paraId="1AC52205">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10</w:t>
            </w:r>
          </w:p>
        </w:tc>
        <w:tc>
          <w:tcPr>
            <w:tcW w:w="3675" w:type="dxa"/>
            <w:vAlign w:val="center"/>
          </w:tcPr>
          <w:p w14:paraId="20066D34">
            <w:pPr>
              <w:widowControl/>
              <w:spacing w:after="160" w:line="276" w:lineRule="auto"/>
              <w:jc w:val="left"/>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果肉轻度溃败。 果肉局部出现轻微的水浸状半透明区域或淡淡的黄褐色病变，主要集中于果核附近或维管束周围。组织轻微软化，但整体结构尚保持完整，口感可能略有影响。商品价值轻微下降</w:t>
            </w:r>
          </w:p>
        </w:tc>
      </w:tr>
      <w:tr w14:paraId="3FD391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26" w:type="dxa"/>
            <w:vAlign w:val="center"/>
          </w:tcPr>
          <w:p w14:paraId="76647E29">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2级</w:t>
            </w:r>
          </w:p>
        </w:tc>
        <w:tc>
          <w:tcPr>
            <w:tcW w:w="2046" w:type="dxa"/>
            <w:vAlign w:val="center"/>
          </w:tcPr>
          <w:p w14:paraId="451D2E3C">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中度溃败</w:t>
            </w:r>
          </w:p>
        </w:tc>
        <w:tc>
          <w:tcPr>
            <w:tcW w:w="2207" w:type="dxa"/>
            <w:vAlign w:val="center"/>
          </w:tcPr>
          <w:p w14:paraId="3010731E">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11~30</w:t>
            </w:r>
          </w:p>
        </w:tc>
        <w:tc>
          <w:tcPr>
            <w:tcW w:w="3675" w:type="dxa"/>
            <w:vAlign w:val="center"/>
          </w:tcPr>
          <w:p w14:paraId="329D02BA">
            <w:pPr>
              <w:widowControl/>
              <w:spacing w:after="160" w:line="276" w:lineRule="auto"/>
              <w:jc w:val="left"/>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果肉中度溃败。 溃败区域明显扩大，果肉呈明显的黄褐色或褐色，水浸状斑块连接成片。组织软化、糊化明显，可能伴有轻微异味。口感显著变差，商品价值严重降低。</w:t>
            </w:r>
          </w:p>
        </w:tc>
      </w:tr>
      <w:tr w14:paraId="5C9A8E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26" w:type="dxa"/>
            <w:vAlign w:val="center"/>
          </w:tcPr>
          <w:p w14:paraId="1F11C712">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3级</w:t>
            </w:r>
          </w:p>
        </w:tc>
        <w:tc>
          <w:tcPr>
            <w:tcW w:w="2046" w:type="dxa"/>
            <w:vAlign w:val="center"/>
          </w:tcPr>
          <w:p w14:paraId="1C338701">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重度溃败</w:t>
            </w:r>
          </w:p>
        </w:tc>
        <w:tc>
          <w:tcPr>
            <w:tcW w:w="2207" w:type="dxa"/>
            <w:vAlign w:val="center"/>
          </w:tcPr>
          <w:p w14:paraId="6A2BED72">
            <w:pPr>
              <w:widowControl/>
              <w:spacing w:after="160" w:line="276" w:lineRule="auto"/>
              <w:jc w:val="center"/>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≥31</w:t>
            </w:r>
          </w:p>
        </w:tc>
        <w:tc>
          <w:tcPr>
            <w:tcW w:w="3675" w:type="dxa"/>
            <w:vAlign w:val="center"/>
          </w:tcPr>
          <w:p w14:paraId="572CF31A">
            <w:pPr>
              <w:widowControl/>
              <w:spacing w:after="160" w:line="276" w:lineRule="auto"/>
              <w:jc w:val="left"/>
              <w:textAlignment w:val="center"/>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lang w:bidi="ar"/>
              </w:rPr>
              <w:t>果肉严重溃败。 大部分乃至整个果肉组织严重软化、解体，呈深褐色或黑褐色，呈糊状或海绵状。异味（发酵味、酸败味）浓烈。完全丧失食用价值和商品价值。</w:t>
            </w:r>
          </w:p>
        </w:tc>
      </w:tr>
      <w:bookmarkEnd w:id="58"/>
    </w:tbl>
    <w:p w14:paraId="3EC04525">
      <w:pPr>
        <w:pStyle w:val="56"/>
        <w:bidi w:val="0"/>
        <w:ind w:firstLine="0" w:firstLineChars="0"/>
        <w:jc w:val="center"/>
        <w:rPr>
          <w:rFonts w:hint="eastAsia" w:eastAsia="宋体"/>
          <w:lang w:eastAsia="zh-CN"/>
        </w:rPr>
      </w:pPr>
      <w:bookmarkStart w:id="60" w:name="BookMark8"/>
      <w:bookmarkStart w:id="61" w:name="_GoBack"/>
      <w:bookmarkEnd w:id="61"/>
      <w:r>
        <w:rPr>
          <w:rFonts w:hint="eastAsia" w:eastAsia="宋体"/>
          <w:lang w:eastAsia="zh-CN"/>
        </w:rPr>
        <w:drawing>
          <wp:inline distT="0" distB="0" distL="114300" distR="114300">
            <wp:extent cx="1485900" cy="317500"/>
            <wp:effectExtent l="0" t="0" r="0" b="6350"/>
            <wp:docPr id="1" name="图片 1" descr="1"/>
            <wp:cNvGraphicFramePr/>
            <a:graphic xmlns:a="http://schemas.openxmlformats.org/drawingml/2006/main">
              <a:graphicData uri="http://schemas.openxmlformats.org/drawingml/2006/picture">
                <pic:pic xmlns:pic="http://schemas.openxmlformats.org/drawingml/2006/picture">
                  <pic:nvPicPr>
                    <pic:cNvPr id="1" name="图片 1" descr="1"/>
                    <pic:cNvPicPr/>
                  </pic:nvPicPr>
                  <pic:blipFill>
                    <a:blip r:embed="rId13"/>
                    <a:stretch>
                      <a:fillRect/>
                    </a:stretch>
                  </pic:blipFill>
                  <pic:spPr>
                    <a:xfrm>
                      <a:off x="0" y="0"/>
                      <a:ext cx="1485900" cy="317500"/>
                    </a:xfrm>
                    <a:prstGeom prst="rect">
                      <a:avLst/>
                    </a:prstGeom>
                  </pic:spPr>
                </pic:pic>
              </a:graphicData>
            </a:graphic>
          </wp:inline>
        </w:drawing>
      </w:r>
      <w:bookmarkEnd w:id="60"/>
    </w:p>
    <w:sectPr>
      <w:pgSz w:w="11906" w:h="16838"/>
      <w:pgMar w:top="1928"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C69C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1951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0B8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7399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5221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FD42E">
    <w:pPr>
      <w:pStyle w:val="61"/>
      <w:rPr>
        <w:rFonts w:hint="eastAsia"/>
      </w:rPr>
    </w:pPr>
    <w:r>
      <w:fldChar w:fldCharType="begin"/>
    </w:r>
    <w:r>
      <w:instrText xml:space="preserve"> STYLEREF  标准文件_文件编号  \* MERGEFORMAT </w:instrText>
    </w:r>
    <w:r>
      <w:fldChar w:fldCharType="separate"/>
    </w:r>
    <w:r>
      <w:t>DB5104/T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qzsEgEHG+5OaQM/h6h4ZB7KPIz4=" w:salt="ezFwSbxEbNKpdSPWS+ZbG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7113EF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7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9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DF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7FD2EE4"/>
    <w:rsid w:val="77113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BodyText1I2"/>
    <w:basedOn w:val="231"/>
    <w:next w:val="1"/>
    <w:qFormat/>
    <w:uiPriority w:val="0"/>
    <w:pPr>
      <w:ind w:firstLine="420" w:firstLineChars="200"/>
    </w:pPr>
  </w:style>
  <w:style w:type="paragraph" w:customStyle="1" w:styleId="231">
    <w:name w:val="BodyTextIndent"/>
    <w:basedOn w:val="1"/>
    <w:next w:val="1"/>
    <w:qFormat/>
    <w:uiPriority w:val="0"/>
    <w:pPr>
      <w:spacing w:after="120"/>
      <w:ind w:left="420" w:leftChars="200"/>
      <w:textAlignment w:val="baseline"/>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A38090058141E5BCF867FEE79180DC"/>
        <w:style w:val=""/>
        <w:category>
          <w:name w:val="常规"/>
          <w:gallery w:val="placeholder"/>
        </w:category>
        <w:types>
          <w:type w:val="bbPlcHdr"/>
        </w:types>
        <w:behaviors>
          <w:behavior w:val="content"/>
        </w:behaviors>
        <w:description w:val=""/>
        <w:guid w:val="{3E435CD4-A942-486C-B99C-687EB01641D9}"/>
      </w:docPartPr>
      <w:docPartBody>
        <w:p w14:paraId="786B7917">
          <w:pPr>
            <w:pStyle w:val="5"/>
          </w:pPr>
          <w:r>
            <w:rPr>
              <w:rStyle w:val="4"/>
              <w:rFonts w:hint="eastAsia"/>
            </w:rPr>
            <w:t>单击或点击此处输入文字。</w:t>
          </w:r>
        </w:p>
      </w:docPartBody>
    </w:docPart>
    <w:docPart>
      <w:docPartPr>
        <w:name w:val="83ACEA082902419DAEC754314F0D2502"/>
        <w:style w:val=""/>
        <w:category>
          <w:name w:val="常规"/>
          <w:gallery w:val="placeholder"/>
        </w:category>
        <w:types>
          <w:type w:val="bbPlcHdr"/>
        </w:types>
        <w:behaviors>
          <w:behavior w:val="content"/>
        </w:behaviors>
        <w:description w:val=""/>
        <w:guid w:val="{EAB02F69-0057-4016-B783-9EFBE6ED4674}"/>
      </w:docPartPr>
      <w:docPartBody>
        <w:p w14:paraId="281914D4">
          <w:pPr>
            <w:pStyle w:val="6"/>
          </w:pPr>
          <w:r>
            <w:rPr>
              <w:rStyle w:val="4"/>
              <w:rFonts w:hint="eastAsia"/>
            </w:rPr>
            <w:t>选择一项。</w:t>
          </w:r>
        </w:p>
      </w:docPartBody>
    </w:docPart>
    <w:docPart>
      <w:docPartPr>
        <w:name w:val="1300A4C75D794D6291D16A5282D6F457"/>
        <w:style w:val=""/>
        <w:category>
          <w:name w:val="常规"/>
          <w:gallery w:val="placeholder"/>
        </w:category>
        <w:types>
          <w:type w:val="bbPlcHdr"/>
        </w:types>
        <w:behaviors>
          <w:behavior w:val="content"/>
        </w:behaviors>
        <w:description w:val=""/>
        <w:guid w:val="{57C2592D-AC40-4B99-9ED8-C705F3CB6DF5}"/>
      </w:docPartPr>
      <w:docPartBody>
        <w:p w14:paraId="1288DB4F">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3D5"/>
    <w:rsid w:val="00F203D5"/>
    <w:rsid w:val="00F71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4A38090058141E5BCF867FEE79180D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3ACEA082902419DAEC754314F0D250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300A4C75D794D6291D16A5282D6F45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Pages>8</Pages>
  <Words>3104</Words>
  <Characters>3329</Characters>
  <Lines>4</Lines>
  <Paragraphs>1</Paragraphs>
  <TotalTime>0</TotalTime>
  <ScaleCrop>false</ScaleCrop>
  <LinksUpToDate>false</LinksUpToDate>
  <CharactersWithSpaces>3412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2026-03-17T02:25:00Z</dcterms:created>
  <dc:creator>亢多多-花愁零</dc:creator>
  <cp:lastModifiedBy>Administrator</cp:lastModifiedBy>
  <dcterms:modified xsi:type="dcterms:W3CDTF">2026-03-17T02:55:48Z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0DC502E69B3848E9BFCF14C863B00DB6_11</vt:lpwstr>
  </property>
  <property fmtid="{D5CDD505-2E9C-101B-9397-08002B2CF9AE}" pid="15" name="KSOTemplateDocerSaveRecord">
    <vt:lpwstr>eyJoZGlkIjoiMDU3YmFhOGY0MTMwNzljNmUyNDRjNjQxMzgwNzNiODIifQ==</vt:lpwstr>
  </property>
  <property fmtid="{D5CDD505-2E9C-101B-9397-08002B2CF9AE}" pid="16" name="KSOProductBuildVer">
    <vt:lpwstr>2052-12.1.0.22529</vt:lpwstr>
  </property>
</Properties>
</file>