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E162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42C369F">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6B653590">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fldChar w:fldCharType="end"/>
            </w:r>
            <w:bookmarkEnd w:id="0"/>
          </w:p>
        </w:tc>
      </w:tr>
      <w:tr w14:paraId="5C8BA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BF239C">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1249DD52">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EA2EE7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2A3BFBB">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5104</w:t>
            </w:r>
            <w:r>
              <w:fldChar w:fldCharType="end"/>
            </w:r>
            <w:bookmarkEnd w:id="3"/>
          </w:p>
        </w:tc>
      </w:tr>
    </w:tbl>
    <w:p w14:paraId="42B7AD63">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四川省（攀枝花市）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7CD4E07">
      <w:pPr>
        <w:pStyle w:val="197"/>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5104</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2026</w:t>
      </w:r>
      <w:r>
        <w:fldChar w:fldCharType="end"/>
      </w:r>
      <w:bookmarkEnd w:id="7"/>
    </w:p>
    <w:p w14:paraId="48C95C63">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5202950">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1BBCD567">
      <w:pPr>
        <w:pStyle w:val="52"/>
        <w:framePr w:w="9639" w:h="6976" w:hRule="exact" w:hSpace="0" w:vSpace="0" w:wrap="around" w:hAnchor="page" w:y="6408"/>
        <w:jc w:val="center"/>
        <w:rPr>
          <w:rFonts w:ascii="黑体" w:hAnsi="黑体" w:eastAsia="黑体"/>
          <w:b w:val="0"/>
          <w:bCs w:val="0"/>
          <w:w w:val="100"/>
        </w:rPr>
      </w:pPr>
    </w:p>
    <w:p w14:paraId="48C60171">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中高山林下赤松茸（大球盖菇）种植</w:t>
      </w:r>
    </w:p>
    <w:p w14:paraId="5F0F5E22">
      <w:pPr>
        <w:pStyle w:val="199"/>
        <w:framePr w:h="6974" w:hRule="exact" w:wrap="around" w:x="1419" w:anchorLock="1"/>
      </w:pPr>
      <w:r>
        <w:t>技术规程</w:t>
      </w:r>
      <w:r>
        <w:fldChar w:fldCharType="end"/>
      </w:r>
      <w:bookmarkEnd w:id="9"/>
    </w:p>
    <w:p w14:paraId="4E1C0A8E">
      <w:pPr>
        <w:framePr w:w="9639" w:h="6974" w:hRule="exact" w:wrap="around" w:vAnchor="page" w:hAnchor="page" w:x="1419" w:y="6408" w:anchorLock="1"/>
        <w:ind w:left="-1418"/>
      </w:pPr>
    </w:p>
    <w:p w14:paraId="710F7225">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52E7CF52">
      <w:pPr>
        <w:framePr w:w="9639" w:h="6974" w:hRule="exact" w:wrap="around" w:vAnchor="page" w:hAnchor="page" w:x="1419" w:y="6408" w:anchorLock="1"/>
        <w:spacing w:line="760" w:lineRule="exact"/>
        <w:ind w:left="-1418"/>
      </w:pPr>
    </w:p>
    <w:p w14:paraId="1CAC3C72">
      <w:pPr>
        <w:pStyle w:val="127"/>
        <w:framePr w:w="9639" w:h="6974" w:hRule="exact" w:wrap="around" w:vAnchor="page" w:hAnchor="page" w:x="1419" w:y="6408" w:anchorLock="1"/>
        <w:textAlignment w:val="bottom"/>
        <w:rPr>
          <w:rFonts w:eastAsia="黑体"/>
          <w:szCs w:val="28"/>
        </w:rPr>
      </w:pPr>
    </w:p>
    <w:p w14:paraId="67475D60">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639F216">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7AE0EFD">
      <w:pPr>
        <w:pStyle w:val="127"/>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7037A1E">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BE9245F">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DA472A9">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攀枝花市市场监督管理局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6D7EB0E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1ECAE947">
      <w:pPr>
        <w:pStyle w:val="91"/>
        <w:spacing w:before="900" w:after="468"/>
      </w:pPr>
      <w:bookmarkStart w:id="21" w:name="BookMark2"/>
      <w:r>
        <w:rPr>
          <w:spacing w:val="320"/>
        </w:rPr>
        <w:t>前</w:t>
      </w:r>
      <w:r>
        <w:t>言</w:t>
      </w:r>
    </w:p>
    <w:p w14:paraId="1024BA77">
      <w:pPr>
        <w:pStyle w:val="58"/>
        <w:ind w:firstLine="420"/>
      </w:pPr>
      <w:r>
        <w:rPr>
          <w:rFonts w:hint="eastAsia"/>
        </w:rPr>
        <w:t>本文件按照GB/T 1.1—2020《标准化工作导则  第1部分：标准化文件的结构和起草规则》的规定起草。</w:t>
      </w:r>
    </w:p>
    <w:p w14:paraId="37B77CF2">
      <w:pPr>
        <w:pStyle w:val="58"/>
        <w:ind w:firstLine="420"/>
      </w:pPr>
      <w:r>
        <w:rPr>
          <w:rFonts w:hint="eastAsia"/>
        </w:rPr>
        <w:t>请注意本文件的某些内容可能涉及专利。本文件的发布机构不承担识别专利的责任。</w:t>
      </w:r>
    </w:p>
    <w:p w14:paraId="32AADA4A">
      <w:pPr>
        <w:pStyle w:val="58"/>
        <w:ind w:firstLine="420"/>
      </w:pPr>
      <w:bookmarkStart w:id="22" w:name="OLE_LINK3"/>
      <w:bookmarkStart w:id="23" w:name="OLE_LINK4"/>
      <w:r>
        <w:rPr>
          <w:rFonts w:hint="eastAsia"/>
        </w:rPr>
        <w:t>本文件由</w:t>
      </w:r>
      <w:bookmarkStart w:id="24" w:name="OLE_LINK6"/>
      <w:bookmarkStart w:id="25" w:name="OLE_LINK5"/>
      <w:r>
        <w:rPr>
          <w:rFonts w:hint="eastAsia" w:hAnsi="宋体"/>
          <w:szCs w:val="21"/>
        </w:rPr>
        <w:t>攀枝花市</w:t>
      </w:r>
      <w:bookmarkEnd w:id="22"/>
      <w:bookmarkEnd w:id="23"/>
      <w:r>
        <w:rPr>
          <w:rFonts w:hint="eastAsia" w:hAnsi="宋体"/>
          <w:szCs w:val="21"/>
        </w:rPr>
        <w:t>农林科学研究院</w:t>
      </w:r>
      <w:bookmarkEnd w:id="24"/>
      <w:bookmarkEnd w:id="25"/>
      <w:r>
        <w:rPr>
          <w:rFonts w:hint="eastAsia"/>
        </w:rPr>
        <w:t>提出</w:t>
      </w:r>
    </w:p>
    <w:p w14:paraId="1EEDD578">
      <w:pPr>
        <w:pStyle w:val="58"/>
        <w:ind w:firstLine="420"/>
      </w:pPr>
      <w:r>
        <w:rPr>
          <w:rFonts w:hint="eastAsia"/>
        </w:rPr>
        <w:t>本文件由</w:t>
      </w:r>
      <w:r>
        <w:rPr>
          <w:rFonts w:hint="eastAsia" w:hAnsi="宋体"/>
          <w:szCs w:val="21"/>
        </w:rPr>
        <w:t>攀枝花市农业农村局</w:t>
      </w:r>
      <w:r>
        <w:rPr>
          <w:rFonts w:hint="eastAsia"/>
        </w:rPr>
        <w:t>归口。</w:t>
      </w:r>
    </w:p>
    <w:p w14:paraId="42999607">
      <w:pPr>
        <w:pStyle w:val="58"/>
        <w:ind w:firstLine="420"/>
      </w:pPr>
      <w:r>
        <w:rPr>
          <w:rFonts w:hint="eastAsia"/>
        </w:rPr>
        <w:t>本文件起草单位：</w:t>
      </w:r>
      <w:r>
        <w:rPr>
          <w:rFonts w:hint="eastAsia" w:hAnsi="宋体"/>
          <w:szCs w:val="21"/>
        </w:rPr>
        <w:t>攀枝花市农林科学研究院</w:t>
      </w:r>
      <w:r>
        <w:rPr>
          <w:rFonts w:hint="eastAsia"/>
        </w:rPr>
        <w:t>。</w:t>
      </w:r>
    </w:p>
    <w:p w14:paraId="526B96A5">
      <w:pPr>
        <w:pStyle w:val="58"/>
        <w:ind w:firstLine="420"/>
      </w:pPr>
      <w:r>
        <w:rPr>
          <w:rFonts w:hint="eastAsia"/>
        </w:rPr>
        <w:t>本文件主要起草人：肖玉军、李华兵、向蕊、甲卡拉铁、方亮、吕金燕、杜宣延。</w:t>
      </w:r>
    </w:p>
    <w:p w14:paraId="663D824C">
      <w:pPr>
        <w:pStyle w:val="58"/>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109DF007">
      <w:pPr>
        <w:spacing w:line="20" w:lineRule="exact"/>
        <w:jc w:val="center"/>
        <w:rPr>
          <w:rFonts w:ascii="黑体" w:hAnsi="黑体" w:eastAsia="黑体"/>
          <w:sz w:val="32"/>
          <w:szCs w:val="32"/>
        </w:rPr>
      </w:pPr>
      <w:bookmarkStart w:id="26" w:name="BookMark4"/>
    </w:p>
    <w:p w14:paraId="33231CC3">
      <w:pPr>
        <w:spacing w:line="20" w:lineRule="exact"/>
        <w:jc w:val="center"/>
        <w:rPr>
          <w:rFonts w:ascii="黑体" w:hAnsi="黑体" w:eastAsia="黑体"/>
          <w:sz w:val="32"/>
          <w:szCs w:val="32"/>
        </w:rPr>
      </w:pPr>
    </w:p>
    <w:sdt>
      <w:sdtPr>
        <w:tag w:val="NEW_STAND_NAME"/>
        <w:id w:val="595910757"/>
        <w:lock w:val="sdtLocked"/>
        <w:placeholder>
          <w:docPart w:val="825E65F3B1F140B08A376520658E9AB0"/>
        </w:placeholder>
      </w:sdtPr>
      <w:sdtContent>
        <w:p w14:paraId="589562EE">
          <w:pPr>
            <w:pStyle w:val="179"/>
            <w:spacing w:beforeLines="1" w:afterLines="220"/>
          </w:pPr>
          <w:bookmarkStart w:id="27" w:name="NEW_STAND_NAME"/>
          <w:r>
            <w:rPr>
              <w:rFonts w:hint="eastAsia"/>
            </w:rPr>
            <w:t>中高山林下赤松茸（大球盖菇）种植技术规程</w:t>
          </w:r>
        </w:p>
      </w:sdtContent>
    </w:sdt>
    <w:bookmarkEnd w:id="27"/>
    <w:p w14:paraId="4F53D623">
      <w:pPr>
        <w:pStyle w:val="106"/>
        <w:spacing w:before="312" w:after="312"/>
      </w:pPr>
      <w:bookmarkStart w:id="28" w:name="_Toc24884211"/>
      <w:bookmarkStart w:id="29" w:name="_Toc26986771"/>
      <w:bookmarkStart w:id="30" w:name="_Toc24884218"/>
      <w:bookmarkStart w:id="31" w:name="_Toc17233333"/>
      <w:bookmarkStart w:id="32" w:name="_Toc17233325"/>
      <w:bookmarkStart w:id="33" w:name="_Toc26648465"/>
      <w:bookmarkStart w:id="34" w:name="_Toc26986530"/>
      <w:bookmarkStart w:id="35" w:name="_Toc97191423"/>
      <w:bookmarkStart w:id="36" w:name="_Toc26718930"/>
      <w:r>
        <w:rPr>
          <w:rFonts w:hint="eastAsia"/>
        </w:rPr>
        <w:t>范围</w:t>
      </w:r>
      <w:bookmarkEnd w:id="28"/>
      <w:bookmarkEnd w:id="29"/>
      <w:bookmarkEnd w:id="30"/>
      <w:bookmarkEnd w:id="31"/>
      <w:bookmarkEnd w:id="32"/>
      <w:bookmarkEnd w:id="33"/>
      <w:bookmarkEnd w:id="34"/>
      <w:bookmarkEnd w:id="35"/>
      <w:bookmarkEnd w:id="36"/>
    </w:p>
    <w:p w14:paraId="6D010A18">
      <w:pPr>
        <w:pStyle w:val="58"/>
        <w:ind w:firstLine="420"/>
      </w:pPr>
      <w:bookmarkStart w:id="37" w:name="_Toc24884219"/>
      <w:bookmarkStart w:id="38" w:name="_Toc26648466"/>
      <w:bookmarkStart w:id="39" w:name="_Toc24884212"/>
      <w:bookmarkStart w:id="40" w:name="_Toc17233334"/>
      <w:bookmarkStart w:id="41" w:name="_Toc17233326"/>
      <w:r>
        <w:rPr>
          <w:rFonts w:hint="eastAsia"/>
        </w:rPr>
        <w:t>本文件确立了</w:t>
      </w:r>
      <w:r>
        <w:t>攀枝花</w:t>
      </w:r>
      <w:r>
        <w:rPr>
          <w:rFonts w:hint="eastAsia"/>
        </w:rPr>
        <w:t>市中高山林下赤松茸（大球盖菇）种植</w:t>
      </w:r>
      <w:r>
        <w:t>基本程序</w:t>
      </w:r>
      <w:r>
        <w:rPr>
          <w:rFonts w:hint="eastAsia"/>
        </w:rPr>
        <w:t>，</w:t>
      </w:r>
      <w:r>
        <w:t>规定了产地环境、品</w:t>
      </w:r>
      <w:r>
        <w:rPr>
          <w:rFonts w:hint="eastAsia"/>
        </w:rPr>
        <w:t>种选择、栽培季节、林地处理、</w:t>
      </w:r>
      <w:r>
        <w:t>播种</w:t>
      </w:r>
      <w:r>
        <w:rPr>
          <w:rFonts w:hint="eastAsia"/>
        </w:rPr>
        <w:t>、</w:t>
      </w:r>
      <w:r>
        <w:t>菌期管理、出菇期管理、</w:t>
      </w:r>
      <w:r>
        <w:rPr>
          <w:rFonts w:hint="eastAsia"/>
        </w:rPr>
        <w:t>采收</w:t>
      </w:r>
      <w:r>
        <w:t>、</w:t>
      </w:r>
      <w:r>
        <w:rPr>
          <w:rFonts w:hint="eastAsia"/>
        </w:rPr>
        <w:t>病虫害防治等</w:t>
      </w:r>
      <w:r>
        <w:t>阶段的操作指示</w:t>
      </w:r>
      <w:r>
        <w:rPr>
          <w:rFonts w:hint="eastAsia"/>
        </w:rPr>
        <w:t>。</w:t>
      </w:r>
    </w:p>
    <w:p w14:paraId="44862DD9">
      <w:pPr>
        <w:pStyle w:val="58"/>
        <w:ind w:firstLine="420"/>
      </w:pPr>
      <w:r>
        <w:rPr>
          <w:rFonts w:hint="eastAsia"/>
        </w:rPr>
        <w:t>本文件适用于攀枝花市</w:t>
      </w:r>
      <w:r>
        <w:t>海拔1600 m</w:t>
      </w:r>
      <w:r>
        <w:rPr>
          <w:rFonts w:hint="eastAsia"/>
        </w:rPr>
        <w:t>～</w:t>
      </w:r>
      <w:r>
        <w:t>2200 m区域</w:t>
      </w:r>
      <w:r>
        <w:rPr>
          <w:rFonts w:hint="eastAsia"/>
        </w:rPr>
        <w:t>林下赤松茸（大球盖菇）种植。</w:t>
      </w:r>
    </w:p>
    <w:p w14:paraId="0B2EB138">
      <w:pPr>
        <w:pStyle w:val="106"/>
        <w:spacing w:before="312" w:after="312"/>
      </w:pPr>
      <w:bookmarkStart w:id="42" w:name="_Toc26718931"/>
      <w:bookmarkStart w:id="43" w:name="_Toc97191424"/>
      <w:bookmarkStart w:id="44" w:name="_Toc26986531"/>
      <w:bookmarkStart w:id="45" w:name="_Toc26986772"/>
      <w:r>
        <w:rPr>
          <w:rFonts w:hint="eastAsia"/>
        </w:rPr>
        <w:t>规范性引用文件</w:t>
      </w:r>
      <w:bookmarkEnd w:id="37"/>
      <w:bookmarkEnd w:id="38"/>
      <w:bookmarkEnd w:id="39"/>
      <w:bookmarkEnd w:id="40"/>
      <w:bookmarkEnd w:id="41"/>
      <w:bookmarkEnd w:id="42"/>
      <w:bookmarkEnd w:id="43"/>
      <w:bookmarkEnd w:id="44"/>
      <w:bookmarkEnd w:id="45"/>
    </w:p>
    <w:sdt>
      <w:sdtPr>
        <w:rPr>
          <w:rFonts w:hint="eastAsia"/>
        </w:rPr>
        <w:id w:val="715848253"/>
        <w:placeholder>
          <w:docPart w:val="A9CACF3B45394DC8BC946805C9403B0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00A1E88">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545F789">
      <w:pPr>
        <w:pStyle w:val="58"/>
        <w:ind w:firstLine="420"/>
      </w:pPr>
      <w:bookmarkStart w:id="46" w:name="OLE_LINK17"/>
      <w:bookmarkStart w:id="47" w:name="OLE_LINK18"/>
      <w:r>
        <w:rPr>
          <w:rFonts w:hint="eastAsia"/>
        </w:rPr>
        <w:t>GB 5749  生活饮用水卫生标准</w:t>
      </w:r>
    </w:p>
    <w:p w14:paraId="7975CAF5">
      <w:pPr>
        <w:pStyle w:val="58"/>
        <w:ind w:firstLine="420"/>
      </w:pPr>
      <w:r>
        <w:rPr>
          <w:rFonts w:hint="eastAsia"/>
        </w:rPr>
        <w:t>GB/T 12728  食用菌术语</w:t>
      </w:r>
    </w:p>
    <w:p w14:paraId="5A446990">
      <w:pPr>
        <w:pStyle w:val="58"/>
        <w:ind w:firstLine="420"/>
      </w:pPr>
      <w:r>
        <w:rPr>
          <w:rFonts w:hint="eastAsia"/>
        </w:rPr>
        <w:t xml:space="preserve">GB/T 15618  </w:t>
      </w:r>
      <w:r>
        <w:fldChar w:fldCharType="begin"/>
      </w:r>
      <w:r>
        <w:instrText xml:space="preserve"> HYPERLINK "https://std.samr.gov.cn/gb/search/gbDetailed?id=71F772D82E88D3A7E05397BE0A0AB82A" </w:instrText>
      </w:r>
      <w:r>
        <w:fldChar w:fldCharType="separate"/>
      </w:r>
      <w:r>
        <w:rPr>
          <w:rFonts w:hint="eastAsia"/>
        </w:rPr>
        <w:t>土壤环境质量 农用地土壤污染风险管控标准（试行）</w:t>
      </w:r>
      <w:r>
        <w:rPr>
          <w:rFonts w:hint="eastAsia"/>
        </w:rPr>
        <w:fldChar w:fldCharType="end"/>
      </w:r>
    </w:p>
    <w:p w14:paraId="5A5DADA0">
      <w:pPr>
        <w:pStyle w:val="58"/>
        <w:ind w:firstLine="420"/>
      </w:pPr>
      <w:r>
        <w:rPr>
          <w:rFonts w:hint="eastAsia"/>
        </w:rPr>
        <w:t>NY/T 391  绿色食品 产地环境质量</w:t>
      </w:r>
    </w:p>
    <w:p w14:paraId="1D0F2C79">
      <w:pPr>
        <w:pStyle w:val="58"/>
        <w:ind w:firstLine="420"/>
      </w:pPr>
      <w:r>
        <w:rPr>
          <w:rFonts w:hint="eastAsia"/>
        </w:rPr>
        <w:t>NY/T 528  食用菌菌种生产技术规程</w:t>
      </w:r>
    </w:p>
    <w:p w14:paraId="1CAC7026">
      <w:pPr>
        <w:pStyle w:val="58"/>
        <w:ind w:firstLine="420"/>
      </w:pPr>
      <w:r>
        <w:rPr>
          <w:rFonts w:hint="eastAsia"/>
        </w:rPr>
        <w:t>NY/T939  绿色食品 农药使用准则</w:t>
      </w:r>
    </w:p>
    <w:p w14:paraId="03D2A200">
      <w:pPr>
        <w:pStyle w:val="58"/>
        <w:ind w:firstLine="420"/>
      </w:pPr>
      <w:r>
        <w:rPr>
          <w:rFonts w:hint="eastAsia"/>
        </w:rPr>
        <w:t>NY/T 749  绿色食品 食用菌</w:t>
      </w:r>
    </w:p>
    <w:p w14:paraId="0F0EA87E">
      <w:pPr>
        <w:pStyle w:val="58"/>
        <w:ind w:firstLine="420"/>
      </w:pPr>
      <w:r>
        <w:rPr>
          <w:rFonts w:hint="eastAsia"/>
        </w:rPr>
        <w:t>GH/T 1437  大球盖菇生产技术规程</w:t>
      </w:r>
      <w:r>
        <w:rPr>
          <w:rFonts w:hint="eastAsia"/>
        </w:rPr>
        <w:tab/>
      </w:r>
    </w:p>
    <w:p w14:paraId="71112FD4">
      <w:pPr>
        <w:pStyle w:val="58"/>
        <w:ind w:firstLine="420"/>
      </w:pPr>
      <w:r>
        <w:rPr>
          <w:rFonts w:hint="eastAsia"/>
        </w:rPr>
        <w:t>NY/T 1731  食用菌菌种良好作业规范</w:t>
      </w:r>
    </w:p>
    <w:p w14:paraId="6FC019C6">
      <w:pPr>
        <w:pStyle w:val="58"/>
        <w:ind w:firstLine="420"/>
      </w:pPr>
      <w:r>
        <w:rPr>
          <w:rFonts w:hint="eastAsia"/>
        </w:rPr>
        <w:t>NY/T 1742　食用菌菌种通用技术要求</w:t>
      </w:r>
    </w:p>
    <w:p w14:paraId="0167F0E9">
      <w:pPr>
        <w:pStyle w:val="58"/>
        <w:ind w:firstLine="420"/>
      </w:pPr>
      <w:r>
        <w:rPr>
          <w:rFonts w:hint="eastAsia"/>
        </w:rPr>
        <w:t>NY/T 1935  食用菌栽培基质质量安全要求</w:t>
      </w:r>
    </w:p>
    <w:bookmarkEnd w:id="46"/>
    <w:bookmarkEnd w:id="47"/>
    <w:p w14:paraId="5E711EAB">
      <w:pPr>
        <w:pStyle w:val="106"/>
        <w:spacing w:before="312" w:after="312"/>
      </w:pPr>
      <w:bookmarkStart w:id="48" w:name="_Toc97191425"/>
      <w:r>
        <w:rPr>
          <w:rFonts w:hint="eastAsia"/>
          <w:szCs w:val="21"/>
        </w:rPr>
        <w:t>术语和定义</w:t>
      </w:r>
      <w:bookmarkEnd w:id="48"/>
    </w:p>
    <w:sdt>
      <w:sdtPr>
        <w:id w:val="-1909835108"/>
        <w:placeholder>
          <w:docPart w:val="6633933ADA554FC1A8E55464F0A880F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8314776">
          <w:pPr>
            <w:pStyle w:val="58"/>
            <w:ind w:firstLine="420"/>
          </w:pPr>
          <w:bookmarkStart w:id="49" w:name="_Toc26986532"/>
          <w:bookmarkEnd w:id="49"/>
          <w:r>
            <w:t>下列术语和定义适用于本文件。</w:t>
          </w:r>
        </w:p>
      </w:sdtContent>
    </w:sdt>
    <w:p w14:paraId="509CCF18">
      <w:pPr>
        <w:pStyle w:val="225"/>
        <w:ind w:left="420" w:hanging="420" w:hangingChars="200"/>
        <w:rPr>
          <w:rFonts w:ascii="黑体" w:hAnsi="黑体" w:eastAsia="黑体"/>
        </w:rPr>
      </w:pPr>
      <w:r>
        <w:rPr>
          <w:rFonts w:ascii="黑体" w:hAnsi="黑体" w:eastAsia="黑体"/>
        </w:rPr>
        <w:br w:type="textWrapping"/>
      </w:r>
      <w:bookmarkStart w:id="58" w:name="_GoBack"/>
      <w:bookmarkEnd w:id="58"/>
      <w:r>
        <w:rPr>
          <w:rFonts w:hint="eastAsia" w:ascii="黑体" w:eastAsia="黑体"/>
        </w:rPr>
        <w:t>赤松茸stropharia rugosoannulata</w:t>
      </w:r>
    </w:p>
    <w:p w14:paraId="09C1469D">
      <w:pPr>
        <w:pStyle w:val="58"/>
        <w:ind w:firstLine="420"/>
      </w:pPr>
      <w:r>
        <w:rPr>
          <w:rFonts w:hint="eastAsia" w:ascii="Times New Roman"/>
          <w:kern w:val="2"/>
          <w:szCs w:val="24"/>
        </w:rPr>
        <w:t>又名大球盖菇、皱环球盖菇，酒红色球盖菇，斐氏球盖菇等，隶属于担子菌亚门，层菌纲，伞菌目，球盖菇科，球盖菇属。</w:t>
      </w:r>
    </w:p>
    <w:p w14:paraId="5257D977">
      <w:pPr>
        <w:pStyle w:val="106"/>
        <w:spacing w:before="312" w:after="312"/>
      </w:pPr>
      <w:r>
        <w:rPr>
          <w:rFonts w:hint="eastAsia"/>
        </w:rPr>
        <w:t>产地环境</w:t>
      </w:r>
    </w:p>
    <w:p w14:paraId="38713374">
      <w:pPr>
        <w:pStyle w:val="107"/>
        <w:spacing w:before="156" w:after="156"/>
        <w:rPr>
          <w:rFonts w:ascii="Times New Roman"/>
        </w:rPr>
      </w:pPr>
      <w:bookmarkStart w:id="50" w:name="OLE_LINK14"/>
      <w:r>
        <w:rPr>
          <w:rFonts w:ascii="Times New Roman"/>
        </w:rPr>
        <w:t>环境要求</w:t>
      </w:r>
    </w:p>
    <w:p w14:paraId="26DD9953">
      <w:pPr>
        <w:pStyle w:val="233"/>
        <w:ind w:firstLine="420"/>
        <w:rPr>
          <w:rFonts w:hAnsi="宋体"/>
          <w:kern w:val="2"/>
          <w:szCs w:val="24"/>
        </w:rPr>
      </w:pPr>
      <w:r>
        <w:rPr>
          <w:rFonts w:hint="eastAsia" w:hAnsi="宋体"/>
          <w:kern w:val="2"/>
          <w:szCs w:val="24"/>
        </w:rPr>
        <w:t>栽培场地交通便利、水源方便、通风向阳、环境洁净、远离污染源，产地环境应符合NY/T 391规定。</w:t>
      </w:r>
    </w:p>
    <w:p w14:paraId="56C8D1D0">
      <w:pPr>
        <w:pStyle w:val="107"/>
        <w:spacing w:before="156" w:after="156"/>
        <w:rPr>
          <w:rFonts w:ascii="Times New Roman"/>
        </w:rPr>
      </w:pPr>
      <w:r>
        <w:rPr>
          <w:rFonts w:hint="eastAsia" w:ascii="Times New Roman"/>
        </w:rPr>
        <w:t>林地选择</w:t>
      </w:r>
    </w:p>
    <w:p w14:paraId="336CEE06">
      <w:pPr>
        <w:pStyle w:val="233"/>
        <w:ind w:firstLine="420"/>
        <w:rPr>
          <w:rFonts w:hAnsi="宋体"/>
          <w:kern w:val="2"/>
          <w:szCs w:val="24"/>
        </w:rPr>
      </w:pPr>
      <w:r>
        <w:rPr>
          <w:rFonts w:hint="eastAsia" w:hAnsi="宋体"/>
          <w:kern w:val="2"/>
          <w:szCs w:val="24"/>
        </w:rPr>
        <w:t>选择板栗、核桃、樱桃、松树、杨梅等林下进行套种，行列整齐，行间距大于2 m以上。常青林地郁闭度在0.6～0.8，落叶林需搭建遮阳网密度为80%～90%的遮阴网。优先台地或坡度小于15°的缓坡地、灌排水方便，土壤富含有机质、土质疏松、保水透气，pH值5.0～8.0。土壤的污染风险管控应符合GB 15618规定。</w:t>
      </w:r>
    </w:p>
    <w:p w14:paraId="61303060">
      <w:pPr>
        <w:pStyle w:val="106"/>
        <w:spacing w:before="312" w:after="312"/>
      </w:pPr>
      <w:r>
        <w:rPr>
          <w:rFonts w:hint="eastAsia"/>
        </w:rPr>
        <w:t>品种选择及质量要求</w:t>
      </w:r>
    </w:p>
    <w:p w14:paraId="18DEA3AE">
      <w:pPr>
        <w:pStyle w:val="107"/>
        <w:spacing w:before="156" w:after="156"/>
        <w:rPr>
          <w:rFonts w:ascii="Times New Roman"/>
        </w:rPr>
      </w:pPr>
      <w:r>
        <w:rPr>
          <w:rFonts w:ascii="Times New Roman"/>
        </w:rPr>
        <w:t>品种</w:t>
      </w:r>
      <w:r>
        <w:rPr>
          <w:rFonts w:hint="eastAsia" w:ascii="Times New Roman"/>
        </w:rPr>
        <w:t>选择</w:t>
      </w:r>
    </w:p>
    <w:p w14:paraId="68F0EC49">
      <w:pPr>
        <w:pStyle w:val="233"/>
        <w:ind w:firstLine="420"/>
        <w:rPr>
          <w:rFonts w:hAnsi="宋体"/>
          <w:kern w:val="2"/>
          <w:szCs w:val="24"/>
        </w:rPr>
      </w:pPr>
      <w:r>
        <w:rPr>
          <w:rFonts w:hAnsi="宋体"/>
          <w:kern w:val="2"/>
          <w:szCs w:val="24"/>
        </w:rPr>
        <w:t>选用适宜攀枝花中高山区域气候条、抗逆性强、优质高产且商品性强的赤松茸（大球盖菇）栽培品种</w:t>
      </w:r>
      <w:r>
        <w:rPr>
          <w:rFonts w:hint="eastAsia" w:hAnsi="宋体"/>
          <w:kern w:val="2"/>
          <w:szCs w:val="24"/>
        </w:rPr>
        <w:t>。</w:t>
      </w:r>
    </w:p>
    <w:p w14:paraId="70BFA36B">
      <w:pPr>
        <w:pStyle w:val="107"/>
        <w:spacing w:before="156" w:after="156"/>
        <w:rPr>
          <w:rFonts w:ascii="Times New Roman"/>
        </w:rPr>
      </w:pPr>
      <w:r>
        <w:rPr>
          <w:rFonts w:ascii="Times New Roman"/>
        </w:rPr>
        <w:t>菌种质量</w:t>
      </w:r>
    </w:p>
    <w:p w14:paraId="5D456BD1">
      <w:pPr>
        <w:pStyle w:val="233"/>
        <w:ind w:firstLine="420"/>
        <w:rPr>
          <w:rFonts w:hAnsi="宋体"/>
          <w:kern w:val="2"/>
          <w:szCs w:val="24"/>
        </w:rPr>
      </w:pPr>
      <w:r>
        <w:rPr>
          <w:rFonts w:hint="eastAsia" w:hAnsi="宋体"/>
          <w:kern w:val="2"/>
          <w:szCs w:val="24"/>
        </w:rPr>
        <w:t>菌种应从具备资质的制种单位购买，菌种生产应符合NY/T 528和NY/T 1731,菌种质量应符合 NY/T 1742 的要求。菌丝洁白、浓密、健壮，活力强，无吐黄水现象，菌袋富有弹性，菌龄以菌丝即将长满为适龄，菌种长满后冷库4 ℃～6 ℃保存，尽快使用，不超过30 d。</w:t>
      </w:r>
    </w:p>
    <w:p w14:paraId="65C80FE2">
      <w:pPr>
        <w:pStyle w:val="106"/>
        <w:spacing w:before="312" w:after="312"/>
      </w:pPr>
      <w:r>
        <w:t>栽培技术</w:t>
      </w:r>
    </w:p>
    <w:p w14:paraId="04E47DB9">
      <w:pPr>
        <w:pStyle w:val="107"/>
        <w:spacing w:before="156" w:after="156"/>
        <w:rPr>
          <w:rFonts w:ascii="Times New Roman"/>
        </w:rPr>
      </w:pPr>
      <w:r>
        <w:rPr>
          <w:rFonts w:hint="eastAsia" w:ascii="Times New Roman"/>
        </w:rPr>
        <w:t>播种时间</w:t>
      </w:r>
    </w:p>
    <w:p w14:paraId="745877E4">
      <w:pPr>
        <w:pStyle w:val="233"/>
        <w:ind w:firstLine="420"/>
        <w:rPr>
          <w:rFonts w:hAnsi="宋体"/>
          <w:kern w:val="2"/>
          <w:szCs w:val="24"/>
        </w:rPr>
      </w:pPr>
      <w:r>
        <w:rPr>
          <w:rFonts w:hint="eastAsia" w:hAnsi="宋体"/>
          <w:kern w:val="2"/>
          <w:szCs w:val="24"/>
        </w:rPr>
        <w:t>海拔1600 m～1800 m播种时间为9月下旬，1800 m～2000 m播种时间为九月中旬，2000 m～2200 m播种时间为9月上旬。播种时，林下温度稳定在28 ℃以下。</w:t>
      </w:r>
    </w:p>
    <w:p w14:paraId="1DA0EDF5">
      <w:pPr>
        <w:pStyle w:val="107"/>
        <w:spacing w:before="156" w:after="156"/>
        <w:rPr>
          <w:rFonts w:ascii="Times New Roman"/>
        </w:rPr>
      </w:pPr>
      <w:r>
        <w:rPr>
          <w:rFonts w:hint="eastAsia" w:ascii="Times New Roman"/>
        </w:rPr>
        <w:t>培养料</w:t>
      </w:r>
      <w:r>
        <w:rPr>
          <w:rFonts w:ascii="Times New Roman"/>
        </w:rPr>
        <w:t>制备</w:t>
      </w:r>
    </w:p>
    <w:p w14:paraId="2D287029">
      <w:pPr>
        <w:pStyle w:val="67"/>
        <w:spacing w:before="156" w:after="156"/>
        <w:rPr>
          <w:rFonts w:ascii="Times New Roman"/>
        </w:rPr>
      </w:pPr>
      <w:r>
        <w:rPr>
          <w:rFonts w:ascii="Times New Roman"/>
        </w:rPr>
        <w:t>原材料要求</w:t>
      </w:r>
    </w:p>
    <w:p w14:paraId="4523D600">
      <w:pPr>
        <w:pStyle w:val="235"/>
        <w:numPr>
          <w:ilvl w:val="0"/>
          <w:numId w:val="0"/>
        </w:numPr>
        <w:spacing w:beforeLines="0" w:afterLines="0"/>
        <w:ind w:firstLine="420" w:firstLineChars="200"/>
        <w:outlineLvl w:val="0"/>
        <w:rPr>
          <w:rFonts w:ascii="宋体" w:hAnsi="宋体" w:eastAsia="宋体"/>
          <w:kern w:val="2"/>
          <w:szCs w:val="24"/>
        </w:rPr>
      </w:pPr>
      <w:r>
        <w:rPr>
          <w:rFonts w:hint="eastAsia" w:ascii="宋体" w:hAnsi="宋体" w:eastAsia="宋体"/>
          <w:kern w:val="2"/>
          <w:szCs w:val="24"/>
        </w:rPr>
        <w:t>赤松茸栽培原材料有芒果、板栗、樱桃、桃、杨梅、梨等修剪的枝丫、玉米芯、玉米秸秆、稻壳等栽培主料，麦麸、牛粪、石灰、石膏等栽培辅料，原料要求新鲜、干燥、无霉变、无虫咬等，玉米芯颗粒大小1 cm～1.5 cm；木屑颗粒0.5 cm～1 cm；玉米秸秆5 cm～10 cm。原材质量均要符合NY/1935的规定。</w:t>
      </w:r>
    </w:p>
    <w:p w14:paraId="010621C1">
      <w:pPr>
        <w:pStyle w:val="67"/>
        <w:spacing w:before="156" w:after="156"/>
        <w:rPr>
          <w:rFonts w:ascii="Times New Roman"/>
        </w:rPr>
      </w:pPr>
      <w:r>
        <w:rPr>
          <w:rFonts w:hint="eastAsia" w:ascii="Times New Roman"/>
        </w:rPr>
        <w:t>生产用水</w:t>
      </w:r>
    </w:p>
    <w:p w14:paraId="7863F0E7">
      <w:pPr>
        <w:pStyle w:val="233"/>
        <w:ind w:firstLine="420"/>
        <w:rPr>
          <w:rFonts w:hAnsi="宋体"/>
          <w:kern w:val="2"/>
          <w:szCs w:val="24"/>
        </w:rPr>
      </w:pPr>
      <w:r>
        <w:rPr>
          <w:rFonts w:hint="eastAsia" w:hAnsi="宋体"/>
          <w:kern w:val="2"/>
          <w:szCs w:val="24"/>
        </w:rPr>
        <w:t>生产用水应符合GB 5749的规定</w:t>
      </w:r>
    </w:p>
    <w:p w14:paraId="520F2438">
      <w:pPr>
        <w:pStyle w:val="67"/>
        <w:spacing w:before="156" w:after="156"/>
        <w:rPr>
          <w:rFonts w:ascii="Times New Roman"/>
        </w:rPr>
      </w:pPr>
      <w:r>
        <w:rPr>
          <w:rFonts w:ascii="Times New Roman"/>
        </w:rPr>
        <w:t>培养料配方</w:t>
      </w:r>
    </w:p>
    <w:p w14:paraId="4AEA57BC">
      <w:pPr>
        <w:pStyle w:val="233"/>
        <w:ind w:firstLine="420"/>
        <w:rPr>
          <w:rFonts w:hAnsi="宋体"/>
          <w:kern w:val="2"/>
          <w:szCs w:val="24"/>
        </w:rPr>
      </w:pPr>
      <w:r>
        <w:rPr>
          <w:rFonts w:hint="eastAsia" w:hAnsi="宋体"/>
          <w:kern w:val="2"/>
          <w:szCs w:val="24"/>
        </w:rPr>
        <w:t>根据当地农林废弃秸秆灵活选用栽培料和比例。推荐以下配方：</w:t>
      </w:r>
    </w:p>
    <w:p w14:paraId="336ACA78">
      <w:pPr>
        <w:pStyle w:val="233"/>
        <w:ind w:firstLine="420"/>
        <w:rPr>
          <w:rFonts w:hAnsi="宋体"/>
          <w:kern w:val="2"/>
          <w:szCs w:val="24"/>
        </w:rPr>
      </w:pPr>
      <w:r>
        <w:rPr>
          <w:rFonts w:hint="eastAsia" w:hAnsi="宋体"/>
          <w:kern w:val="2"/>
          <w:szCs w:val="24"/>
        </w:rPr>
        <w:t>配方一：玉米芯47%，木屑30%，谷壳10%，干牛粪10%，石灰3%；</w:t>
      </w:r>
    </w:p>
    <w:p w14:paraId="000FC4DB">
      <w:pPr>
        <w:pStyle w:val="233"/>
        <w:ind w:firstLine="420"/>
        <w:rPr>
          <w:rFonts w:hAnsi="宋体"/>
          <w:kern w:val="2"/>
          <w:szCs w:val="24"/>
        </w:rPr>
      </w:pPr>
      <w:r>
        <w:rPr>
          <w:rFonts w:hint="eastAsia" w:hAnsi="宋体"/>
          <w:kern w:val="2"/>
          <w:szCs w:val="24"/>
        </w:rPr>
        <w:t>配方二：玉米芯30%，玉米秸秆20%，木屑37%，干牛粪10%，石灰3%；</w:t>
      </w:r>
    </w:p>
    <w:p w14:paraId="465102B1">
      <w:pPr>
        <w:pStyle w:val="233"/>
        <w:ind w:firstLine="420"/>
        <w:rPr>
          <w:rFonts w:hAnsi="宋体"/>
          <w:kern w:val="2"/>
          <w:szCs w:val="24"/>
        </w:rPr>
      </w:pPr>
      <w:r>
        <w:rPr>
          <w:rFonts w:hint="eastAsia" w:hAnsi="宋体"/>
          <w:kern w:val="2"/>
          <w:szCs w:val="24"/>
        </w:rPr>
        <w:t>配方三：玉米芯40%，木屑40%，谷壳10%，麦麸7.5，石灰2.5%。</w:t>
      </w:r>
    </w:p>
    <w:p w14:paraId="1991BDCA">
      <w:pPr>
        <w:pStyle w:val="67"/>
        <w:spacing w:before="156" w:after="156"/>
        <w:rPr>
          <w:rFonts w:ascii="Times New Roman"/>
        </w:rPr>
      </w:pPr>
      <w:r>
        <w:rPr>
          <w:rFonts w:hint="eastAsia" w:ascii="Times New Roman"/>
        </w:rPr>
        <w:t>预湿</w:t>
      </w:r>
    </w:p>
    <w:p w14:paraId="4E10A28B">
      <w:pPr>
        <w:pStyle w:val="233"/>
        <w:ind w:firstLine="420"/>
        <w:rPr>
          <w:rFonts w:hAnsi="宋体"/>
          <w:kern w:val="2"/>
          <w:szCs w:val="24"/>
        </w:rPr>
      </w:pPr>
      <w:r>
        <w:rPr>
          <w:rFonts w:hint="eastAsia" w:hAnsi="宋体"/>
          <w:kern w:val="2"/>
          <w:szCs w:val="24"/>
        </w:rPr>
        <w:t>选择平整硬化场地进行培养料发酵。先将培养料在太阳下暴晒2 d～3 d，按照配方要求混合均匀，撒上生石灰，加水预湿24 h～48 h，使培养料充分吸水并沥去多余的水分，使培养料含水量70%～75%，即用手抓一把培养料，紧握，指缝间有水滴出不成线即可。</w:t>
      </w:r>
    </w:p>
    <w:p w14:paraId="7A684A47">
      <w:pPr>
        <w:pStyle w:val="67"/>
        <w:spacing w:before="156" w:after="156"/>
        <w:rPr>
          <w:rFonts w:ascii="Times New Roman"/>
        </w:rPr>
      </w:pPr>
      <w:r>
        <w:rPr>
          <w:rFonts w:hint="eastAsia" w:ascii="Times New Roman"/>
        </w:rPr>
        <w:t>建堆发酵</w:t>
      </w:r>
    </w:p>
    <w:p w14:paraId="66D875FC">
      <w:pPr>
        <w:pStyle w:val="233"/>
        <w:ind w:firstLine="420"/>
        <w:rPr>
          <w:rFonts w:hAnsi="宋体"/>
          <w:kern w:val="2"/>
          <w:szCs w:val="24"/>
        </w:rPr>
      </w:pPr>
      <w:r>
        <w:rPr>
          <w:rFonts w:hint="eastAsia" w:hAnsi="宋体"/>
          <w:kern w:val="2"/>
          <w:szCs w:val="24"/>
        </w:rPr>
        <w:t>将预湿的培养料建成宽1.5 m～2 m，高1 m～1.5 m，长度不限的料堆，在料堆的顶部用10 cm的木棒，自上而下，间隔30 cm～50 cm打若干通气孔至底部，覆盖帆布进行自然发酵。培养料30 cm以下，料温达到60 ℃～70 ℃保存2 d～3 d，进行第一次翻堆，翻堆时将堆料中心的培养料翻至外层，外层和底层的培养料翻至料堆中央；当料温再次达到60 ℃～70 ℃保存2 d～3 d，进行第二次翻堆。培养料一般翻3～4次，一般翻堆间隔时间5～7天，发酵时间需要15 d～28 d。翻堆两次后，若发现培养料含水量不足，应加0.5%的石灰水补充水分。发酵好的培养料颜色呈深褐色，质地疏松、不粘、无酸臭味，含水量65%左右，培养料中部含有大量白色高温放线菌。发酵好的培养料尽快使用。</w:t>
      </w:r>
    </w:p>
    <w:p w14:paraId="0C33057B">
      <w:pPr>
        <w:pStyle w:val="107"/>
        <w:spacing w:before="156" w:after="156"/>
        <w:rPr>
          <w:rFonts w:ascii="Times New Roman"/>
        </w:rPr>
      </w:pPr>
      <w:r>
        <w:rPr>
          <w:rFonts w:hint="eastAsia" w:ascii="Times New Roman"/>
        </w:rPr>
        <w:t>林地整理</w:t>
      </w:r>
    </w:p>
    <w:p w14:paraId="5941216B">
      <w:pPr>
        <w:pStyle w:val="67"/>
        <w:spacing w:before="156" w:after="156"/>
        <w:rPr>
          <w:rFonts w:ascii="Times New Roman"/>
        </w:rPr>
      </w:pPr>
      <w:r>
        <w:rPr>
          <w:rFonts w:ascii="Times New Roman"/>
        </w:rPr>
        <w:t>林</w:t>
      </w:r>
      <w:r>
        <w:rPr>
          <w:rFonts w:hint="eastAsia" w:ascii="Times New Roman"/>
        </w:rPr>
        <w:t>地清理</w:t>
      </w:r>
    </w:p>
    <w:p w14:paraId="04BA5F48">
      <w:pPr>
        <w:pStyle w:val="233"/>
        <w:ind w:firstLine="420"/>
        <w:rPr>
          <w:rFonts w:hAnsi="宋体"/>
          <w:kern w:val="2"/>
          <w:szCs w:val="24"/>
        </w:rPr>
      </w:pPr>
      <w:r>
        <w:rPr>
          <w:rFonts w:hint="eastAsia" w:hAnsi="宋体"/>
          <w:kern w:val="2"/>
          <w:szCs w:val="24"/>
        </w:rPr>
        <w:t>清理</w:t>
      </w:r>
      <w:r>
        <w:rPr>
          <w:rFonts w:hAnsi="宋体"/>
          <w:kern w:val="2"/>
          <w:szCs w:val="24"/>
        </w:rPr>
        <w:t>林</w:t>
      </w:r>
      <w:r>
        <w:rPr>
          <w:rFonts w:hint="eastAsia" w:hAnsi="宋体"/>
          <w:kern w:val="2"/>
          <w:szCs w:val="24"/>
        </w:rPr>
        <w:t>地内杂草、</w:t>
      </w:r>
      <w:r>
        <w:rPr>
          <w:rFonts w:hAnsi="宋体"/>
          <w:kern w:val="2"/>
          <w:szCs w:val="24"/>
        </w:rPr>
        <w:t>枯枝、</w:t>
      </w:r>
      <w:r>
        <w:rPr>
          <w:rFonts w:hint="eastAsia" w:hAnsi="宋体"/>
          <w:kern w:val="2"/>
          <w:szCs w:val="24"/>
        </w:rPr>
        <w:t>石块</w:t>
      </w:r>
      <w:r>
        <w:rPr>
          <w:rFonts w:hAnsi="宋体"/>
          <w:kern w:val="2"/>
          <w:szCs w:val="24"/>
        </w:rPr>
        <w:t>等</w:t>
      </w:r>
      <w:r>
        <w:rPr>
          <w:rFonts w:hint="eastAsia" w:hAnsi="宋体"/>
          <w:kern w:val="2"/>
          <w:szCs w:val="24"/>
        </w:rPr>
        <w:t>其他杂物。</w:t>
      </w:r>
    </w:p>
    <w:p w14:paraId="08870B71">
      <w:pPr>
        <w:pStyle w:val="67"/>
        <w:spacing w:before="156" w:after="156"/>
        <w:rPr>
          <w:rFonts w:ascii="Times New Roman"/>
        </w:rPr>
      </w:pPr>
      <w:r>
        <w:rPr>
          <w:rFonts w:ascii="Times New Roman"/>
        </w:rPr>
        <w:t>林地消毒</w:t>
      </w:r>
    </w:p>
    <w:p w14:paraId="01FD9A78">
      <w:pPr>
        <w:pStyle w:val="233"/>
        <w:ind w:firstLine="420"/>
        <w:rPr>
          <w:rFonts w:hAnsi="宋体"/>
          <w:kern w:val="2"/>
          <w:szCs w:val="24"/>
        </w:rPr>
      </w:pPr>
      <w:r>
        <w:rPr>
          <w:rFonts w:hint="eastAsia" w:hAnsi="宋体"/>
          <w:kern w:val="2"/>
          <w:szCs w:val="24"/>
        </w:rPr>
        <w:t>种植前用在林地散辛硫磷颗粒、甲氨基阿维菌素苯甲酸盐等进行杀虫处理（按照说明书使用）。按照75 kg/667㎡～100 kg/667㎡的石灰粉进行场地消毒处理。使用杀虫杀菌药剂时应符合NY/T939的规定。</w:t>
      </w:r>
    </w:p>
    <w:p w14:paraId="0CAD5A36">
      <w:pPr>
        <w:pStyle w:val="233"/>
        <w:ind w:firstLine="0" w:firstLineChars="0"/>
        <w:rPr>
          <w:rFonts w:hAnsi="宋体"/>
          <w:kern w:val="2"/>
          <w:szCs w:val="24"/>
        </w:rPr>
      </w:pPr>
      <w:r>
        <w:rPr>
          <w:rFonts w:hint="eastAsia" w:hAnsi="宋体"/>
          <w:kern w:val="2"/>
          <w:szCs w:val="24"/>
        </w:rPr>
        <w:t>用旋耕机将林地翻耕一次，并平整地面。</w:t>
      </w:r>
    </w:p>
    <w:p w14:paraId="3C65E373">
      <w:pPr>
        <w:pStyle w:val="67"/>
        <w:spacing w:before="156" w:after="156"/>
        <w:rPr>
          <w:rFonts w:ascii="Times New Roman"/>
        </w:rPr>
      </w:pPr>
      <w:r>
        <w:rPr>
          <w:rFonts w:ascii="Times New Roman"/>
        </w:rPr>
        <w:t>作畦</w:t>
      </w:r>
    </w:p>
    <w:p w14:paraId="62D11F28">
      <w:pPr>
        <w:pStyle w:val="233"/>
        <w:ind w:firstLine="420"/>
        <w:rPr>
          <w:rFonts w:hAnsi="宋体"/>
          <w:kern w:val="2"/>
          <w:szCs w:val="24"/>
        </w:rPr>
      </w:pPr>
      <w:r>
        <w:rPr>
          <w:rFonts w:hint="eastAsia" w:hAnsi="宋体"/>
          <w:kern w:val="2"/>
          <w:szCs w:val="24"/>
        </w:rPr>
        <w:t>根据林地形状及方便排水进行做畦。畦宽60 cm～80 cm，</w:t>
      </w:r>
      <w:r>
        <w:rPr>
          <w:rFonts w:hAnsi="宋体"/>
          <w:kern w:val="2"/>
          <w:szCs w:val="24"/>
        </w:rPr>
        <w:t>畦间</w:t>
      </w:r>
      <w:r>
        <w:rPr>
          <w:rFonts w:hint="eastAsia" w:hAnsi="宋体"/>
          <w:kern w:val="2"/>
          <w:szCs w:val="24"/>
        </w:rPr>
        <w:t>宽40 cm～60 cm</w:t>
      </w:r>
      <w:r>
        <w:rPr>
          <w:rFonts w:hAnsi="宋体"/>
          <w:kern w:val="2"/>
          <w:szCs w:val="24"/>
        </w:rPr>
        <w:t>。</w:t>
      </w:r>
      <w:r>
        <w:rPr>
          <w:rFonts w:hint="eastAsia" w:hAnsi="宋体"/>
          <w:kern w:val="2"/>
          <w:szCs w:val="24"/>
        </w:rPr>
        <w:t>将地面进行预湿，使土壤含水量达到70%</w:t>
      </w:r>
      <w:r>
        <w:rPr>
          <w:rFonts w:hAnsi="宋体"/>
          <w:kern w:val="2"/>
          <w:szCs w:val="24"/>
        </w:rPr>
        <w:t>，并在畦面撒一层生石灰（见白即可），四周开好排水沟。</w:t>
      </w:r>
    </w:p>
    <w:p w14:paraId="294BF675">
      <w:pPr>
        <w:pStyle w:val="107"/>
        <w:spacing w:before="156" w:after="156"/>
        <w:rPr>
          <w:rFonts w:ascii="Times New Roman"/>
        </w:rPr>
      </w:pPr>
      <w:r>
        <w:rPr>
          <w:rFonts w:ascii="Times New Roman"/>
        </w:rPr>
        <w:t>铺料</w:t>
      </w:r>
    </w:p>
    <w:p w14:paraId="23249517">
      <w:pPr>
        <w:pStyle w:val="233"/>
        <w:ind w:firstLine="420"/>
        <w:rPr>
          <w:rFonts w:hAnsi="宋体"/>
          <w:kern w:val="2"/>
          <w:szCs w:val="24"/>
        </w:rPr>
      </w:pPr>
      <w:r>
        <w:rPr>
          <w:rFonts w:hint="eastAsia" w:hAnsi="宋体"/>
          <w:kern w:val="2"/>
          <w:szCs w:val="24"/>
        </w:rPr>
        <w:t>按照畦面宽度进行培养料</w:t>
      </w:r>
      <w:r>
        <w:rPr>
          <w:rFonts w:hAnsi="宋体"/>
          <w:kern w:val="2"/>
          <w:szCs w:val="24"/>
        </w:rPr>
        <w:t>铺设</w:t>
      </w:r>
      <w:r>
        <w:rPr>
          <w:rFonts w:hint="eastAsia" w:hAnsi="宋体"/>
          <w:kern w:val="2"/>
          <w:szCs w:val="24"/>
        </w:rPr>
        <w:t>，下宽上窄，料厚25 cm～30 cm，呈梯形状或龟背状。</w:t>
      </w:r>
    </w:p>
    <w:p w14:paraId="4797ECDC">
      <w:pPr>
        <w:pStyle w:val="107"/>
        <w:spacing w:before="156" w:after="156"/>
        <w:rPr>
          <w:rFonts w:ascii="Times New Roman"/>
        </w:rPr>
      </w:pPr>
      <w:r>
        <w:rPr>
          <w:rFonts w:ascii="Times New Roman"/>
        </w:rPr>
        <w:t>播种</w:t>
      </w:r>
    </w:p>
    <w:p w14:paraId="48014B50">
      <w:pPr>
        <w:pStyle w:val="233"/>
        <w:ind w:firstLine="420"/>
        <w:rPr>
          <w:rFonts w:hAnsi="宋体"/>
          <w:kern w:val="2"/>
          <w:szCs w:val="24"/>
        </w:rPr>
      </w:pPr>
      <w:r>
        <w:rPr>
          <w:rFonts w:hint="eastAsia" w:hAnsi="宋体"/>
          <w:kern w:val="2"/>
          <w:szCs w:val="24"/>
        </w:rPr>
        <w:t>先将培养料铺好，放置一天，使培养料的温度降至30 ℃以下并散发有害气体后方可播种。播种方式采取穴播，播种量200 ㎏/667 m2～250 ㎏/667 m2。播种时，将菌种用手掰成核桃大小，直接将菌种插入培养料中，深度5 cm～15 cm，菌种间距10 cm，呈梅花桩点播，深浅交错。播种后将培养料面抹平，并轻轻压实，让菌种与培养料充分接触，保证菌种不露出培养料表面。</w:t>
      </w:r>
    </w:p>
    <w:p w14:paraId="088DD1B4">
      <w:pPr>
        <w:pStyle w:val="107"/>
        <w:spacing w:before="156" w:after="156"/>
        <w:rPr>
          <w:rFonts w:ascii="Times New Roman"/>
        </w:rPr>
      </w:pPr>
      <w:r>
        <w:rPr>
          <w:rFonts w:hint="eastAsia" w:ascii="Times New Roman"/>
        </w:rPr>
        <w:t>覆土</w:t>
      </w:r>
      <w:r>
        <w:rPr>
          <w:rFonts w:ascii="Times New Roman"/>
        </w:rPr>
        <w:t>保湿</w:t>
      </w:r>
    </w:p>
    <w:p w14:paraId="08C0015D">
      <w:pPr>
        <w:pStyle w:val="233"/>
        <w:ind w:firstLine="420"/>
        <w:rPr>
          <w:rFonts w:hAnsi="宋体"/>
          <w:kern w:val="2"/>
          <w:szCs w:val="24"/>
        </w:rPr>
      </w:pPr>
      <w:r>
        <w:rPr>
          <w:rFonts w:hint="eastAsia" w:hAnsi="宋体"/>
          <w:kern w:val="2"/>
          <w:szCs w:val="24"/>
        </w:rPr>
        <w:t>播种后立即覆土，覆土厚度2 cm～3 cm， 并在上面铺盖一层2 cm～3 cm的稻草或松针保湿（稻草和松针需用饱和石灰水浸泡24 h，沥干后使用），再喷一次水，使厢面土壤湿润即可，且不能积水。</w:t>
      </w:r>
    </w:p>
    <w:p w14:paraId="0DBB34AE">
      <w:pPr>
        <w:pStyle w:val="107"/>
        <w:spacing w:before="156" w:after="156"/>
        <w:rPr>
          <w:rFonts w:ascii="Times New Roman"/>
        </w:rPr>
      </w:pPr>
      <w:r>
        <w:rPr>
          <w:rFonts w:hint="eastAsia" w:ascii="Times New Roman"/>
        </w:rPr>
        <w:t>发菌期管理</w:t>
      </w:r>
    </w:p>
    <w:p w14:paraId="5BF1A7EF">
      <w:pPr>
        <w:pStyle w:val="67"/>
        <w:spacing w:before="156" w:after="156"/>
        <w:rPr>
          <w:rFonts w:ascii="Times New Roman"/>
        </w:rPr>
      </w:pPr>
      <w:r>
        <w:rPr>
          <w:rFonts w:hint="eastAsia" w:ascii="Times New Roman"/>
        </w:rPr>
        <w:t>光照</w:t>
      </w:r>
    </w:p>
    <w:p w14:paraId="482BB024">
      <w:pPr>
        <w:pStyle w:val="233"/>
        <w:ind w:firstLine="420" w:firstLineChars="0"/>
        <w:rPr>
          <w:rFonts w:hAnsi="宋体"/>
          <w:kern w:val="2"/>
          <w:szCs w:val="24"/>
        </w:rPr>
      </w:pPr>
      <w:r>
        <w:rPr>
          <w:rFonts w:hint="eastAsia" w:hAnsi="宋体"/>
          <w:kern w:val="2"/>
          <w:szCs w:val="24"/>
        </w:rPr>
        <w:t>发菌期间不需要光照，郁闭度低的林地及时搭建遮阴棚，避免阳光直射。</w:t>
      </w:r>
    </w:p>
    <w:p w14:paraId="0CBECD97">
      <w:pPr>
        <w:pStyle w:val="67"/>
        <w:spacing w:before="156" w:after="156"/>
        <w:rPr>
          <w:rFonts w:ascii="Times New Roman"/>
        </w:rPr>
      </w:pPr>
      <w:r>
        <w:rPr>
          <w:rFonts w:hint="eastAsia" w:ascii="Times New Roman"/>
        </w:rPr>
        <w:t>温度</w:t>
      </w:r>
    </w:p>
    <w:p w14:paraId="6E191D20">
      <w:pPr>
        <w:pStyle w:val="233"/>
        <w:ind w:firstLine="0" w:firstLineChars="0"/>
        <w:rPr>
          <w:rFonts w:asciiTheme="minorEastAsia" w:hAnsiTheme="minorEastAsia" w:eastAsiaTheme="minorEastAsia"/>
          <w:kern w:val="2"/>
          <w:szCs w:val="21"/>
        </w:rPr>
      </w:pPr>
      <w:r>
        <w:rPr>
          <w:rFonts w:hint="eastAsia" w:asciiTheme="minorEastAsia" w:hAnsiTheme="minorEastAsia" w:eastAsiaTheme="minorEastAsia"/>
          <w:kern w:val="2"/>
          <w:szCs w:val="21"/>
        </w:rPr>
        <w:t xml:space="preserve">    </w:t>
      </w:r>
      <w:r>
        <w:rPr>
          <w:rFonts w:hint="eastAsia" w:hAnsi="宋体"/>
          <w:kern w:val="2"/>
          <w:szCs w:val="24"/>
        </w:rPr>
        <w:t>发菌期间培养料温度要求保持在22 ℃～28 ℃，最适温度控制在25 ℃，每天定时监测料温，温度低于15 ℃时，采取保温措施，如搭建小拱棚或覆盖薄膜，并打孔保持通风透气。温度高于28 ℃时，采取喷水、打孔、撬料等方式降温，并加强通风换气。在此期间，防止料温出现异常现场，影响菌丝生长。</w:t>
      </w:r>
    </w:p>
    <w:p w14:paraId="1C902100">
      <w:pPr>
        <w:pStyle w:val="67"/>
        <w:spacing w:before="156" w:after="156"/>
        <w:rPr>
          <w:rFonts w:ascii="Times New Roman"/>
        </w:rPr>
      </w:pPr>
      <w:r>
        <w:rPr>
          <w:rFonts w:hint="eastAsia" w:ascii="Times New Roman"/>
        </w:rPr>
        <w:t>湿度</w:t>
      </w:r>
    </w:p>
    <w:p w14:paraId="785F4881">
      <w:pPr>
        <w:pStyle w:val="235"/>
        <w:numPr>
          <w:ilvl w:val="0"/>
          <w:numId w:val="0"/>
        </w:numPr>
        <w:spacing w:beforeLines="0" w:afterLines="0"/>
        <w:ind w:firstLine="420" w:firstLineChars="200"/>
        <w:outlineLvl w:val="0"/>
        <w:rPr>
          <w:rFonts w:ascii="宋体" w:hAnsi="宋体" w:eastAsia="宋体"/>
          <w:kern w:val="2"/>
          <w:szCs w:val="24"/>
        </w:rPr>
      </w:pPr>
      <w:r>
        <w:rPr>
          <w:rFonts w:hint="eastAsia" w:ascii="宋体" w:hAnsi="宋体" w:eastAsia="宋体"/>
          <w:kern w:val="2"/>
          <w:szCs w:val="24"/>
        </w:rPr>
        <w:t>播种后及时覆土并覆盖保湿物质，使培养料保持含水量65%左右，保持土壤湿润。播种后20天内一般不喷水或少喷水，遇到下雨天及时覆盖薄膜防雨，雨后及时掀开薄膜，并及时排出菌床周围的积水。菌丝布满土面后停止直接向土面喷水。</w:t>
      </w:r>
    </w:p>
    <w:p w14:paraId="1BB4024B">
      <w:pPr>
        <w:pStyle w:val="107"/>
        <w:spacing w:before="156" w:after="156"/>
        <w:rPr>
          <w:rFonts w:ascii="Times New Roman"/>
        </w:rPr>
      </w:pPr>
      <w:r>
        <w:rPr>
          <w:rFonts w:hint="eastAsia" w:ascii="Times New Roman"/>
        </w:rPr>
        <w:t>出菇管理</w:t>
      </w:r>
    </w:p>
    <w:p w14:paraId="6F652356">
      <w:pPr>
        <w:pStyle w:val="235"/>
        <w:numPr>
          <w:ilvl w:val="0"/>
          <w:numId w:val="0"/>
        </w:numPr>
        <w:spacing w:beforeLines="0" w:afterLines="0"/>
        <w:ind w:firstLine="420" w:firstLineChars="200"/>
        <w:outlineLvl w:val="0"/>
        <w:rPr>
          <w:rFonts w:ascii="宋体" w:hAnsi="宋体" w:eastAsia="宋体"/>
          <w:kern w:val="2"/>
          <w:szCs w:val="24"/>
        </w:rPr>
      </w:pPr>
      <w:r>
        <w:rPr>
          <w:rFonts w:hint="eastAsia" w:ascii="宋体" w:hAnsi="宋体" w:eastAsia="宋体"/>
          <w:kern w:val="2"/>
          <w:szCs w:val="24"/>
        </w:rPr>
        <w:t>菌丝培养50 d左右，菌丝长满培养料并长处土面，并出现少量白色子实体原基时，即进入出菇管理期。</w:t>
      </w:r>
    </w:p>
    <w:p w14:paraId="7859F217">
      <w:pPr>
        <w:pStyle w:val="67"/>
        <w:spacing w:before="156" w:after="156"/>
        <w:rPr>
          <w:rFonts w:ascii="Times New Roman"/>
        </w:rPr>
      </w:pPr>
      <w:r>
        <w:rPr>
          <w:rFonts w:hint="eastAsia" w:ascii="Times New Roman"/>
        </w:rPr>
        <w:t>光照</w:t>
      </w:r>
    </w:p>
    <w:p w14:paraId="4151DCCE">
      <w:pPr>
        <w:pStyle w:val="235"/>
        <w:numPr>
          <w:ilvl w:val="0"/>
          <w:numId w:val="0"/>
        </w:numPr>
        <w:spacing w:beforeLines="0" w:afterLines="0"/>
        <w:ind w:firstLine="420" w:firstLineChars="200"/>
        <w:outlineLvl w:val="0"/>
        <w:rPr>
          <w:rFonts w:ascii="宋体" w:hAnsi="宋体" w:eastAsia="宋体"/>
          <w:kern w:val="2"/>
          <w:szCs w:val="24"/>
        </w:rPr>
      </w:pPr>
      <w:r>
        <w:rPr>
          <w:rFonts w:hint="eastAsia" w:ascii="宋体" w:hAnsi="宋体" w:eastAsia="宋体"/>
          <w:kern w:val="2"/>
          <w:szCs w:val="24"/>
        </w:rPr>
        <w:t>子实体生长阶段需要充足的散射光，避免阳光直射，光照强度保持300 Lux～500 Lux。</w:t>
      </w:r>
    </w:p>
    <w:p w14:paraId="6627B39D">
      <w:pPr>
        <w:pStyle w:val="67"/>
        <w:spacing w:before="156" w:after="156"/>
        <w:rPr>
          <w:rFonts w:ascii="Times New Roman"/>
        </w:rPr>
      </w:pPr>
      <w:r>
        <w:rPr>
          <w:rFonts w:hint="eastAsia" w:ascii="Times New Roman"/>
        </w:rPr>
        <w:t xml:space="preserve">温度 </w:t>
      </w:r>
    </w:p>
    <w:p w14:paraId="193B51CA">
      <w:pPr>
        <w:pStyle w:val="235"/>
        <w:numPr>
          <w:ilvl w:val="0"/>
          <w:numId w:val="0"/>
        </w:numPr>
        <w:spacing w:beforeLines="0" w:afterLines="0"/>
        <w:ind w:firstLine="420" w:firstLineChars="200"/>
        <w:outlineLvl w:val="0"/>
        <w:rPr>
          <w:rFonts w:ascii="宋体" w:hAnsi="宋体" w:eastAsia="宋体"/>
          <w:kern w:val="2"/>
          <w:szCs w:val="24"/>
        </w:rPr>
      </w:pPr>
      <w:r>
        <w:rPr>
          <w:rFonts w:hint="eastAsia" w:ascii="宋体" w:hAnsi="宋体" w:eastAsia="宋体"/>
          <w:kern w:val="2"/>
          <w:szCs w:val="24"/>
        </w:rPr>
        <w:t>出菇期间环境温度适宜在14 ℃～24 ℃。气温低于12 ℃时，采取搭设小拱棚，夜间用薄膜盖四周，白天掀开两头通风透气。遇见霜冻天，采用双模覆盖，增加覆盖物，停止喷水，白天增加光照，提高温度。温度超过25℃时，采取加强通风换气、喷水等降温措施。</w:t>
      </w:r>
    </w:p>
    <w:p w14:paraId="083204F6">
      <w:pPr>
        <w:pStyle w:val="67"/>
        <w:spacing w:before="156" w:after="156"/>
        <w:rPr>
          <w:rFonts w:ascii="Times New Roman"/>
        </w:rPr>
      </w:pPr>
      <w:r>
        <w:rPr>
          <w:rFonts w:hint="eastAsia" w:ascii="Times New Roman"/>
        </w:rPr>
        <w:t>湿度</w:t>
      </w:r>
    </w:p>
    <w:p w14:paraId="30980168">
      <w:pPr>
        <w:pStyle w:val="235"/>
        <w:numPr>
          <w:ilvl w:val="0"/>
          <w:numId w:val="0"/>
        </w:numPr>
        <w:spacing w:beforeLines="0" w:afterLines="0"/>
        <w:ind w:firstLine="420" w:firstLineChars="200"/>
        <w:outlineLvl w:val="0"/>
        <w:rPr>
          <w:rFonts w:ascii="宋体" w:hAnsi="宋体" w:eastAsia="宋体"/>
          <w:kern w:val="2"/>
          <w:szCs w:val="24"/>
        </w:rPr>
      </w:pPr>
      <w:r>
        <w:rPr>
          <w:rFonts w:hint="eastAsia" w:ascii="宋体" w:hAnsi="宋体" w:eastAsia="宋体"/>
          <w:kern w:val="2"/>
          <w:szCs w:val="24"/>
        </w:rPr>
        <w:t>出菇阶段保持空气相对湿度85%～95%。喷水时间为上午或傍晚，喷水原则为少量多次，采取轻喷勤喷细喷、晴天多喷、阴雨天少喷或不喷，切忌过量喷水，培养料含水量保持在65%左右。</w:t>
      </w:r>
    </w:p>
    <w:p w14:paraId="6345E014">
      <w:pPr>
        <w:pStyle w:val="107"/>
        <w:spacing w:before="156" w:after="156"/>
        <w:rPr>
          <w:rFonts w:ascii="Times New Roman"/>
        </w:rPr>
      </w:pPr>
      <w:r>
        <w:rPr>
          <w:rFonts w:hint="eastAsia" w:ascii="Times New Roman"/>
        </w:rPr>
        <w:t>采收</w:t>
      </w:r>
    </w:p>
    <w:p w14:paraId="4CB996BC">
      <w:pPr>
        <w:pStyle w:val="67"/>
        <w:spacing w:before="156" w:after="156"/>
        <w:rPr>
          <w:rFonts w:ascii="Times New Roman"/>
        </w:rPr>
      </w:pPr>
      <w:r>
        <w:rPr>
          <w:rFonts w:hint="eastAsia" w:ascii="Times New Roman"/>
        </w:rPr>
        <w:t>采收时间与标准</w:t>
      </w:r>
    </w:p>
    <w:p w14:paraId="004984F9">
      <w:pPr>
        <w:pStyle w:val="233"/>
        <w:ind w:firstLine="420"/>
        <w:rPr>
          <w:rFonts w:hAnsi="宋体"/>
          <w:kern w:val="2"/>
          <w:szCs w:val="24"/>
        </w:rPr>
      </w:pPr>
      <w:r>
        <w:rPr>
          <w:rFonts w:hint="eastAsia" w:hAnsi="宋体"/>
          <w:kern w:val="2"/>
          <w:szCs w:val="24"/>
        </w:rPr>
        <w:t>子实体菌盖呈钟型，6～7成熟，内卷不开伞，菌膜尚未破裂时为最佳采收期。采收时间为早上或傍晚，大量出菇的时候，早晚各采收一次。子实体产品质量符合NY/T 749的规定。</w:t>
      </w:r>
    </w:p>
    <w:p w14:paraId="3069D931">
      <w:pPr>
        <w:pStyle w:val="67"/>
        <w:spacing w:before="156" w:after="156"/>
        <w:rPr>
          <w:rFonts w:ascii="Times New Roman"/>
        </w:rPr>
      </w:pPr>
      <w:r>
        <w:rPr>
          <w:rFonts w:hint="eastAsia" w:ascii="Times New Roman"/>
        </w:rPr>
        <w:t>采收方法</w:t>
      </w:r>
    </w:p>
    <w:p w14:paraId="48192075">
      <w:pPr>
        <w:pStyle w:val="233"/>
        <w:ind w:firstLine="420"/>
        <w:rPr>
          <w:rFonts w:hAnsi="宋体"/>
          <w:kern w:val="2"/>
          <w:szCs w:val="24"/>
        </w:rPr>
      </w:pPr>
      <w:r>
        <w:rPr>
          <w:rFonts w:hint="eastAsia" w:hAnsi="宋体"/>
          <w:kern w:val="2"/>
          <w:szCs w:val="24"/>
        </w:rPr>
        <w:t>用手指抓住菇脚轻轻扭转一周，松动后，轻轻向上提，采大留小，切勿带动周围小菇。采收后的成品菇及时清理菇脚上的杂物，并用清洁卫生容器存放，避免二次污染。</w:t>
      </w:r>
    </w:p>
    <w:p w14:paraId="0271B6B1">
      <w:pPr>
        <w:pStyle w:val="107"/>
        <w:spacing w:before="156" w:after="156"/>
        <w:rPr>
          <w:rFonts w:ascii="Times New Roman"/>
        </w:rPr>
      </w:pPr>
      <w:r>
        <w:rPr>
          <w:rFonts w:hint="eastAsia" w:ascii="Times New Roman"/>
        </w:rPr>
        <w:t>转潮管理</w:t>
      </w:r>
    </w:p>
    <w:p w14:paraId="2C9B25A3">
      <w:pPr>
        <w:widowControl/>
        <w:ind w:firstLine="420" w:firstLineChars="200"/>
        <w:jc w:val="left"/>
        <w:rPr>
          <w:rFonts w:ascii="宋体" w:hAnsi="宋体"/>
          <w:szCs w:val="24"/>
        </w:rPr>
      </w:pPr>
      <w:r>
        <w:rPr>
          <w:rFonts w:hint="eastAsia" w:ascii="宋体" w:hAnsi="宋体"/>
          <w:szCs w:val="24"/>
        </w:rPr>
        <w:t>上茬菇采收结束后，及时清理床面，去除死菇、坏菇和菇脚，用土填平菌丝裸露地方，并整理好厢面覆盖物，停水养菌5 d～7 d后补水增湿，促使下一潮原基形成，并按照第一潮菇阶段管理。一般可采3 潮～5 潮菇。</w:t>
      </w:r>
    </w:p>
    <w:p w14:paraId="56326E4B">
      <w:pPr>
        <w:pStyle w:val="107"/>
        <w:spacing w:before="156" w:after="156"/>
        <w:rPr>
          <w:rFonts w:ascii="Times New Roman"/>
        </w:rPr>
      </w:pPr>
      <w:r>
        <w:rPr>
          <w:rFonts w:hint="eastAsia" w:ascii="Times New Roman"/>
        </w:rPr>
        <w:t>越冬管理</w:t>
      </w:r>
    </w:p>
    <w:p w14:paraId="302F0492">
      <w:pPr>
        <w:pStyle w:val="233"/>
        <w:ind w:firstLine="420" w:firstLineChars="0"/>
        <w:rPr>
          <w:rFonts w:hAnsi="宋体"/>
          <w:kern w:val="2"/>
          <w:szCs w:val="24"/>
        </w:rPr>
      </w:pPr>
      <w:r>
        <w:rPr>
          <w:rFonts w:hint="eastAsia" w:hAnsi="宋体"/>
          <w:kern w:val="2"/>
          <w:szCs w:val="24"/>
        </w:rPr>
        <w:t>攀枝花中高山区域温度低于12 ℃时，赤松茸将出菇少或不出菇，此时果断进入越冬管理，减少或不喷水，加厚覆盖物稻草或松针，并覆盖薄膜，保持土壤湿润，降低培养料含水量至50%。待第二年温度回升至14 ℃以上，按照出菇期管理进行管理，可继续出菇。</w:t>
      </w:r>
    </w:p>
    <w:p w14:paraId="43A4D639">
      <w:pPr>
        <w:pStyle w:val="107"/>
        <w:spacing w:before="156" w:after="156"/>
        <w:rPr>
          <w:rFonts w:ascii="Times New Roman"/>
        </w:rPr>
      </w:pPr>
      <w:r>
        <w:rPr>
          <w:rFonts w:hint="eastAsia" w:ascii="Times New Roman"/>
        </w:rPr>
        <w:t>菌渣处理</w:t>
      </w:r>
    </w:p>
    <w:p w14:paraId="2538D582">
      <w:pPr>
        <w:pStyle w:val="233"/>
        <w:ind w:firstLine="420" w:firstLineChars="0"/>
        <w:rPr>
          <w:rFonts w:hAnsi="宋体"/>
          <w:kern w:val="2"/>
          <w:szCs w:val="24"/>
        </w:rPr>
      </w:pPr>
      <w:r>
        <w:rPr>
          <w:rFonts w:hint="eastAsia" w:hAnsi="宋体"/>
          <w:kern w:val="2"/>
          <w:szCs w:val="24"/>
        </w:rPr>
        <w:t>赤松茸采收季结束后，将剩下的培养料用旋耕机翻转至土壤中，并撒一些发酵腐熟剂，加速菌渣降解，增加土壤有机质含量，改善土壤质量吗，提升土壤肥力。</w:t>
      </w:r>
    </w:p>
    <w:p w14:paraId="74C273AD">
      <w:pPr>
        <w:pStyle w:val="106"/>
        <w:spacing w:before="312" w:after="312"/>
      </w:pPr>
      <w:r>
        <w:rPr>
          <w:rFonts w:hint="eastAsia"/>
        </w:rPr>
        <w:t>病虫害综合防治</w:t>
      </w:r>
    </w:p>
    <w:p w14:paraId="64FFA009">
      <w:pPr>
        <w:pStyle w:val="107"/>
        <w:spacing w:before="156" w:after="156"/>
        <w:rPr>
          <w:rFonts w:ascii="Times New Roman"/>
        </w:rPr>
      </w:pPr>
      <w:r>
        <w:rPr>
          <w:rFonts w:hint="eastAsia" w:ascii="Times New Roman"/>
        </w:rPr>
        <w:t>主要病虫害</w:t>
      </w:r>
    </w:p>
    <w:p w14:paraId="081D55DC">
      <w:pPr>
        <w:pStyle w:val="67"/>
        <w:spacing w:before="156" w:after="156"/>
        <w:rPr>
          <w:rFonts w:ascii="Times New Roman"/>
        </w:rPr>
      </w:pPr>
      <w:r>
        <w:rPr>
          <w:rFonts w:hint="eastAsia" w:ascii="Times New Roman"/>
        </w:rPr>
        <w:t>竞争性杂菌</w:t>
      </w:r>
    </w:p>
    <w:p w14:paraId="1303E48F">
      <w:pPr>
        <w:pStyle w:val="233"/>
        <w:ind w:firstLine="420" w:firstLineChars="0"/>
        <w:rPr>
          <w:rFonts w:hAnsi="宋体"/>
          <w:kern w:val="2"/>
          <w:szCs w:val="24"/>
        </w:rPr>
      </w:pPr>
      <w:r>
        <w:rPr>
          <w:rFonts w:hint="eastAsia" w:hAnsi="宋体"/>
          <w:kern w:val="2"/>
          <w:szCs w:val="24"/>
        </w:rPr>
        <w:t>赤松茸种植过程中主要竞争性杂菌有鬼伞、盘菌、裸盖菇、黏菌等。</w:t>
      </w:r>
    </w:p>
    <w:p w14:paraId="4A2B94B7">
      <w:pPr>
        <w:pStyle w:val="67"/>
        <w:spacing w:before="156" w:after="156"/>
        <w:rPr>
          <w:rFonts w:ascii="Times New Roman"/>
        </w:rPr>
      </w:pPr>
      <w:r>
        <w:rPr>
          <w:rFonts w:hint="eastAsia" w:ascii="Times New Roman"/>
        </w:rPr>
        <w:t>主要病害</w:t>
      </w:r>
    </w:p>
    <w:p w14:paraId="67C22B6C">
      <w:pPr>
        <w:pStyle w:val="233"/>
        <w:ind w:firstLine="420" w:firstLineChars="0"/>
        <w:rPr>
          <w:rFonts w:hAnsi="宋体"/>
          <w:kern w:val="2"/>
          <w:szCs w:val="24"/>
        </w:rPr>
      </w:pPr>
      <w:r>
        <w:rPr>
          <w:rFonts w:hint="eastAsia" w:hAnsi="宋体"/>
          <w:kern w:val="2"/>
          <w:szCs w:val="24"/>
        </w:rPr>
        <w:t>赤松茸种植过程中主要病害有</w:t>
      </w:r>
      <w:r>
        <w:rPr>
          <w:rFonts w:hAnsi="宋体"/>
          <w:kern w:val="2"/>
          <w:szCs w:val="24"/>
        </w:rPr>
        <w:t>泛菌、假单胞菌、芽孢杆菌等细菌和</w:t>
      </w:r>
      <w:r>
        <w:rPr>
          <w:rFonts w:hint="eastAsia" w:hAnsi="宋体"/>
          <w:kern w:val="2"/>
          <w:szCs w:val="24"/>
        </w:rPr>
        <w:t>木霉、毛霉、绿霉、</w:t>
      </w:r>
      <w:r>
        <w:rPr>
          <w:rFonts w:hAnsi="宋体"/>
          <w:kern w:val="2"/>
          <w:szCs w:val="24"/>
        </w:rPr>
        <w:t>酵母菌、链孢霉</w:t>
      </w:r>
      <w:r>
        <w:rPr>
          <w:rFonts w:hint="eastAsia" w:hAnsi="宋体"/>
          <w:kern w:val="2"/>
          <w:szCs w:val="24"/>
        </w:rPr>
        <w:t>等</w:t>
      </w:r>
      <w:r>
        <w:rPr>
          <w:rFonts w:hAnsi="宋体"/>
          <w:kern w:val="2"/>
          <w:szCs w:val="24"/>
        </w:rPr>
        <w:t>真菌</w:t>
      </w:r>
      <w:r>
        <w:rPr>
          <w:rFonts w:hint="eastAsia" w:hAnsi="宋体"/>
          <w:kern w:val="2"/>
          <w:szCs w:val="24"/>
        </w:rPr>
        <w:t>。</w:t>
      </w:r>
    </w:p>
    <w:p w14:paraId="5C01DB1D">
      <w:pPr>
        <w:pStyle w:val="67"/>
        <w:spacing w:before="156" w:after="156"/>
        <w:rPr>
          <w:rFonts w:ascii="Times New Roman"/>
        </w:rPr>
      </w:pPr>
      <w:r>
        <w:rPr>
          <w:rFonts w:hint="eastAsia" w:ascii="Times New Roman"/>
        </w:rPr>
        <w:t>主要虫害</w:t>
      </w:r>
    </w:p>
    <w:p w14:paraId="751078A5">
      <w:pPr>
        <w:pStyle w:val="233"/>
        <w:ind w:firstLine="420" w:firstLineChars="0"/>
        <w:rPr>
          <w:rFonts w:hAnsi="宋体"/>
          <w:kern w:val="2"/>
          <w:szCs w:val="24"/>
        </w:rPr>
      </w:pPr>
      <w:r>
        <w:rPr>
          <w:rFonts w:hint="eastAsia" w:hAnsi="宋体"/>
          <w:kern w:val="2"/>
          <w:szCs w:val="24"/>
        </w:rPr>
        <w:t>赤松茸种植过程中主要虫害有：蚂蚁、跳虫、菌蝇、蠼螋、螨类、小地老虎、蛞蝓等。</w:t>
      </w:r>
    </w:p>
    <w:p w14:paraId="21F8105F">
      <w:pPr>
        <w:pStyle w:val="107"/>
        <w:spacing w:before="156" w:after="156"/>
        <w:rPr>
          <w:rFonts w:ascii="Times New Roman"/>
        </w:rPr>
      </w:pPr>
      <w:r>
        <w:rPr>
          <w:rFonts w:hint="eastAsia" w:ascii="Times New Roman"/>
        </w:rPr>
        <w:t>防治方法</w:t>
      </w:r>
    </w:p>
    <w:p w14:paraId="7959E016">
      <w:pPr>
        <w:pStyle w:val="233"/>
        <w:ind w:firstLine="420" w:firstLineChars="0"/>
        <w:rPr>
          <w:rFonts w:hAnsi="宋体"/>
          <w:kern w:val="2"/>
          <w:szCs w:val="24"/>
        </w:rPr>
      </w:pPr>
      <w:r>
        <w:rPr>
          <w:rFonts w:hint="eastAsia" w:hAnsi="宋体"/>
          <w:kern w:val="2"/>
          <w:szCs w:val="24"/>
        </w:rPr>
        <w:t>采用预防为主，综合防治的方针。优先采用农业防治、物理防治、生物防治，配合科学合理使用化学防治等绿色防控措施。</w:t>
      </w:r>
    </w:p>
    <w:p w14:paraId="22B56F24">
      <w:pPr>
        <w:pStyle w:val="67"/>
        <w:spacing w:before="156" w:after="156"/>
        <w:rPr>
          <w:rFonts w:ascii="Times New Roman"/>
        </w:rPr>
      </w:pPr>
      <w:r>
        <w:rPr>
          <w:rFonts w:hint="eastAsia" w:ascii="Times New Roman"/>
        </w:rPr>
        <w:t>农业防治</w:t>
      </w:r>
    </w:p>
    <w:p w14:paraId="6D07ED5C">
      <w:pPr>
        <w:pStyle w:val="176"/>
        <w:rPr>
          <w:rFonts w:hAnsi="宋体"/>
          <w:kern w:val="2"/>
          <w:szCs w:val="24"/>
        </w:rPr>
      </w:pPr>
      <w:r>
        <w:rPr>
          <w:rFonts w:hint="eastAsia" w:hAnsi="宋体"/>
          <w:kern w:val="2"/>
          <w:szCs w:val="24"/>
        </w:rPr>
        <w:t>选用抗病虫能力强、优质高产、出菇转潮快的优良品种，并把好菌种质量关</w:t>
      </w:r>
      <w:r>
        <w:rPr>
          <w:rFonts w:hAnsi="宋体"/>
          <w:kern w:val="2"/>
          <w:szCs w:val="24"/>
        </w:rPr>
        <w:t>;</w:t>
      </w:r>
    </w:p>
    <w:p w14:paraId="13CFFB2F">
      <w:pPr>
        <w:pStyle w:val="176"/>
        <w:rPr>
          <w:rFonts w:hAnsi="宋体"/>
          <w:kern w:val="2"/>
          <w:szCs w:val="24"/>
        </w:rPr>
      </w:pPr>
      <w:r>
        <w:rPr>
          <w:rFonts w:hint="eastAsia" w:hAnsi="宋体"/>
          <w:kern w:val="2"/>
          <w:szCs w:val="24"/>
        </w:rPr>
        <w:t>根据区域气候条件，合理安排播种季节；</w:t>
      </w:r>
    </w:p>
    <w:p w14:paraId="62CF2719">
      <w:pPr>
        <w:pStyle w:val="176"/>
        <w:rPr>
          <w:rFonts w:hAnsi="宋体"/>
          <w:kern w:val="2"/>
          <w:szCs w:val="24"/>
        </w:rPr>
      </w:pPr>
      <w:r>
        <w:rPr>
          <w:rFonts w:hint="eastAsia" w:hAnsi="宋体"/>
          <w:kern w:val="2"/>
          <w:szCs w:val="24"/>
        </w:rPr>
        <w:t>定期做好栽培场地及周围环境消毒，保持场地内外环境清洁卫生，阻断病虫害滋生蔓延的生活环境，菇床周围定期撒施石灰粉；</w:t>
      </w:r>
    </w:p>
    <w:p w14:paraId="550CA779">
      <w:pPr>
        <w:pStyle w:val="176"/>
        <w:rPr>
          <w:rFonts w:hAnsi="宋体"/>
          <w:kern w:val="2"/>
          <w:szCs w:val="24"/>
        </w:rPr>
      </w:pPr>
      <w:r>
        <w:rPr>
          <w:rFonts w:hint="eastAsia" w:hAnsi="宋体"/>
          <w:kern w:val="2"/>
          <w:szCs w:val="24"/>
        </w:rPr>
        <w:t>栽培料要求新鲜、干燥、无霉变，栽培过程控制喊温度和湿度，促使菌丝健康生长，抑制杂菌生长</w:t>
      </w:r>
      <w:r>
        <w:rPr>
          <w:rFonts w:hAnsi="宋体"/>
          <w:kern w:val="2"/>
          <w:szCs w:val="24"/>
        </w:rPr>
        <w:t>;</w:t>
      </w:r>
    </w:p>
    <w:p w14:paraId="21428996">
      <w:pPr>
        <w:pStyle w:val="176"/>
        <w:rPr>
          <w:rFonts w:hAnsi="宋体"/>
          <w:kern w:val="2"/>
          <w:szCs w:val="24"/>
        </w:rPr>
      </w:pPr>
      <w:r>
        <w:rPr>
          <w:rFonts w:hint="eastAsia" w:hAnsi="宋体"/>
          <w:kern w:val="2"/>
          <w:szCs w:val="24"/>
        </w:rPr>
        <w:t>出现局部杂菌感染时，及时清理污染部位及周围，</w:t>
      </w:r>
      <w:r>
        <w:rPr>
          <w:rFonts w:hAnsi="宋体"/>
          <w:kern w:val="2"/>
          <w:szCs w:val="24"/>
        </w:rPr>
        <w:t>加强</w:t>
      </w:r>
      <w:r>
        <w:rPr>
          <w:rFonts w:hint="eastAsia" w:hAnsi="宋体"/>
          <w:kern w:val="2"/>
          <w:szCs w:val="24"/>
        </w:rPr>
        <w:t>通风</w:t>
      </w:r>
      <w:r>
        <w:rPr>
          <w:rFonts w:hAnsi="宋体"/>
          <w:kern w:val="2"/>
          <w:szCs w:val="24"/>
        </w:rPr>
        <w:t>，</w:t>
      </w:r>
      <w:r>
        <w:rPr>
          <w:rFonts w:hint="eastAsia" w:hAnsi="宋体"/>
          <w:kern w:val="2"/>
          <w:szCs w:val="24"/>
        </w:rPr>
        <w:t>并撒少量石灰水或石灰粉，防止病害蔓延。</w:t>
      </w:r>
    </w:p>
    <w:p w14:paraId="7E9ECC2F">
      <w:pPr>
        <w:pStyle w:val="67"/>
        <w:spacing w:before="156" w:after="156"/>
        <w:rPr>
          <w:rFonts w:ascii="Times New Roman"/>
        </w:rPr>
      </w:pPr>
      <w:r>
        <w:rPr>
          <w:rFonts w:hint="eastAsia" w:ascii="Times New Roman"/>
        </w:rPr>
        <w:t>物理防治</w:t>
      </w:r>
    </w:p>
    <w:p w14:paraId="0049CF7E">
      <w:pPr>
        <w:pStyle w:val="176"/>
        <w:numPr>
          <w:ilvl w:val="0"/>
          <w:numId w:val="33"/>
        </w:numPr>
        <w:rPr>
          <w:rFonts w:hAnsi="宋体"/>
          <w:kern w:val="2"/>
          <w:szCs w:val="24"/>
        </w:rPr>
      </w:pPr>
      <w:r>
        <w:rPr>
          <w:rFonts w:hAnsi="宋体"/>
          <w:kern w:val="2"/>
          <w:szCs w:val="24"/>
        </w:rPr>
        <w:t>悬挂黄板或安装杀虫灯诱杀菌蝇、菌蚊；</w:t>
      </w:r>
    </w:p>
    <w:p w14:paraId="7DEAA35E">
      <w:pPr>
        <w:pStyle w:val="176"/>
        <w:numPr>
          <w:ilvl w:val="0"/>
          <w:numId w:val="33"/>
        </w:numPr>
        <w:rPr>
          <w:rFonts w:hAnsi="宋体"/>
          <w:kern w:val="2"/>
          <w:szCs w:val="24"/>
        </w:rPr>
      </w:pPr>
      <w:r>
        <w:rPr>
          <w:rFonts w:hAnsi="宋体"/>
          <w:kern w:val="2"/>
          <w:szCs w:val="24"/>
        </w:rPr>
        <w:t>厢面放置糖醋液诱杀果蝇、小地老虎等；</w:t>
      </w:r>
    </w:p>
    <w:p w14:paraId="00AAD61D">
      <w:pPr>
        <w:pStyle w:val="176"/>
        <w:numPr>
          <w:ilvl w:val="0"/>
          <w:numId w:val="33"/>
        </w:numPr>
        <w:rPr>
          <w:rFonts w:hAnsi="宋体"/>
          <w:kern w:val="2"/>
          <w:szCs w:val="24"/>
        </w:rPr>
      </w:pPr>
      <w:r>
        <w:rPr>
          <w:rFonts w:hAnsi="宋体"/>
          <w:kern w:val="2"/>
          <w:szCs w:val="24"/>
        </w:rPr>
        <w:t>蜂蜜水诱杀跳虫。</w:t>
      </w:r>
    </w:p>
    <w:p w14:paraId="5FB09EA1">
      <w:pPr>
        <w:pStyle w:val="67"/>
        <w:spacing w:before="156" w:after="156"/>
        <w:rPr>
          <w:rFonts w:ascii="Times New Roman"/>
        </w:rPr>
      </w:pPr>
      <w:r>
        <w:rPr>
          <w:rFonts w:hint="eastAsia" w:ascii="Times New Roman"/>
        </w:rPr>
        <w:t>化学防治</w:t>
      </w:r>
    </w:p>
    <w:p w14:paraId="7A5A09A3">
      <w:pPr>
        <w:pStyle w:val="233"/>
        <w:ind w:firstLine="420" w:firstLineChars="0"/>
        <w:rPr>
          <w:rFonts w:hAnsi="宋体"/>
          <w:kern w:val="2"/>
          <w:szCs w:val="24"/>
        </w:rPr>
      </w:pPr>
      <w:r>
        <w:rPr>
          <w:rFonts w:hint="eastAsia" w:hAnsi="宋体"/>
          <w:kern w:val="2"/>
          <w:szCs w:val="24"/>
        </w:rPr>
        <w:t>可选高效、低毒、无残留的农药，禁止使用高毒、高残留农药，出菇期不得向子实体喷洒任何化学药剂。农药品种应交替轮换，每种药剂限用1次～2次，农药的使用应该符合NY/T 393的规定执行。</w:t>
      </w:r>
    </w:p>
    <w:p w14:paraId="62407950">
      <w:pPr>
        <w:pStyle w:val="176"/>
        <w:numPr>
          <w:ilvl w:val="0"/>
          <w:numId w:val="33"/>
        </w:numPr>
        <w:rPr>
          <w:rFonts w:hAnsi="宋体"/>
          <w:kern w:val="2"/>
          <w:szCs w:val="24"/>
        </w:rPr>
      </w:pPr>
      <w:r>
        <w:rPr>
          <w:rFonts w:hAnsi="宋体"/>
          <w:kern w:val="2"/>
          <w:szCs w:val="24"/>
        </w:rPr>
        <w:t>治理菌蝇、菌蚊用</w:t>
      </w:r>
      <w:r>
        <w:rPr>
          <w:rFonts w:hint="eastAsia" w:hAnsi="宋体"/>
          <w:kern w:val="2"/>
          <w:szCs w:val="24"/>
        </w:rPr>
        <w:t>高效氯氰菊酯</w:t>
      </w:r>
      <w:r>
        <w:rPr>
          <w:rFonts w:hAnsi="宋体"/>
          <w:kern w:val="2"/>
          <w:szCs w:val="24"/>
        </w:rPr>
        <w:t>、灭蝇胺、甲氨基阿维菌素苯甲酸盐等；</w:t>
      </w:r>
    </w:p>
    <w:p w14:paraId="1C6E770F">
      <w:pPr>
        <w:pStyle w:val="176"/>
        <w:numPr>
          <w:ilvl w:val="0"/>
          <w:numId w:val="33"/>
        </w:numPr>
        <w:rPr>
          <w:rFonts w:hAnsi="宋体"/>
          <w:kern w:val="2"/>
          <w:szCs w:val="24"/>
        </w:rPr>
      </w:pPr>
      <w:r>
        <w:rPr>
          <w:rFonts w:hAnsi="宋体"/>
          <w:kern w:val="2"/>
          <w:szCs w:val="24"/>
        </w:rPr>
        <w:t>除螨用甲氨基阿维菌素苯甲酸盐、联苯肼酯；</w:t>
      </w:r>
    </w:p>
    <w:p w14:paraId="40755819">
      <w:pPr>
        <w:pStyle w:val="176"/>
        <w:numPr>
          <w:ilvl w:val="0"/>
          <w:numId w:val="33"/>
        </w:numPr>
        <w:rPr>
          <w:rFonts w:hAnsi="宋体"/>
          <w:kern w:val="2"/>
          <w:szCs w:val="24"/>
        </w:rPr>
      </w:pPr>
      <w:r>
        <w:rPr>
          <w:rFonts w:hAnsi="宋体"/>
          <w:kern w:val="2"/>
          <w:szCs w:val="24"/>
        </w:rPr>
        <w:t>地下害虫用</w:t>
      </w:r>
      <w:r>
        <w:rPr>
          <w:rFonts w:hint="eastAsia" w:hAnsi="宋体"/>
          <w:kern w:val="2"/>
          <w:szCs w:val="24"/>
        </w:rPr>
        <w:t>辛硫磷</w:t>
      </w:r>
      <w:r>
        <w:rPr>
          <w:rFonts w:hAnsi="宋体"/>
          <w:kern w:val="2"/>
          <w:szCs w:val="24"/>
        </w:rPr>
        <w:t>；</w:t>
      </w:r>
    </w:p>
    <w:p w14:paraId="454EBD85">
      <w:pPr>
        <w:pStyle w:val="176"/>
        <w:numPr>
          <w:ilvl w:val="0"/>
          <w:numId w:val="33"/>
        </w:numPr>
        <w:rPr>
          <w:rFonts w:hAnsi="宋体"/>
          <w:kern w:val="2"/>
          <w:szCs w:val="24"/>
        </w:rPr>
      </w:pPr>
      <w:r>
        <w:rPr>
          <w:rFonts w:hAnsi="宋体"/>
          <w:kern w:val="2"/>
          <w:szCs w:val="24"/>
        </w:rPr>
        <w:t>治理蜗牛用</w:t>
      </w:r>
      <w:r>
        <w:rPr>
          <w:rFonts w:hint="eastAsia" w:hAnsi="宋体"/>
          <w:kern w:val="2"/>
          <w:szCs w:val="24"/>
        </w:rPr>
        <w:t>四聚乙醛</w:t>
      </w:r>
      <w:r>
        <w:rPr>
          <w:rFonts w:hAnsi="宋体"/>
          <w:kern w:val="2"/>
          <w:szCs w:val="24"/>
        </w:rPr>
        <w:t>、食盐水</w:t>
      </w:r>
      <w:r>
        <w:rPr>
          <w:rFonts w:hint="eastAsia" w:hAnsi="宋体"/>
          <w:kern w:val="2"/>
          <w:szCs w:val="24"/>
        </w:rPr>
        <w:t>等；</w:t>
      </w:r>
    </w:p>
    <w:p w14:paraId="3A261C6C">
      <w:pPr>
        <w:pStyle w:val="176"/>
        <w:numPr>
          <w:ilvl w:val="0"/>
          <w:numId w:val="33"/>
        </w:numPr>
        <w:rPr>
          <w:rFonts w:asciiTheme="minorEastAsia" w:hAnsiTheme="minorEastAsia" w:eastAsiaTheme="minorEastAsia"/>
          <w:szCs w:val="21"/>
        </w:rPr>
      </w:pPr>
      <w:r>
        <w:rPr>
          <w:rFonts w:hAnsi="宋体"/>
          <w:kern w:val="2"/>
          <w:szCs w:val="24"/>
        </w:rPr>
        <w:t>治理黏菌、霉菌等用</w:t>
      </w:r>
      <w:r>
        <w:rPr>
          <w:rFonts w:hint="eastAsia" w:hAnsi="宋体"/>
          <w:kern w:val="2"/>
          <w:szCs w:val="24"/>
        </w:rPr>
        <w:t>赛菌灵</w:t>
      </w:r>
      <w:r>
        <w:rPr>
          <w:rFonts w:hAnsi="宋体"/>
          <w:kern w:val="2"/>
          <w:szCs w:val="24"/>
        </w:rPr>
        <w:t>、石灰等。</w:t>
      </w:r>
    </w:p>
    <w:p w14:paraId="0803F74C">
      <w:pPr>
        <w:pStyle w:val="106"/>
        <w:spacing w:before="312" w:after="312"/>
        <w:rPr>
          <w:rFonts w:hint="eastAsia"/>
        </w:rPr>
      </w:pPr>
      <w:r>
        <w:rPr>
          <w:rFonts w:hint="eastAsia"/>
        </w:rPr>
        <w:t xml:space="preserve">包装贮运 </w:t>
      </w:r>
    </w:p>
    <w:p w14:paraId="00361DFF">
      <w:pPr>
        <w:pStyle w:val="233"/>
        <w:ind w:firstLine="420" w:firstLineChars="0"/>
        <w:rPr>
          <w:rFonts w:hint="eastAsia" w:hAnsi="宋体"/>
          <w:kern w:val="2"/>
          <w:szCs w:val="24"/>
        </w:rPr>
      </w:pPr>
      <w:r>
        <w:rPr>
          <w:rFonts w:hint="eastAsia" w:hAnsi="宋体"/>
          <w:kern w:val="2"/>
          <w:szCs w:val="24"/>
        </w:rPr>
        <w:t>按照GH/T 1437—2023中9的分规定执行。</w:t>
      </w:r>
    </w:p>
    <w:p w14:paraId="100CB9D0">
      <w:pPr>
        <w:pStyle w:val="106"/>
        <w:spacing w:before="312" w:after="312"/>
        <w:rPr>
          <w:rFonts w:hint="eastAsia"/>
        </w:rPr>
      </w:pPr>
      <w:r>
        <w:rPr>
          <w:rFonts w:hint="eastAsia"/>
        </w:rPr>
        <w:t>生产档案记录</w:t>
      </w:r>
    </w:p>
    <w:p w14:paraId="04203154">
      <w:pPr>
        <w:pStyle w:val="233"/>
        <w:ind w:firstLine="420" w:firstLineChars="0"/>
        <w:rPr>
          <w:rFonts w:hint="eastAsia" w:hAnsi="宋体"/>
          <w:kern w:val="2"/>
          <w:szCs w:val="24"/>
        </w:rPr>
      </w:pPr>
      <w:r>
        <w:rPr>
          <w:rFonts w:hint="eastAsia" w:hAnsi="宋体"/>
          <w:kern w:val="2"/>
          <w:szCs w:val="24"/>
        </w:rPr>
        <w:t>在生产过程中应建立赤松茸生产技术管理档案，详细记录每个操作过程，包括但不限于：产地环境、种植地点、规模、菌种来源、菌种质量、原材料采购、栽培时间、出菇时间、病虫害防治方法及用药情况、产量、品质、售价等，档案纪律保存2年以上。应选择地势平坦，向阳，排灌方便，土层深厚pH6.5～7.5，肥力中等以上的土壤。</w:t>
      </w:r>
    </w:p>
    <w:p w14:paraId="585396E4">
      <w:pPr>
        <w:pStyle w:val="107"/>
        <w:spacing w:before="156" w:after="156"/>
        <w:rPr>
          <w:rFonts w:ascii="Times New Roman"/>
        </w:rPr>
      </w:pPr>
      <w:r>
        <w:rPr>
          <w:rFonts w:hint="eastAsia" w:ascii="Times New Roman"/>
        </w:rPr>
        <w:t>灌溉水质要求</w:t>
      </w:r>
    </w:p>
    <w:p w14:paraId="31E27E4B">
      <w:pPr>
        <w:pStyle w:val="236"/>
        <w:numPr>
          <w:ilvl w:val="0"/>
          <w:numId w:val="0"/>
        </w:numPr>
        <w:spacing w:before="157" w:after="157" w:line="400" w:lineRule="exact"/>
        <w:ind w:firstLine="420" w:firstLineChars="200"/>
        <w:rPr>
          <w:rFonts w:hint="eastAsia" w:ascii="宋体" w:hAnsi="宋体" w:eastAsia="宋体" w:cs="Times New Roman"/>
          <w:kern w:val="2"/>
          <w:sz w:val="21"/>
          <w:szCs w:val="24"/>
          <w:lang w:val="en-US" w:eastAsia="zh-CN" w:bidi="ar-SA"/>
        </w:rPr>
      </w:pPr>
      <w:r>
        <w:rPr>
          <w:rFonts w:hint="eastAsia" w:ascii="宋体" w:hAnsi="宋体" w:eastAsia="宋体" w:cs="Times New Roman"/>
          <w:kern w:val="2"/>
          <w:sz w:val="21"/>
          <w:szCs w:val="24"/>
          <w:lang w:val="en-US" w:eastAsia="zh-CN" w:bidi="ar-SA"/>
        </w:rPr>
        <w:t>灌溉用水质应符合灌溉用水GB 5084的标准。</w:t>
      </w:r>
    </w:p>
    <w:p w14:paraId="2BC03838">
      <w:pPr>
        <w:pStyle w:val="106"/>
        <w:spacing w:before="312" w:after="312"/>
        <w:rPr>
          <w:rFonts w:hint="eastAsia"/>
        </w:rPr>
      </w:pPr>
      <w:r>
        <w:rPr>
          <w:rFonts w:hint="eastAsia"/>
        </w:rPr>
        <w:t>茬口安排</w:t>
      </w:r>
    </w:p>
    <w:p w14:paraId="65B7E325">
      <w:pPr>
        <w:pStyle w:val="233"/>
        <w:ind w:firstLine="420" w:firstLineChars="0"/>
        <w:rPr>
          <w:rFonts w:hint="eastAsia" w:hAnsi="宋体"/>
          <w:kern w:val="2"/>
          <w:szCs w:val="24"/>
        </w:rPr>
      </w:pPr>
      <w:r>
        <w:rPr>
          <w:rFonts w:hint="eastAsia" w:hAnsi="宋体"/>
          <w:kern w:val="2"/>
          <w:szCs w:val="24"/>
        </w:rPr>
        <w:t>辣椒：8月播种，9月至10月定植，次年3月至4月初拉秧。</w:t>
      </w:r>
    </w:p>
    <w:p w14:paraId="62764D20">
      <w:pPr>
        <w:pStyle w:val="233"/>
        <w:ind w:firstLine="420" w:firstLineChars="0"/>
        <w:rPr>
          <w:rFonts w:hint="eastAsia" w:hAnsi="宋体"/>
          <w:kern w:val="2"/>
          <w:szCs w:val="24"/>
        </w:rPr>
      </w:pPr>
      <w:r>
        <w:rPr>
          <w:rFonts w:hint="eastAsia" w:hAnsi="宋体"/>
          <w:kern w:val="2"/>
          <w:szCs w:val="24"/>
        </w:rPr>
        <w:t>豇豆：次年1月至2月播种定植，5月拉秧。</w:t>
      </w:r>
    </w:p>
    <w:p w14:paraId="21D12F59">
      <w:pPr>
        <w:pStyle w:val="106"/>
        <w:spacing w:before="312" w:after="312"/>
      </w:pPr>
      <w:r>
        <w:rPr>
          <w:rFonts w:hint="eastAsia"/>
        </w:rPr>
        <w:t>轮作制度</w:t>
      </w:r>
    </w:p>
    <w:p w14:paraId="7A24904D">
      <w:pPr>
        <w:pStyle w:val="233"/>
        <w:ind w:firstLine="420" w:firstLineChars="0"/>
        <w:rPr>
          <w:rFonts w:hint="eastAsia" w:hAnsi="宋体"/>
          <w:kern w:val="2"/>
          <w:szCs w:val="24"/>
        </w:rPr>
      </w:pPr>
      <w:r>
        <w:rPr>
          <w:rFonts w:hint="eastAsia" w:hAnsi="宋体"/>
          <w:kern w:val="2"/>
          <w:szCs w:val="24"/>
        </w:rPr>
        <w:t>应与非十字花科、豆科作物轮作。</w:t>
      </w:r>
    </w:p>
    <w:p w14:paraId="17E1E975">
      <w:pPr>
        <w:pStyle w:val="106"/>
        <w:spacing w:before="312" w:after="312"/>
      </w:pPr>
      <w:r>
        <w:rPr>
          <w:rFonts w:hint="eastAsia"/>
        </w:rPr>
        <w:t xml:space="preserve"> 品种选择</w:t>
      </w:r>
    </w:p>
    <w:p w14:paraId="57260814">
      <w:pPr>
        <w:pStyle w:val="233"/>
        <w:ind w:firstLine="420" w:firstLineChars="0"/>
        <w:rPr>
          <w:rFonts w:hint="eastAsia" w:hAnsi="宋体"/>
          <w:kern w:val="2"/>
          <w:szCs w:val="24"/>
        </w:rPr>
      </w:pPr>
      <w:r>
        <w:rPr>
          <w:rFonts w:hint="eastAsia" w:hAnsi="宋体"/>
          <w:kern w:val="2"/>
          <w:szCs w:val="24"/>
        </w:rPr>
        <w:t>选用抗病、优质丰产、抗逆性强、适应性广、商品性好的品种。GB16715.3-2010农作物种子质量分级。</w:t>
      </w:r>
    </w:p>
    <w:p w14:paraId="0CE43AD5">
      <w:pPr>
        <w:pStyle w:val="106"/>
        <w:spacing w:before="312" w:after="312"/>
      </w:pPr>
      <w:r>
        <w:rPr>
          <w:rFonts w:hint="eastAsia"/>
        </w:rPr>
        <w:t>育苗</w:t>
      </w:r>
    </w:p>
    <w:p w14:paraId="1F13A533">
      <w:pPr>
        <w:pStyle w:val="107"/>
        <w:spacing w:before="156" w:after="156"/>
        <w:rPr>
          <w:rFonts w:ascii="Times New Roman"/>
        </w:rPr>
      </w:pPr>
      <w:r>
        <w:rPr>
          <w:rFonts w:hint="eastAsia" w:ascii="Times New Roman"/>
        </w:rPr>
        <w:t>育苗方式</w:t>
      </w:r>
    </w:p>
    <w:p w14:paraId="33EAA46D">
      <w:pPr>
        <w:pStyle w:val="233"/>
        <w:spacing w:before="157" w:after="157" w:line="400" w:lineRule="exact"/>
        <w:ind w:firstLine="420"/>
        <w:rPr>
          <w:rFonts w:hAnsi="宋体" w:cstheme="minorEastAsia"/>
          <w:szCs w:val="21"/>
        </w:rPr>
      </w:pPr>
      <w:r>
        <w:rPr>
          <w:rFonts w:hint="eastAsia" w:hAnsi="宋体" w:cstheme="minorEastAsia"/>
          <w:szCs w:val="21"/>
        </w:rPr>
        <w:t>辣椒采用基质穴盘育苗，豇豆采用基质穴盘育苗或直接播种均可。</w:t>
      </w:r>
    </w:p>
    <w:p w14:paraId="21657621">
      <w:pPr>
        <w:pStyle w:val="107"/>
        <w:spacing w:before="156" w:after="156"/>
        <w:rPr>
          <w:rFonts w:ascii="Times New Roman"/>
        </w:rPr>
      </w:pPr>
      <w:r>
        <w:rPr>
          <w:rFonts w:hint="eastAsia" w:ascii="Times New Roman"/>
        </w:rPr>
        <w:t>穴盘选择</w:t>
      </w:r>
    </w:p>
    <w:p w14:paraId="754B1E86">
      <w:pPr>
        <w:pStyle w:val="233"/>
        <w:spacing w:before="157" w:after="157" w:line="400" w:lineRule="exact"/>
        <w:ind w:firstLine="420"/>
        <w:rPr>
          <w:rFonts w:hAnsi="宋体" w:cstheme="minorEastAsia"/>
          <w:szCs w:val="21"/>
        </w:rPr>
      </w:pPr>
      <w:r>
        <w:rPr>
          <w:rFonts w:hint="eastAsia" w:hAnsi="宋体" w:cstheme="minorEastAsia"/>
          <w:szCs w:val="21"/>
        </w:rPr>
        <w:t>选用72穴育苗盘。</w:t>
      </w:r>
    </w:p>
    <w:p w14:paraId="67F224CD">
      <w:pPr>
        <w:pStyle w:val="107"/>
        <w:spacing w:before="156" w:after="156"/>
        <w:rPr>
          <w:rFonts w:ascii="Times New Roman"/>
        </w:rPr>
      </w:pPr>
      <w:r>
        <w:rPr>
          <w:rFonts w:hint="eastAsia" w:ascii="Times New Roman"/>
        </w:rPr>
        <w:t>育苗基质</w:t>
      </w:r>
    </w:p>
    <w:p w14:paraId="33FE425A">
      <w:pPr>
        <w:pStyle w:val="233"/>
        <w:spacing w:before="157" w:after="157" w:line="400" w:lineRule="exact"/>
        <w:ind w:firstLine="420"/>
        <w:rPr>
          <w:rFonts w:hAnsi="宋体" w:cstheme="minorEastAsia"/>
          <w:szCs w:val="21"/>
        </w:rPr>
      </w:pPr>
      <w:r>
        <w:rPr>
          <w:rFonts w:hint="eastAsia" w:hAnsi="宋体" w:cstheme="minorEastAsia"/>
          <w:szCs w:val="21"/>
        </w:rPr>
        <w:t>选用商品育苗基质，基质质量符合NY/T 2118—2012规定。</w:t>
      </w:r>
    </w:p>
    <w:p w14:paraId="48C81E5B">
      <w:pPr>
        <w:pStyle w:val="107"/>
        <w:spacing w:before="156" w:after="156"/>
        <w:rPr>
          <w:rFonts w:ascii="Times New Roman"/>
        </w:rPr>
      </w:pPr>
      <w:r>
        <w:rPr>
          <w:rFonts w:hint="eastAsia" w:ascii="Times New Roman"/>
        </w:rPr>
        <w:t>播种</w:t>
      </w:r>
    </w:p>
    <w:p w14:paraId="3D7DD3B6">
      <w:pPr>
        <w:pStyle w:val="233"/>
        <w:spacing w:before="157" w:after="157" w:line="400" w:lineRule="exact"/>
        <w:ind w:firstLine="420"/>
        <w:rPr>
          <w:rFonts w:hAnsi="宋体" w:cstheme="minorEastAsia"/>
          <w:szCs w:val="21"/>
        </w:rPr>
      </w:pPr>
      <w:r>
        <w:rPr>
          <w:rFonts w:hint="eastAsia" w:hAnsi="宋体" w:cstheme="minorEastAsia"/>
          <w:szCs w:val="21"/>
        </w:rPr>
        <w:t>基质搓散、发水后即可装盘、播种，播种前必需压穴即在每孔正中压出一个小窝，便于放种子。辣椒每穴播1粒，豇豆每穴播2粒～3</w:t>
      </w:r>
      <w:bookmarkStart w:id="51" w:name="OLE_LINK15"/>
      <w:bookmarkStart w:id="52" w:name="OLE_LINK16"/>
      <w:r>
        <w:rPr>
          <w:rFonts w:hint="eastAsia" w:hAnsi="宋体" w:cstheme="minorEastAsia"/>
          <w:szCs w:val="21"/>
        </w:rPr>
        <w:t>粒</w:t>
      </w:r>
      <w:bookmarkEnd w:id="51"/>
      <w:bookmarkEnd w:id="52"/>
      <w:r>
        <w:rPr>
          <w:rFonts w:hint="eastAsia" w:hAnsi="宋体" w:cstheme="minorEastAsia"/>
          <w:szCs w:val="21"/>
        </w:rPr>
        <w:t>，然后面上覆盖基质，厚度为1 cm左右，然后将苗盘面上喷透水,放置到育苗床上。</w:t>
      </w:r>
    </w:p>
    <w:p w14:paraId="0B3CEA75">
      <w:pPr>
        <w:pStyle w:val="107"/>
        <w:spacing w:before="156" w:after="156"/>
        <w:rPr>
          <w:rFonts w:ascii="Times New Roman"/>
        </w:rPr>
      </w:pPr>
      <w:r>
        <w:rPr>
          <w:rFonts w:hint="eastAsia" w:ascii="Times New Roman"/>
        </w:rPr>
        <w:t>苗期管理</w:t>
      </w:r>
    </w:p>
    <w:p w14:paraId="5870017B">
      <w:pPr>
        <w:pStyle w:val="67"/>
        <w:spacing w:before="156" w:after="156"/>
        <w:rPr>
          <w:rFonts w:ascii="Times New Roman"/>
        </w:rPr>
      </w:pPr>
      <w:r>
        <w:rPr>
          <w:rFonts w:hint="eastAsia" w:ascii="Times New Roman"/>
        </w:rPr>
        <w:t>苗期水肥管理</w:t>
      </w:r>
    </w:p>
    <w:p w14:paraId="41A468EE">
      <w:pPr>
        <w:pStyle w:val="233"/>
        <w:spacing w:before="157" w:after="157" w:line="400" w:lineRule="exact"/>
        <w:ind w:firstLine="420"/>
        <w:rPr>
          <w:rFonts w:hAnsi="宋体" w:cstheme="minorEastAsia"/>
          <w:szCs w:val="21"/>
        </w:rPr>
      </w:pPr>
      <w:r>
        <w:rPr>
          <w:rFonts w:hint="eastAsia" w:hAnsi="宋体" w:cstheme="minorEastAsia"/>
          <w:szCs w:val="21"/>
        </w:rPr>
        <w:t>苗期一般不需要施肥，育苗基质含有的肥源足够供应整个苗期生长。水分管理要保持基质持水量65％～70％，晴好天气，一般是每天早晨6：00～7：00喷洒，下午局部发干时，可用喷雾器补水，以保持基质湿润为宜，原则是高温天气多喷，阴雨低温天气应适当减少浇水次数及浇水量。</w:t>
      </w:r>
    </w:p>
    <w:p w14:paraId="4FBBE539">
      <w:pPr>
        <w:pStyle w:val="67"/>
        <w:spacing w:before="156" w:after="156"/>
        <w:rPr>
          <w:rFonts w:ascii="Times New Roman"/>
        </w:rPr>
      </w:pPr>
      <w:r>
        <w:rPr>
          <w:rFonts w:hint="eastAsia" w:ascii="Times New Roman"/>
        </w:rPr>
        <w:t>苗期病虫害管理</w:t>
      </w:r>
    </w:p>
    <w:p w14:paraId="522443AC">
      <w:pPr>
        <w:pStyle w:val="233"/>
        <w:spacing w:before="157" w:after="157" w:line="400" w:lineRule="exact"/>
        <w:ind w:firstLine="420"/>
        <w:rPr>
          <w:rFonts w:hAnsi="宋体" w:cstheme="minorEastAsia"/>
          <w:szCs w:val="21"/>
        </w:rPr>
      </w:pPr>
      <w:r>
        <w:rPr>
          <w:rFonts w:hint="eastAsia" w:hAnsi="宋体" w:cstheme="minorEastAsia"/>
          <w:szCs w:val="21"/>
        </w:rPr>
        <w:t>苗期主要病害有：猝倒病和立枯病等病害，以预防为主，做好综合防治，提高幼苗素质，控 制育苗环境，及时调整并杜绝各种传染途径，做好育苗器具、种子、工作人员及育苗环境的消毒，再辅以经常检查，尽早发现病害，及时进行化学防治。在幼苗第一片真叶展开时喷施72.2％普力克水剂600倍液，恶霉灵1200倍～1500</w:t>
      </w:r>
      <w:bookmarkStart w:id="53" w:name="OLE_LINK21"/>
      <w:bookmarkStart w:id="54" w:name="OLE_LINK22"/>
      <w:r>
        <w:rPr>
          <w:rFonts w:hint="eastAsia" w:hAnsi="宋体" w:cstheme="minorEastAsia"/>
          <w:szCs w:val="21"/>
        </w:rPr>
        <w:t>倍</w:t>
      </w:r>
      <w:bookmarkEnd w:id="53"/>
      <w:bookmarkEnd w:id="54"/>
      <w:r>
        <w:rPr>
          <w:rFonts w:hint="eastAsia" w:hAnsi="宋体" w:cstheme="minorEastAsia"/>
          <w:szCs w:val="21"/>
        </w:rPr>
        <w:t>液 ，可预防病害的发生，以后5天～6</w:t>
      </w:r>
      <w:bookmarkStart w:id="55" w:name="OLE_LINK20"/>
      <w:bookmarkStart w:id="56" w:name="OLE_LINK19"/>
      <w:r>
        <w:rPr>
          <w:rFonts w:hint="eastAsia" w:hAnsi="宋体" w:cstheme="minorEastAsia"/>
          <w:szCs w:val="21"/>
        </w:rPr>
        <w:t>天</w:t>
      </w:r>
      <w:bookmarkEnd w:id="55"/>
      <w:bookmarkEnd w:id="56"/>
      <w:r>
        <w:rPr>
          <w:rFonts w:hint="eastAsia" w:hAnsi="宋体" w:cstheme="minorEastAsia"/>
          <w:szCs w:val="21"/>
        </w:rPr>
        <w:t>喷1次。</w:t>
      </w:r>
    </w:p>
    <w:p w14:paraId="1EE65E2C">
      <w:pPr>
        <w:pStyle w:val="233"/>
        <w:spacing w:before="157" w:after="157" w:line="400" w:lineRule="exact"/>
        <w:ind w:firstLine="420"/>
        <w:rPr>
          <w:rFonts w:hAnsi="宋体" w:cstheme="minorEastAsia"/>
          <w:szCs w:val="21"/>
        </w:rPr>
      </w:pPr>
      <w:r>
        <w:rPr>
          <w:rFonts w:hint="eastAsia" w:hAnsi="宋体" w:cstheme="minorEastAsia"/>
          <w:szCs w:val="21"/>
        </w:rPr>
        <w:t>因集约化育苗在相对较密闭的环境，一般都安装有防虫网，所以出现的虫害很少，如果出现虫害要及时使用化学农药进行防治。</w:t>
      </w:r>
    </w:p>
    <w:p w14:paraId="1478FA53">
      <w:pPr>
        <w:pStyle w:val="106"/>
        <w:spacing w:before="312" w:after="312"/>
      </w:pPr>
      <w:r>
        <w:rPr>
          <w:rFonts w:hint="eastAsia"/>
        </w:rPr>
        <w:t>定植</w:t>
      </w:r>
    </w:p>
    <w:p w14:paraId="4BA5C207">
      <w:pPr>
        <w:pStyle w:val="107"/>
        <w:spacing w:before="156" w:after="156"/>
        <w:rPr>
          <w:rFonts w:ascii="Times New Roman"/>
        </w:rPr>
      </w:pPr>
      <w:r>
        <w:rPr>
          <w:rFonts w:hint="eastAsia" w:ascii="Times New Roman"/>
        </w:rPr>
        <w:t>整地</w:t>
      </w:r>
    </w:p>
    <w:p w14:paraId="47A5AD4C">
      <w:pPr>
        <w:pStyle w:val="233"/>
        <w:spacing w:before="157" w:after="157" w:line="400" w:lineRule="exact"/>
        <w:ind w:firstLine="420"/>
        <w:rPr>
          <w:rFonts w:hAnsi="宋体" w:cstheme="minorEastAsia"/>
          <w:szCs w:val="21"/>
        </w:rPr>
      </w:pPr>
      <w:r>
        <w:rPr>
          <w:rFonts w:hint="eastAsia" w:hAnsi="宋体" w:cstheme="minorEastAsia"/>
          <w:szCs w:val="21"/>
        </w:rPr>
        <w:t>早耕深翻，打碎耙平，施足基肥，耕地的深度30cm以上。</w:t>
      </w:r>
    </w:p>
    <w:p w14:paraId="42BD350F">
      <w:pPr>
        <w:pStyle w:val="107"/>
        <w:spacing w:before="156" w:after="156"/>
        <w:rPr>
          <w:rFonts w:ascii="Times New Roman"/>
        </w:rPr>
      </w:pPr>
      <w:r>
        <w:rPr>
          <w:rFonts w:hint="eastAsia" w:ascii="Times New Roman"/>
        </w:rPr>
        <w:t>施底肥</w:t>
      </w:r>
    </w:p>
    <w:p w14:paraId="4D9737F1">
      <w:pPr>
        <w:pStyle w:val="233"/>
        <w:spacing w:before="157" w:after="157" w:line="400" w:lineRule="exact"/>
        <w:ind w:firstLine="420"/>
        <w:rPr>
          <w:rFonts w:hAnsi="宋体" w:cstheme="minorEastAsia"/>
          <w:szCs w:val="21"/>
        </w:rPr>
      </w:pPr>
      <w:r>
        <w:rPr>
          <w:rFonts w:hint="eastAsia" w:hAnsi="宋体" w:cstheme="minorEastAsia"/>
          <w:szCs w:val="21"/>
        </w:rPr>
        <w:t>结合整地施足基肥，每亩用氮磷钾三元复合肥30 kg～40 kg，商品有机肥200 kg～300 kg。根据土壤情况适量补充钙、镁、硼肥等中、微量元素肥料。施用肥料应符合NY/T496的规定。提倡测土配方施肥。</w:t>
      </w:r>
    </w:p>
    <w:p w14:paraId="3063E3AA">
      <w:pPr>
        <w:pStyle w:val="107"/>
        <w:spacing w:before="156" w:after="156"/>
        <w:rPr>
          <w:rFonts w:ascii="Times New Roman"/>
        </w:rPr>
      </w:pPr>
      <w:r>
        <w:rPr>
          <w:rFonts w:hint="eastAsia" w:ascii="Times New Roman"/>
        </w:rPr>
        <w:t>开厢、铺滴灌带、覆膜</w:t>
      </w:r>
    </w:p>
    <w:p w14:paraId="1D3060D3">
      <w:pPr>
        <w:pStyle w:val="233"/>
        <w:spacing w:before="157" w:after="157" w:line="400" w:lineRule="exact"/>
        <w:ind w:firstLine="420"/>
        <w:rPr>
          <w:rFonts w:hAnsi="宋体" w:cstheme="minorEastAsia"/>
          <w:szCs w:val="21"/>
        </w:rPr>
      </w:pPr>
      <w:r>
        <w:rPr>
          <w:rFonts w:hint="eastAsia" w:hAnsi="宋体" w:cstheme="minorEastAsia"/>
          <w:szCs w:val="21"/>
        </w:rPr>
        <w:t>采用深沟高厢种植，1.2m包沟开厢，厢面宽80 cm～90 cm,厢沟宽30 cm～40 cm，沟深20 cm～30 cm。在厢面上铺两根滴灌带，滴头朝上，试水，然后覆盖已经打好定植孔的地膜。</w:t>
      </w:r>
    </w:p>
    <w:p w14:paraId="058E08DC">
      <w:pPr>
        <w:pStyle w:val="107"/>
        <w:spacing w:before="156" w:after="156"/>
        <w:rPr>
          <w:rFonts w:ascii="Times New Roman"/>
        </w:rPr>
      </w:pPr>
      <w:r>
        <w:rPr>
          <w:rFonts w:hint="eastAsia" w:ascii="Times New Roman"/>
        </w:rPr>
        <w:t>定植方法</w:t>
      </w:r>
    </w:p>
    <w:p w14:paraId="0F55FC2B">
      <w:pPr>
        <w:pStyle w:val="233"/>
        <w:spacing w:before="157" w:after="157" w:line="400" w:lineRule="exact"/>
        <w:ind w:firstLine="420"/>
        <w:rPr>
          <w:rFonts w:hAnsi="宋体" w:cstheme="minorEastAsia"/>
          <w:szCs w:val="21"/>
        </w:rPr>
      </w:pPr>
      <w:r>
        <w:rPr>
          <w:rFonts w:hint="eastAsia" w:hAnsi="宋体" w:cstheme="minorEastAsia"/>
          <w:szCs w:val="21"/>
        </w:rPr>
        <w:t>辣椒：采用双行单株对窝定植，株距40厘米，2800株/667㎡。选晴天，带育苗基质定植，定植前用1:150倍液哈茨木霉菌菌液蘸根，定植后浇透定植水，随水冲施1 kg/667 m2～2 kg/667 ㎡生根剂。</w:t>
      </w:r>
    </w:p>
    <w:p w14:paraId="03B516DC">
      <w:pPr>
        <w:pStyle w:val="233"/>
        <w:spacing w:before="157" w:after="157" w:line="400" w:lineRule="exact"/>
        <w:ind w:firstLine="420"/>
        <w:rPr>
          <w:rFonts w:hAnsi="宋体" w:cstheme="minorEastAsia"/>
          <w:szCs w:val="21"/>
        </w:rPr>
      </w:pPr>
      <w:r>
        <w:rPr>
          <w:rFonts w:hint="eastAsia" w:hAnsi="宋体" w:cstheme="minorEastAsia"/>
          <w:szCs w:val="21"/>
        </w:rPr>
        <w:t>豇豆：辣椒生长中后期，</w:t>
      </w:r>
      <w:r>
        <w:rPr>
          <w:rFonts w:hAnsi="宋体" w:cstheme="minorEastAsia"/>
          <w:szCs w:val="21"/>
        </w:rPr>
        <w:t>在辣椒种植行</w:t>
      </w:r>
      <w:r>
        <w:rPr>
          <w:rFonts w:hint="eastAsia" w:hAnsi="宋体" w:cstheme="minorEastAsia"/>
          <w:szCs w:val="21"/>
        </w:rPr>
        <w:t>中</w:t>
      </w:r>
      <w:r>
        <w:rPr>
          <w:rFonts w:hAnsi="宋体" w:cstheme="minorEastAsia"/>
          <w:szCs w:val="21"/>
        </w:rPr>
        <w:t>间，</w:t>
      </w:r>
      <w:r>
        <w:rPr>
          <w:rFonts w:hint="eastAsia" w:hAnsi="宋体" w:cstheme="minorEastAsia"/>
          <w:szCs w:val="21"/>
        </w:rPr>
        <w:t>单行错窝</w:t>
      </w:r>
      <w:r>
        <w:rPr>
          <w:rFonts w:hAnsi="宋体" w:cstheme="minorEastAsia"/>
          <w:szCs w:val="21"/>
        </w:rPr>
        <w:t>定植1</w:t>
      </w:r>
      <w:r>
        <w:rPr>
          <w:rFonts w:hint="eastAsia" w:hAnsi="宋体" w:cstheme="minorEastAsia"/>
          <w:szCs w:val="21"/>
        </w:rPr>
        <w:t>窝</w:t>
      </w:r>
      <w:r>
        <w:rPr>
          <w:rFonts w:hAnsi="宋体" w:cstheme="minorEastAsia"/>
          <w:szCs w:val="21"/>
        </w:rPr>
        <w:t>豇豆苗</w:t>
      </w:r>
      <w:r>
        <w:rPr>
          <w:rFonts w:hint="eastAsia" w:hAnsi="宋体" w:cstheme="minorEastAsia"/>
          <w:szCs w:val="21"/>
        </w:rPr>
        <w:t>。</w:t>
      </w:r>
    </w:p>
    <w:p w14:paraId="4055ABEC">
      <w:pPr>
        <w:pStyle w:val="106"/>
        <w:spacing w:before="312" w:after="312"/>
      </w:pPr>
      <w:r>
        <w:rPr>
          <w:rFonts w:hint="eastAsia"/>
        </w:rPr>
        <w:t>田间管理</w:t>
      </w:r>
    </w:p>
    <w:p w14:paraId="733C2939">
      <w:pPr>
        <w:pStyle w:val="107"/>
        <w:spacing w:before="156" w:after="156"/>
        <w:rPr>
          <w:rFonts w:ascii="Times New Roman"/>
        </w:rPr>
      </w:pPr>
      <w:r>
        <w:rPr>
          <w:rFonts w:hint="eastAsia" w:ascii="Times New Roman"/>
        </w:rPr>
        <w:t>水分管理</w:t>
      </w:r>
    </w:p>
    <w:p w14:paraId="4BF6777A">
      <w:pPr>
        <w:adjustRightInd/>
        <w:spacing w:before="157" w:after="157"/>
        <w:ind w:left="113" w:firstLine="420" w:firstLineChars="200"/>
        <w:rPr>
          <w:rFonts w:ascii="宋体" w:hAnsi="宋体" w:cstheme="minorEastAsia"/>
          <w:kern w:val="0"/>
        </w:rPr>
      </w:pPr>
      <w:r>
        <w:rPr>
          <w:rFonts w:hint="eastAsia" w:ascii="宋体" w:hAnsi="宋体" w:cstheme="minorEastAsia"/>
          <w:kern w:val="0"/>
        </w:rPr>
        <w:t>辣椒：开花结果前一般7～10天灌一次，灌水量6～8m3/667㎡，进入结果期后，一般5～7天灌水一次，灌水量10～12m3/667㎡。</w:t>
      </w:r>
    </w:p>
    <w:p w14:paraId="549505EE">
      <w:pPr>
        <w:adjustRightInd/>
        <w:spacing w:before="157" w:after="157"/>
        <w:ind w:left="113" w:firstLine="420" w:firstLineChars="200"/>
        <w:rPr>
          <w:rFonts w:ascii="宋体" w:hAnsi="宋体" w:cstheme="minorEastAsia"/>
          <w:kern w:val="0"/>
        </w:rPr>
      </w:pPr>
      <w:r>
        <w:rPr>
          <w:rFonts w:hint="eastAsia" w:ascii="宋体" w:hAnsi="宋体" w:cstheme="minorEastAsia"/>
          <w:kern w:val="0"/>
        </w:rPr>
        <w:t>豇豆：管理同辣椒。</w:t>
      </w:r>
    </w:p>
    <w:p w14:paraId="0F3DECB3">
      <w:pPr>
        <w:pStyle w:val="107"/>
        <w:spacing w:before="156" w:after="156"/>
        <w:rPr>
          <w:rFonts w:ascii="Times New Roman"/>
        </w:rPr>
      </w:pPr>
      <w:r>
        <w:rPr>
          <w:rFonts w:hint="eastAsia" w:ascii="Times New Roman"/>
        </w:rPr>
        <w:t>追肥管理</w:t>
      </w:r>
    </w:p>
    <w:p w14:paraId="4EF54176">
      <w:pPr>
        <w:adjustRightInd/>
        <w:spacing w:before="157" w:after="157"/>
        <w:ind w:left="113" w:firstLine="420" w:firstLineChars="200"/>
        <w:rPr>
          <w:rFonts w:ascii="宋体" w:hAnsi="宋体" w:cstheme="minorEastAsia"/>
          <w:kern w:val="0"/>
        </w:rPr>
      </w:pPr>
      <w:r>
        <w:rPr>
          <w:rFonts w:hint="eastAsia" w:ascii="宋体" w:hAnsi="宋体" w:cstheme="minorEastAsia"/>
          <w:kern w:val="0"/>
        </w:rPr>
        <w:t>辣椒：随第一次浇水施提苗肥，水溶性复合肥5～10 kg/667㎡+尿素3～5 kg/667㎡，后面每次结合灌水进行追肥，冲施水溶肥复合肥10～15 kg/667㎡，同时添加3～5 kg/667㎡氨基酸、黄腐酸类冲施肥，开花结果期可喷施0.3%磷酸二氢钾叶面水溶肥。</w:t>
      </w:r>
    </w:p>
    <w:p w14:paraId="4FF357DF">
      <w:pPr>
        <w:adjustRightInd/>
        <w:spacing w:before="157" w:after="157"/>
        <w:ind w:left="113" w:firstLine="420" w:firstLineChars="200"/>
        <w:rPr>
          <w:rFonts w:ascii="宋体" w:hAnsi="宋体" w:cstheme="minorEastAsia"/>
          <w:kern w:val="0"/>
        </w:rPr>
      </w:pPr>
      <w:r>
        <w:rPr>
          <w:rFonts w:hint="eastAsia" w:ascii="宋体" w:hAnsi="宋体" w:cstheme="minorEastAsia"/>
          <w:kern w:val="0"/>
        </w:rPr>
        <w:t>豇豆：管理同辣椒。</w:t>
      </w:r>
    </w:p>
    <w:p w14:paraId="6E97E6A5">
      <w:pPr>
        <w:pStyle w:val="107"/>
        <w:spacing w:before="156" w:after="156"/>
        <w:rPr>
          <w:rFonts w:ascii="Times New Roman"/>
        </w:rPr>
      </w:pPr>
      <w:r>
        <w:rPr>
          <w:rFonts w:hint="eastAsia" w:ascii="Times New Roman"/>
        </w:rPr>
        <w:t>植株调整</w:t>
      </w:r>
    </w:p>
    <w:p w14:paraId="06F822E0">
      <w:pPr>
        <w:adjustRightInd/>
        <w:spacing w:before="157" w:after="157"/>
        <w:ind w:left="113" w:firstLine="420" w:firstLineChars="200"/>
        <w:rPr>
          <w:rFonts w:ascii="宋体" w:hAnsi="宋体" w:cstheme="minorEastAsia"/>
          <w:kern w:val="0"/>
        </w:rPr>
      </w:pPr>
      <w:r>
        <w:rPr>
          <w:rFonts w:hint="eastAsia" w:ascii="宋体" w:hAnsi="宋体" w:cstheme="minorEastAsia"/>
          <w:kern w:val="0"/>
        </w:rPr>
        <w:t>辣椒：采取4干整枝法，对椒坐果后，保留4个主枝，其余侧枝及门椒下部的侧枝、病残叶、黄叶、衰老叶及时摘除。结果期及时搭架、绑线防止辣椒枝条垂断。</w:t>
      </w:r>
    </w:p>
    <w:p w14:paraId="5B62522E">
      <w:pPr>
        <w:adjustRightInd/>
        <w:spacing w:before="157" w:after="157"/>
        <w:ind w:left="113" w:firstLine="420" w:firstLineChars="200"/>
        <w:rPr>
          <w:rFonts w:ascii="宋体" w:hAnsi="宋体" w:cstheme="minorEastAsia"/>
          <w:kern w:val="0"/>
        </w:rPr>
      </w:pPr>
      <w:r>
        <w:rPr>
          <w:rFonts w:hint="eastAsia" w:ascii="宋体" w:hAnsi="宋体" w:cstheme="minorEastAsia"/>
          <w:kern w:val="0"/>
        </w:rPr>
        <w:t>豇豆：豇豆抽蔓后及时反时钟方向卷到搭好的棉线上。</w:t>
      </w:r>
    </w:p>
    <w:p w14:paraId="166DDCA3">
      <w:pPr>
        <w:pStyle w:val="106"/>
        <w:spacing w:before="312" w:after="312"/>
      </w:pPr>
      <w:r>
        <w:rPr>
          <w:rFonts w:hint="eastAsia"/>
        </w:rPr>
        <w:t>病虫害防治</w:t>
      </w:r>
    </w:p>
    <w:p w14:paraId="42B37F59">
      <w:pPr>
        <w:pStyle w:val="107"/>
        <w:spacing w:before="156" w:after="156"/>
        <w:rPr>
          <w:rFonts w:ascii="Times New Roman"/>
        </w:rPr>
      </w:pPr>
      <w:r>
        <w:rPr>
          <w:rFonts w:hint="eastAsia" w:ascii="Times New Roman"/>
        </w:rPr>
        <w:t xml:space="preserve">农业防治  </w:t>
      </w:r>
    </w:p>
    <w:p w14:paraId="01308FED">
      <w:pPr>
        <w:pStyle w:val="236"/>
        <w:numPr>
          <w:ilvl w:val="0"/>
          <w:numId w:val="0"/>
        </w:numPr>
        <w:spacing w:before="157" w:after="157" w:line="400" w:lineRule="exact"/>
        <w:ind w:firstLine="420" w:firstLineChars="200"/>
        <w:rPr>
          <w:rFonts w:ascii="宋体" w:hAnsi="宋体" w:eastAsia="宋体" w:cstheme="minorEastAsia"/>
        </w:rPr>
      </w:pPr>
      <w:r>
        <w:rPr>
          <w:rFonts w:hint="eastAsia" w:ascii="宋体" w:hAnsi="宋体" w:eastAsia="宋体" w:cstheme="minorEastAsia"/>
        </w:rPr>
        <w:t>选用抗(耐)病优良品种，合理布局、实行轮作倒茬，清洁田园、深翻炕土，加强中耕除草、降低病虫源数量，培育壮苗。</w:t>
      </w:r>
    </w:p>
    <w:p w14:paraId="29C39304">
      <w:pPr>
        <w:pStyle w:val="107"/>
        <w:spacing w:before="156" w:after="156"/>
        <w:rPr>
          <w:rFonts w:ascii="Times New Roman"/>
        </w:rPr>
      </w:pPr>
      <w:r>
        <w:rPr>
          <w:rFonts w:hint="eastAsia" w:ascii="Times New Roman"/>
        </w:rPr>
        <w:t>物理防治</w:t>
      </w:r>
    </w:p>
    <w:p w14:paraId="3D537179">
      <w:pPr>
        <w:pStyle w:val="236"/>
        <w:numPr>
          <w:ilvl w:val="0"/>
          <w:numId w:val="0"/>
        </w:numPr>
        <w:spacing w:before="157" w:after="157" w:line="400" w:lineRule="exact"/>
        <w:ind w:firstLine="420" w:firstLineChars="200"/>
        <w:rPr>
          <w:rFonts w:ascii="宋体" w:hAnsi="宋体" w:eastAsia="宋体" w:cstheme="minorEastAsia"/>
        </w:rPr>
      </w:pPr>
      <w:r>
        <w:rPr>
          <w:rFonts w:hint="eastAsia" w:ascii="宋体" w:hAnsi="宋体" w:eastAsia="宋体" w:cstheme="minorEastAsia"/>
        </w:rPr>
        <w:t>大棚四周设置60目以上防虫网；在植株上15 cm～20 cm处每667㎡悬挂黄板20～25片诱杀蚜虫，蓝板10片处诱杀蓟马；铺银灰膜驱避蚜虫；杀虫灯诱杀夜蛾等害虫。</w:t>
      </w:r>
    </w:p>
    <w:p w14:paraId="1907A6B9">
      <w:pPr>
        <w:pStyle w:val="107"/>
        <w:spacing w:before="156" w:after="156"/>
        <w:rPr>
          <w:rFonts w:ascii="Times New Roman"/>
        </w:rPr>
      </w:pPr>
      <w:r>
        <w:rPr>
          <w:rFonts w:hint="eastAsia" w:ascii="Times New Roman"/>
        </w:rPr>
        <w:t>生物防治</w:t>
      </w:r>
    </w:p>
    <w:p w14:paraId="01CDC22D">
      <w:pPr>
        <w:pStyle w:val="236"/>
        <w:numPr>
          <w:ilvl w:val="0"/>
          <w:numId w:val="0"/>
        </w:numPr>
        <w:spacing w:before="157" w:after="157" w:line="400" w:lineRule="exact"/>
        <w:ind w:firstLine="420" w:firstLineChars="200"/>
        <w:rPr>
          <w:rFonts w:ascii="宋体" w:hAnsi="宋体" w:eastAsia="宋体" w:cstheme="minorEastAsia"/>
        </w:rPr>
      </w:pPr>
      <w:r>
        <w:rPr>
          <w:rFonts w:hint="eastAsia" w:ascii="宋体" w:hAnsi="宋体" w:eastAsia="宋体" w:cstheme="minorEastAsia"/>
        </w:rPr>
        <w:t>保护天敌，利用生物农药防治病虫害，应用性诱剂诱杀夜蛾等害虫。</w:t>
      </w:r>
    </w:p>
    <w:p w14:paraId="1DA77A49">
      <w:pPr>
        <w:pStyle w:val="107"/>
        <w:spacing w:before="156" w:after="156"/>
        <w:rPr>
          <w:rFonts w:ascii="Times New Roman"/>
        </w:rPr>
      </w:pPr>
      <w:r>
        <w:rPr>
          <w:rFonts w:hint="eastAsia" w:ascii="Times New Roman"/>
        </w:rPr>
        <w:t>化学防治</w:t>
      </w:r>
    </w:p>
    <w:p w14:paraId="263A9346">
      <w:pPr>
        <w:pStyle w:val="236"/>
        <w:numPr>
          <w:ilvl w:val="0"/>
          <w:numId w:val="0"/>
        </w:numPr>
        <w:spacing w:before="157" w:after="157" w:line="400" w:lineRule="exact"/>
        <w:ind w:firstLine="420" w:firstLineChars="200"/>
      </w:pPr>
      <w:r>
        <w:rPr>
          <w:rFonts w:hint="eastAsia" w:ascii="宋体" w:hAnsi="宋体" w:eastAsia="宋体" w:cstheme="minorEastAsia"/>
        </w:rPr>
        <w:t>病虫害防治按照GB/T 23416.2和GB/T 23416.7规定合理选择农药，规范使用。不同农药应交替使用。严格执行农药安全间隔期。主要病虫害与部分推荐农药见表1。</w:t>
      </w:r>
    </w:p>
    <w:p w14:paraId="0B387C85">
      <w:pPr>
        <w:adjustRightInd/>
        <w:spacing w:before="157" w:after="157"/>
        <w:jc w:val="center"/>
        <w:rPr>
          <w:rFonts w:asciiTheme="minorEastAsia" w:hAnsiTheme="minorEastAsia" w:eastAsiaTheme="minorEastAsia"/>
        </w:rPr>
      </w:pPr>
      <w:r>
        <w:rPr>
          <w:rFonts w:hint="eastAsia" w:asciiTheme="minorEastAsia" w:hAnsiTheme="minorEastAsia" w:eastAsiaTheme="minorEastAsia"/>
        </w:rPr>
        <w:t>表1 主要病虫害化学防治方法</w:t>
      </w:r>
    </w:p>
    <w:tbl>
      <w:tblPr>
        <w:tblStyle w:val="28"/>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4"/>
        <w:gridCol w:w="1350"/>
        <w:gridCol w:w="4380"/>
        <w:gridCol w:w="2292"/>
      </w:tblGrid>
      <w:tr w14:paraId="35B52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584" w:type="dxa"/>
            <w:vAlign w:val="center"/>
          </w:tcPr>
          <w:p w14:paraId="7C7BB49D">
            <w:pPr>
              <w:adjustRightInd/>
              <w:spacing w:before="157" w:after="157"/>
              <w:jc w:val="center"/>
              <w:rPr>
                <w:rFonts w:ascii="宋体" w:hAnsi="宋体"/>
                <w:sz w:val="18"/>
                <w:szCs w:val="18"/>
              </w:rPr>
            </w:pPr>
            <w:r>
              <w:rPr>
                <w:rFonts w:hint="eastAsia" w:ascii="宋体" w:hAnsi="宋体"/>
                <w:sz w:val="18"/>
                <w:szCs w:val="18"/>
              </w:rPr>
              <w:t>病虫害名称</w:t>
            </w:r>
          </w:p>
        </w:tc>
        <w:tc>
          <w:tcPr>
            <w:tcW w:w="1350" w:type="dxa"/>
            <w:vAlign w:val="center"/>
          </w:tcPr>
          <w:p w14:paraId="1805F396">
            <w:pPr>
              <w:adjustRightInd/>
              <w:spacing w:before="157" w:after="157"/>
              <w:jc w:val="center"/>
              <w:rPr>
                <w:rFonts w:ascii="宋体" w:hAnsi="宋体"/>
                <w:sz w:val="18"/>
                <w:szCs w:val="18"/>
              </w:rPr>
            </w:pPr>
            <w:r>
              <w:rPr>
                <w:rFonts w:ascii="宋体" w:hAnsi="宋体"/>
                <w:sz w:val="18"/>
                <w:szCs w:val="18"/>
              </w:rPr>
              <w:t>防治时期</w:t>
            </w:r>
          </w:p>
        </w:tc>
        <w:tc>
          <w:tcPr>
            <w:tcW w:w="4380" w:type="dxa"/>
            <w:vAlign w:val="center"/>
          </w:tcPr>
          <w:p w14:paraId="65BEE3BB">
            <w:pPr>
              <w:adjustRightInd/>
              <w:spacing w:before="157" w:after="157"/>
              <w:jc w:val="center"/>
              <w:rPr>
                <w:rFonts w:ascii="宋体" w:hAnsi="宋体"/>
                <w:sz w:val="18"/>
                <w:szCs w:val="18"/>
              </w:rPr>
            </w:pPr>
            <w:r>
              <w:rPr>
                <w:rFonts w:ascii="宋体" w:hAnsi="宋体"/>
                <w:sz w:val="18"/>
                <w:szCs w:val="18"/>
              </w:rPr>
              <w:t>药剂名称及使用剂量</w:t>
            </w:r>
          </w:p>
        </w:tc>
        <w:tc>
          <w:tcPr>
            <w:tcW w:w="2292" w:type="dxa"/>
            <w:vAlign w:val="center"/>
          </w:tcPr>
          <w:p w14:paraId="32874FF8">
            <w:pPr>
              <w:adjustRightInd/>
              <w:spacing w:before="157" w:after="157"/>
              <w:jc w:val="center"/>
              <w:rPr>
                <w:rFonts w:ascii="宋体" w:hAnsi="宋体"/>
                <w:sz w:val="18"/>
                <w:szCs w:val="18"/>
              </w:rPr>
            </w:pPr>
            <w:r>
              <w:rPr>
                <w:rFonts w:ascii="宋体" w:hAnsi="宋体"/>
                <w:sz w:val="18"/>
                <w:szCs w:val="18"/>
              </w:rPr>
              <w:t>使用方法</w:t>
            </w:r>
          </w:p>
        </w:tc>
      </w:tr>
      <w:tr w14:paraId="14F7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vAlign w:val="center"/>
          </w:tcPr>
          <w:p w14:paraId="08FEE888">
            <w:pPr>
              <w:adjustRightInd/>
              <w:spacing w:before="157" w:after="157"/>
              <w:rPr>
                <w:rFonts w:ascii="宋体" w:hAnsi="宋体"/>
                <w:sz w:val="18"/>
                <w:szCs w:val="18"/>
              </w:rPr>
            </w:pPr>
            <w:r>
              <w:rPr>
                <w:rFonts w:ascii="宋体" w:hAnsi="宋体"/>
                <w:sz w:val="18"/>
                <w:szCs w:val="18"/>
              </w:rPr>
              <w:t>灰霉病</w:t>
            </w:r>
          </w:p>
        </w:tc>
        <w:tc>
          <w:tcPr>
            <w:tcW w:w="1350" w:type="dxa"/>
            <w:vAlign w:val="center"/>
          </w:tcPr>
          <w:p w14:paraId="27952929">
            <w:pPr>
              <w:adjustRightInd/>
              <w:spacing w:before="157" w:after="157"/>
              <w:rPr>
                <w:rFonts w:ascii="宋体" w:hAnsi="宋体"/>
                <w:sz w:val="18"/>
                <w:szCs w:val="18"/>
              </w:rPr>
            </w:pPr>
            <w:r>
              <w:rPr>
                <w:rFonts w:ascii="宋体" w:hAnsi="宋体"/>
                <w:sz w:val="18"/>
                <w:szCs w:val="18"/>
              </w:rPr>
              <w:t>发病初期</w:t>
            </w:r>
          </w:p>
        </w:tc>
        <w:tc>
          <w:tcPr>
            <w:tcW w:w="4380" w:type="dxa"/>
            <w:vAlign w:val="center"/>
          </w:tcPr>
          <w:p w14:paraId="5045E92C">
            <w:pPr>
              <w:adjustRightInd/>
              <w:spacing w:before="157" w:after="157"/>
              <w:rPr>
                <w:rFonts w:ascii="宋体" w:hAnsi="宋体"/>
                <w:sz w:val="18"/>
                <w:szCs w:val="18"/>
              </w:rPr>
            </w:pPr>
            <w:r>
              <w:rPr>
                <w:rFonts w:ascii="宋体" w:hAnsi="宋体"/>
                <w:sz w:val="18"/>
                <w:szCs w:val="18"/>
              </w:rPr>
              <w:t>50%异丙脲悬浮剂1500</w:t>
            </w:r>
            <w:r>
              <w:rPr>
                <w:rFonts w:hint="eastAsia" w:ascii="宋体" w:hAnsi="宋体"/>
                <w:kern w:val="0"/>
                <w:sz w:val="18"/>
                <w:szCs w:val="18"/>
              </w:rPr>
              <w:t>～</w:t>
            </w:r>
            <w:r>
              <w:rPr>
                <w:rFonts w:ascii="宋体" w:hAnsi="宋体"/>
                <w:sz w:val="18"/>
                <w:szCs w:val="18"/>
              </w:rPr>
              <w:t>2000倍液</w:t>
            </w:r>
            <w:r>
              <w:rPr>
                <w:rFonts w:ascii="宋体" w:hAnsi="宋体"/>
                <w:sz w:val="18"/>
                <w:szCs w:val="18"/>
              </w:rPr>
              <w:br w:type="textWrapping"/>
            </w:r>
            <w:r>
              <w:rPr>
                <w:rFonts w:ascii="宋体" w:hAnsi="宋体"/>
                <w:sz w:val="18"/>
                <w:szCs w:val="18"/>
              </w:rPr>
              <w:t>50%啶酰菌胺水散粉剂1000倍液</w:t>
            </w:r>
          </w:p>
        </w:tc>
        <w:tc>
          <w:tcPr>
            <w:tcW w:w="2292" w:type="dxa"/>
            <w:vAlign w:val="center"/>
          </w:tcPr>
          <w:p w14:paraId="46375C81">
            <w:pPr>
              <w:adjustRightInd/>
              <w:spacing w:before="157" w:after="157"/>
              <w:rPr>
                <w:rFonts w:ascii="宋体" w:hAnsi="宋体"/>
                <w:sz w:val="18"/>
                <w:szCs w:val="18"/>
              </w:rPr>
            </w:pPr>
            <w:r>
              <w:rPr>
                <w:rFonts w:ascii="宋体" w:hAnsi="宋体"/>
                <w:sz w:val="18"/>
                <w:szCs w:val="18"/>
              </w:rPr>
              <w:t>喷雾</w:t>
            </w:r>
          </w:p>
        </w:tc>
      </w:tr>
      <w:tr w14:paraId="45649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vAlign w:val="center"/>
          </w:tcPr>
          <w:p w14:paraId="6F68F35E">
            <w:pPr>
              <w:adjustRightInd/>
              <w:spacing w:before="157" w:after="157"/>
              <w:rPr>
                <w:rFonts w:ascii="宋体" w:hAnsi="宋体"/>
                <w:sz w:val="18"/>
                <w:szCs w:val="18"/>
              </w:rPr>
            </w:pPr>
            <w:r>
              <w:rPr>
                <w:rFonts w:ascii="宋体" w:hAnsi="宋体"/>
                <w:sz w:val="18"/>
                <w:szCs w:val="18"/>
              </w:rPr>
              <w:t>白粉病</w:t>
            </w:r>
          </w:p>
        </w:tc>
        <w:tc>
          <w:tcPr>
            <w:tcW w:w="1350" w:type="dxa"/>
            <w:vAlign w:val="center"/>
          </w:tcPr>
          <w:p w14:paraId="32E971AB">
            <w:pPr>
              <w:adjustRightInd/>
              <w:spacing w:before="157" w:after="157"/>
              <w:rPr>
                <w:rFonts w:ascii="宋体" w:hAnsi="宋体"/>
                <w:sz w:val="18"/>
                <w:szCs w:val="18"/>
              </w:rPr>
            </w:pPr>
            <w:r>
              <w:rPr>
                <w:rFonts w:ascii="宋体" w:hAnsi="宋体"/>
                <w:sz w:val="18"/>
                <w:szCs w:val="18"/>
              </w:rPr>
              <w:t>发病初期</w:t>
            </w:r>
          </w:p>
        </w:tc>
        <w:tc>
          <w:tcPr>
            <w:tcW w:w="4380" w:type="dxa"/>
            <w:vAlign w:val="center"/>
          </w:tcPr>
          <w:p w14:paraId="5F808643">
            <w:pPr>
              <w:adjustRightInd/>
              <w:spacing w:before="157" w:after="157"/>
              <w:rPr>
                <w:rFonts w:ascii="宋体" w:hAnsi="宋体"/>
                <w:sz w:val="18"/>
                <w:szCs w:val="18"/>
              </w:rPr>
            </w:pPr>
            <w:r>
              <w:rPr>
                <w:rFonts w:ascii="宋体" w:hAnsi="宋体"/>
                <w:sz w:val="18"/>
                <w:szCs w:val="18"/>
              </w:rPr>
              <w:t>35%氟菌·戊唑醇悬浮剂10mL/667 m</w:t>
            </w:r>
            <w:r>
              <w:rPr>
                <w:rFonts w:hint="eastAsia" w:ascii="宋体" w:hAnsi="宋体"/>
                <w:sz w:val="18"/>
                <w:szCs w:val="18"/>
                <w:vertAlign w:val="superscript"/>
              </w:rPr>
              <w:t>2</w:t>
            </w:r>
            <w:r>
              <w:rPr>
                <w:rFonts w:ascii="宋体" w:hAnsi="宋体"/>
                <w:sz w:val="18"/>
                <w:szCs w:val="18"/>
              </w:rPr>
              <w:br w:type="textWrapping"/>
            </w:r>
            <w:r>
              <w:rPr>
                <w:rFonts w:ascii="宋体" w:hAnsi="宋体"/>
                <w:sz w:val="18"/>
                <w:szCs w:val="18"/>
              </w:rPr>
              <w:t>12.5%腈菌唑乳油37.5'</w:t>
            </w:r>
            <w:r>
              <w:rPr>
                <w:rFonts w:hint="eastAsia" w:ascii="宋体" w:hAnsi="宋体"/>
                <w:kern w:val="0"/>
                <w:sz w:val="18"/>
                <w:szCs w:val="18"/>
              </w:rPr>
              <w:t>～</w:t>
            </w:r>
            <w:r>
              <w:rPr>
                <w:rFonts w:ascii="宋体" w:hAnsi="宋体"/>
                <w:sz w:val="18"/>
                <w:szCs w:val="18"/>
              </w:rPr>
              <w:t>60 g/667m</w:t>
            </w:r>
            <w:r>
              <w:rPr>
                <w:rFonts w:hint="eastAsia" w:ascii="宋体" w:hAnsi="宋体"/>
                <w:sz w:val="18"/>
                <w:szCs w:val="18"/>
                <w:vertAlign w:val="superscript"/>
              </w:rPr>
              <w:t>2</w:t>
            </w:r>
          </w:p>
        </w:tc>
        <w:tc>
          <w:tcPr>
            <w:tcW w:w="2292" w:type="dxa"/>
            <w:vAlign w:val="center"/>
          </w:tcPr>
          <w:p w14:paraId="7E59A029">
            <w:pPr>
              <w:adjustRightInd/>
              <w:spacing w:before="157" w:after="157"/>
              <w:rPr>
                <w:rFonts w:ascii="宋体" w:hAnsi="宋体"/>
                <w:sz w:val="18"/>
                <w:szCs w:val="18"/>
              </w:rPr>
            </w:pPr>
            <w:r>
              <w:rPr>
                <w:rFonts w:ascii="宋体" w:hAnsi="宋体"/>
                <w:sz w:val="18"/>
                <w:szCs w:val="18"/>
              </w:rPr>
              <w:t>喷雾</w:t>
            </w:r>
          </w:p>
        </w:tc>
      </w:tr>
      <w:tr w14:paraId="13C80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vAlign w:val="center"/>
          </w:tcPr>
          <w:p w14:paraId="42E8CECA">
            <w:pPr>
              <w:adjustRightInd/>
              <w:spacing w:before="157" w:after="157"/>
              <w:rPr>
                <w:rFonts w:ascii="宋体" w:hAnsi="宋体"/>
                <w:sz w:val="18"/>
                <w:szCs w:val="18"/>
              </w:rPr>
            </w:pPr>
            <w:r>
              <w:rPr>
                <w:rFonts w:ascii="宋体" w:hAnsi="宋体"/>
                <w:sz w:val="18"/>
                <w:szCs w:val="18"/>
              </w:rPr>
              <w:t>根腐病</w:t>
            </w:r>
          </w:p>
        </w:tc>
        <w:tc>
          <w:tcPr>
            <w:tcW w:w="1350" w:type="dxa"/>
            <w:vAlign w:val="center"/>
          </w:tcPr>
          <w:p w14:paraId="744DD7EB">
            <w:pPr>
              <w:adjustRightInd/>
              <w:spacing w:before="157" w:after="157"/>
              <w:rPr>
                <w:rFonts w:ascii="宋体" w:hAnsi="宋体"/>
                <w:sz w:val="18"/>
                <w:szCs w:val="18"/>
              </w:rPr>
            </w:pPr>
            <w:r>
              <w:rPr>
                <w:rFonts w:ascii="宋体" w:hAnsi="宋体"/>
                <w:sz w:val="18"/>
                <w:szCs w:val="18"/>
              </w:rPr>
              <w:t>定植后</w:t>
            </w:r>
          </w:p>
        </w:tc>
        <w:tc>
          <w:tcPr>
            <w:tcW w:w="4380" w:type="dxa"/>
            <w:vAlign w:val="center"/>
          </w:tcPr>
          <w:p w14:paraId="5C73CCFA">
            <w:pPr>
              <w:adjustRightInd/>
              <w:spacing w:before="157" w:after="157"/>
              <w:rPr>
                <w:rFonts w:ascii="宋体" w:hAnsi="宋体"/>
                <w:sz w:val="18"/>
                <w:szCs w:val="18"/>
              </w:rPr>
            </w:pPr>
            <w:r>
              <w:rPr>
                <w:rFonts w:ascii="宋体" w:hAnsi="宋体"/>
                <w:sz w:val="18"/>
                <w:szCs w:val="18"/>
              </w:rPr>
              <w:t>70%甲基硫菌灵可湿性粉剂500g/667m</w:t>
            </w:r>
            <w:r>
              <w:rPr>
                <w:rFonts w:hint="eastAsia" w:ascii="宋体" w:hAnsi="宋体"/>
                <w:sz w:val="18"/>
                <w:szCs w:val="18"/>
                <w:vertAlign w:val="superscript"/>
              </w:rPr>
              <w:t>2</w:t>
            </w:r>
            <w:r>
              <w:rPr>
                <w:rFonts w:ascii="宋体" w:hAnsi="宋体"/>
                <w:sz w:val="18"/>
                <w:szCs w:val="18"/>
              </w:rPr>
              <w:br w:type="textWrapping"/>
            </w:r>
            <w:r>
              <w:rPr>
                <w:rFonts w:ascii="宋体" w:hAnsi="宋体"/>
                <w:sz w:val="18"/>
                <w:szCs w:val="18"/>
              </w:rPr>
              <w:t>3%甲霜恶霉灵100 m1/667 m</w:t>
            </w:r>
            <w:r>
              <w:rPr>
                <w:rFonts w:hint="eastAsia" w:ascii="宋体" w:hAnsi="宋体"/>
                <w:sz w:val="18"/>
                <w:szCs w:val="18"/>
                <w:vertAlign w:val="superscript"/>
              </w:rPr>
              <w:t>2</w:t>
            </w:r>
          </w:p>
        </w:tc>
        <w:tc>
          <w:tcPr>
            <w:tcW w:w="2292" w:type="dxa"/>
            <w:vAlign w:val="center"/>
          </w:tcPr>
          <w:p w14:paraId="10DC93E4">
            <w:pPr>
              <w:adjustRightInd/>
              <w:spacing w:before="157" w:after="157"/>
              <w:rPr>
                <w:rFonts w:ascii="宋体" w:hAnsi="宋体"/>
                <w:sz w:val="18"/>
                <w:szCs w:val="18"/>
              </w:rPr>
            </w:pPr>
            <w:r>
              <w:rPr>
                <w:rFonts w:ascii="宋体" w:hAnsi="宋体"/>
                <w:sz w:val="18"/>
                <w:szCs w:val="18"/>
              </w:rPr>
              <w:t>灌根</w:t>
            </w:r>
          </w:p>
        </w:tc>
      </w:tr>
      <w:tr w14:paraId="482F9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vAlign w:val="center"/>
          </w:tcPr>
          <w:p w14:paraId="01AC787E">
            <w:pPr>
              <w:adjustRightInd/>
              <w:spacing w:before="157" w:after="157"/>
              <w:rPr>
                <w:rFonts w:ascii="宋体" w:hAnsi="宋体"/>
                <w:sz w:val="18"/>
                <w:szCs w:val="18"/>
              </w:rPr>
            </w:pPr>
            <w:r>
              <w:rPr>
                <w:rFonts w:ascii="宋体" w:hAnsi="宋体"/>
                <w:sz w:val="18"/>
                <w:szCs w:val="18"/>
              </w:rPr>
              <w:t>病毒病</w:t>
            </w:r>
          </w:p>
        </w:tc>
        <w:tc>
          <w:tcPr>
            <w:tcW w:w="1350" w:type="dxa"/>
            <w:vAlign w:val="center"/>
          </w:tcPr>
          <w:p w14:paraId="00864347">
            <w:pPr>
              <w:adjustRightInd/>
              <w:spacing w:before="157" w:after="157"/>
              <w:rPr>
                <w:rFonts w:ascii="宋体" w:hAnsi="宋体"/>
                <w:sz w:val="18"/>
                <w:szCs w:val="18"/>
              </w:rPr>
            </w:pPr>
            <w:r>
              <w:rPr>
                <w:rFonts w:ascii="宋体" w:hAnsi="宋体"/>
                <w:sz w:val="18"/>
                <w:szCs w:val="18"/>
              </w:rPr>
              <w:t>发病初期</w:t>
            </w:r>
          </w:p>
        </w:tc>
        <w:tc>
          <w:tcPr>
            <w:tcW w:w="4380" w:type="dxa"/>
            <w:vAlign w:val="center"/>
          </w:tcPr>
          <w:p w14:paraId="0EDA7365">
            <w:pPr>
              <w:adjustRightInd/>
              <w:spacing w:before="157" w:after="157"/>
              <w:rPr>
                <w:rFonts w:ascii="宋体" w:hAnsi="宋体"/>
                <w:sz w:val="18"/>
                <w:szCs w:val="18"/>
              </w:rPr>
            </w:pPr>
            <w:r>
              <w:rPr>
                <w:rFonts w:ascii="宋体" w:hAnsi="宋体"/>
                <w:sz w:val="18"/>
                <w:szCs w:val="18"/>
              </w:rPr>
              <w:t>6%寡糖·链蛋白500~100 g/667m</w:t>
            </w:r>
            <w:r>
              <w:rPr>
                <w:rFonts w:ascii="宋体" w:hAnsi="宋体"/>
                <w:sz w:val="18"/>
                <w:szCs w:val="18"/>
              </w:rPr>
              <w:br w:type="textWrapping"/>
            </w:r>
            <w:r>
              <w:rPr>
                <w:rFonts w:ascii="宋体" w:hAnsi="宋体"/>
                <w:sz w:val="18"/>
                <w:szCs w:val="18"/>
              </w:rPr>
              <w:t>20%盐酸吗啉呱160~250 g/667 m</w:t>
            </w:r>
            <w:r>
              <w:rPr>
                <w:rFonts w:hint="eastAsia" w:ascii="宋体" w:hAnsi="宋体"/>
                <w:sz w:val="18"/>
                <w:szCs w:val="18"/>
                <w:vertAlign w:val="superscript"/>
              </w:rPr>
              <w:t>2</w:t>
            </w:r>
          </w:p>
        </w:tc>
        <w:tc>
          <w:tcPr>
            <w:tcW w:w="2292" w:type="dxa"/>
            <w:vAlign w:val="center"/>
          </w:tcPr>
          <w:p w14:paraId="652D4609">
            <w:pPr>
              <w:adjustRightInd/>
              <w:spacing w:before="157" w:after="157"/>
              <w:rPr>
                <w:rFonts w:ascii="宋体" w:hAnsi="宋体"/>
                <w:sz w:val="18"/>
                <w:szCs w:val="18"/>
              </w:rPr>
            </w:pPr>
            <w:r>
              <w:rPr>
                <w:rFonts w:ascii="宋体" w:hAnsi="宋体"/>
                <w:sz w:val="18"/>
                <w:szCs w:val="18"/>
              </w:rPr>
              <w:t>喷雾</w:t>
            </w:r>
          </w:p>
        </w:tc>
      </w:tr>
      <w:tr w14:paraId="39E9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vAlign w:val="center"/>
          </w:tcPr>
          <w:p w14:paraId="769C79B0">
            <w:pPr>
              <w:adjustRightInd/>
              <w:spacing w:before="157" w:after="157"/>
              <w:rPr>
                <w:rFonts w:ascii="宋体" w:hAnsi="宋体"/>
                <w:sz w:val="18"/>
                <w:szCs w:val="18"/>
              </w:rPr>
            </w:pPr>
            <w:r>
              <w:rPr>
                <w:rFonts w:ascii="宋体" w:hAnsi="宋体"/>
                <w:sz w:val="18"/>
                <w:szCs w:val="18"/>
              </w:rPr>
              <w:t>疫病</w:t>
            </w:r>
          </w:p>
        </w:tc>
        <w:tc>
          <w:tcPr>
            <w:tcW w:w="1350" w:type="dxa"/>
            <w:vAlign w:val="center"/>
          </w:tcPr>
          <w:p w14:paraId="394E4714">
            <w:pPr>
              <w:adjustRightInd/>
              <w:spacing w:before="157" w:after="157"/>
              <w:rPr>
                <w:rFonts w:ascii="宋体" w:hAnsi="宋体"/>
                <w:sz w:val="18"/>
                <w:szCs w:val="18"/>
              </w:rPr>
            </w:pPr>
            <w:r>
              <w:rPr>
                <w:rFonts w:ascii="宋体" w:hAnsi="宋体"/>
                <w:sz w:val="18"/>
                <w:szCs w:val="18"/>
              </w:rPr>
              <w:t>发病初期</w:t>
            </w:r>
          </w:p>
        </w:tc>
        <w:tc>
          <w:tcPr>
            <w:tcW w:w="4380" w:type="dxa"/>
            <w:vAlign w:val="center"/>
          </w:tcPr>
          <w:p w14:paraId="448A6A5B">
            <w:pPr>
              <w:adjustRightInd/>
              <w:spacing w:before="157" w:after="157"/>
              <w:rPr>
                <w:rFonts w:ascii="宋体" w:hAnsi="宋体"/>
                <w:sz w:val="18"/>
                <w:szCs w:val="18"/>
              </w:rPr>
            </w:pPr>
            <w:r>
              <w:rPr>
                <w:rFonts w:ascii="宋体" w:hAnsi="宋体"/>
                <w:sz w:val="18"/>
                <w:szCs w:val="18"/>
              </w:rPr>
              <w:t>68.75%氟吡菌胺·霜霉威盐酸盐500倍液</w:t>
            </w:r>
            <w:r>
              <w:rPr>
                <w:rFonts w:ascii="宋体" w:hAnsi="宋体"/>
                <w:sz w:val="18"/>
                <w:szCs w:val="18"/>
              </w:rPr>
              <w:br w:type="textWrapping"/>
            </w:r>
            <w:r>
              <w:rPr>
                <w:rFonts w:ascii="宋体" w:hAnsi="宋体"/>
                <w:sz w:val="18"/>
                <w:szCs w:val="18"/>
              </w:rPr>
              <w:t>31%氟咪唑吡乙酮·噁唑菌酮1000倍液</w:t>
            </w:r>
          </w:p>
        </w:tc>
        <w:tc>
          <w:tcPr>
            <w:tcW w:w="2292" w:type="dxa"/>
            <w:vAlign w:val="center"/>
          </w:tcPr>
          <w:p w14:paraId="3F4DF052">
            <w:pPr>
              <w:adjustRightInd/>
              <w:spacing w:before="157" w:after="157"/>
              <w:rPr>
                <w:rFonts w:ascii="宋体" w:hAnsi="宋体"/>
                <w:sz w:val="18"/>
                <w:szCs w:val="18"/>
              </w:rPr>
            </w:pPr>
            <w:r>
              <w:rPr>
                <w:rFonts w:ascii="宋体" w:hAnsi="宋体"/>
                <w:sz w:val="18"/>
                <w:szCs w:val="18"/>
              </w:rPr>
              <w:t>喷雾</w:t>
            </w:r>
          </w:p>
        </w:tc>
      </w:tr>
      <w:tr w14:paraId="5BF2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vAlign w:val="center"/>
          </w:tcPr>
          <w:p w14:paraId="305219D9">
            <w:pPr>
              <w:adjustRightInd/>
              <w:spacing w:before="157" w:after="157"/>
              <w:rPr>
                <w:rFonts w:ascii="宋体" w:hAnsi="宋体"/>
                <w:sz w:val="18"/>
                <w:szCs w:val="18"/>
              </w:rPr>
            </w:pPr>
            <w:r>
              <w:rPr>
                <w:rFonts w:hint="eastAsia" w:ascii="宋体" w:hAnsi="宋体"/>
                <w:sz w:val="18"/>
                <w:szCs w:val="18"/>
              </w:rPr>
              <w:t>锈病</w:t>
            </w:r>
          </w:p>
        </w:tc>
        <w:tc>
          <w:tcPr>
            <w:tcW w:w="1350" w:type="dxa"/>
            <w:vAlign w:val="center"/>
          </w:tcPr>
          <w:p w14:paraId="0F4AD3DB">
            <w:pPr>
              <w:adjustRightInd/>
              <w:spacing w:before="157" w:after="157"/>
              <w:rPr>
                <w:rFonts w:ascii="宋体" w:hAnsi="宋体"/>
                <w:sz w:val="18"/>
                <w:szCs w:val="18"/>
              </w:rPr>
            </w:pPr>
            <w:r>
              <w:rPr>
                <w:rFonts w:ascii="宋体" w:hAnsi="宋体"/>
                <w:sz w:val="18"/>
                <w:szCs w:val="18"/>
              </w:rPr>
              <w:t>发病初期</w:t>
            </w:r>
          </w:p>
        </w:tc>
        <w:tc>
          <w:tcPr>
            <w:tcW w:w="4380" w:type="dxa"/>
            <w:vAlign w:val="center"/>
          </w:tcPr>
          <w:p w14:paraId="3BBD769D">
            <w:pPr>
              <w:adjustRightInd/>
              <w:spacing w:before="157" w:after="157"/>
              <w:rPr>
                <w:rFonts w:ascii="宋体" w:hAnsi="宋体"/>
                <w:sz w:val="18"/>
                <w:szCs w:val="18"/>
              </w:rPr>
            </w:pPr>
            <w:r>
              <w:rPr>
                <w:rFonts w:ascii="宋体" w:hAnsi="宋体"/>
                <w:sz w:val="18"/>
                <w:szCs w:val="18"/>
              </w:rPr>
              <w:t>50%多菌灵可湿性粉剂500倍液</w:t>
            </w:r>
          </w:p>
          <w:p w14:paraId="0FA32DFC">
            <w:pPr>
              <w:adjustRightInd/>
              <w:spacing w:before="157" w:after="157"/>
              <w:rPr>
                <w:rFonts w:ascii="宋体" w:hAnsi="宋体"/>
                <w:sz w:val="18"/>
                <w:szCs w:val="18"/>
              </w:rPr>
            </w:pPr>
            <w:r>
              <w:rPr>
                <w:rFonts w:ascii="宋体" w:hAnsi="宋体"/>
                <w:sz w:val="18"/>
                <w:szCs w:val="18"/>
              </w:rPr>
              <w:t>25%粉锈宁可湿性粉剂2000倍液</w:t>
            </w:r>
          </w:p>
        </w:tc>
        <w:tc>
          <w:tcPr>
            <w:tcW w:w="2292" w:type="dxa"/>
            <w:vAlign w:val="center"/>
          </w:tcPr>
          <w:p w14:paraId="12B950C7">
            <w:pPr>
              <w:adjustRightInd/>
              <w:spacing w:before="157" w:after="157"/>
              <w:rPr>
                <w:rFonts w:ascii="宋体" w:hAnsi="宋体"/>
                <w:sz w:val="18"/>
                <w:szCs w:val="18"/>
              </w:rPr>
            </w:pPr>
            <w:r>
              <w:rPr>
                <w:rFonts w:ascii="宋体" w:hAnsi="宋体"/>
                <w:sz w:val="18"/>
                <w:szCs w:val="18"/>
              </w:rPr>
              <w:t>喷雾</w:t>
            </w:r>
          </w:p>
        </w:tc>
      </w:tr>
      <w:tr w14:paraId="2F87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vAlign w:val="center"/>
          </w:tcPr>
          <w:p w14:paraId="5E8EF202">
            <w:pPr>
              <w:adjustRightInd/>
              <w:spacing w:before="157" w:after="157"/>
              <w:rPr>
                <w:rFonts w:ascii="宋体" w:hAnsi="宋体"/>
                <w:sz w:val="18"/>
                <w:szCs w:val="18"/>
              </w:rPr>
            </w:pPr>
            <w:r>
              <w:rPr>
                <w:rFonts w:ascii="宋体" w:hAnsi="宋体"/>
                <w:sz w:val="18"/>
                <w:szCs w:val="18"/>
              </w:rPr>
              <w:t>蚜虫</w:t>
            </w:r>
          </w:p>
        </w:tc>
        <w:tc>
          <w:tcPr>
            <w:tcW w:w="1350" w:type="dxa"/>
            <w:vAlign w:val="center"/>
          </w:tcPr>
          <w:p w14:paraId="7553679C">
            <w:pPr>
              <w:adjustRightInd/>
              <w:spacing w:before="157" w:after="157"/>
              <w:rPr>
                <w:rFonts w:ascii="宋体" w:hAnsi="宋体"/>
                <w:sz w:val="18"/>
                <w:szCs w:val="18"/>
              </w:rPr>
            </w:pPr>
            <w:r>
              <w:rPr>
                <w:rFonts w:ascii="宋体" w:hAnsi="宋体"/>
                <w:sz w:val="18"/>
                <w:szCs w:val="18"/>
              </w:rPr>
              <w:t>发病初期</w:t>
            </w:r>
          </w:p>
        </w:tc>
        <w:tc>
          <w:tcPr>
            <w:tcW w:w="4380" w:type="dxa"/>
            <w:vAlign w:val="center"/>
          </w:tcPr>
          <w:p w14:paraId="51E54E7C">
            <w:pPr>
              <w:adjustRightInd/>
              <w:spacing w:before="157" w:after="157"/>
              <w:rPr>
                <w:rFonts w:ascii="宋体" w:hAnsi="宋体"/>
                <w:sz w:val="18"/>
                <w:szCs w:val="18"/>
              </w:rPr>
            </w:pPr>
            <w:r>
              <w:rPr>
                <w:rFonts w:ascii="宋体" w:hAnsi="宋体"/>
                <w:sz w:val="18"/>
                <w:szCs w:val="18"/>
              </w:rPr>
              <w:t>22%氟啶虫胺腈悬浮剂4000倍液</w:t>
            </w:r>
            <w:r>
              <w:rPr>
                <w:rFonts w:ascii="宋体" w:hAnsi="宋体"/>
                <w:sz w:val="18"/>
                <w:szCs w:val="18"/>
              </w:rPr>
              <w:br w:type="textWrapping"/>
            </w:r>
            <w:r>
              <w:rPr>
                <w:rFonts w:ascii="宋体" w:hAnsi="宋体"/>
                <w:sz w:val="18"/>
                <w:szCs w:val="18"/>
              </w:rPr>
              <w:t>10%吡虫啉3000倍液</w:t>
            </w:r>
          </w:p>
        </w:tc>
        <w:tc>
          <w:tcPr>
            <w:tcW w:w="2292" w:type="dxa"/>
            <w:vAlign w:val="center"/>
          </w:tcPr>
          <w:p w14:paraId="3440B3DA">
            <w:pPr>
              <w:adjustRightInd/>
              <w:spacing w:before="157" w:after="157"/>
              <w:rPr>
                <w:rFonts w:ascii="宋体" w:hAnsi="宋体"/>
                <w:sz w:val="18"/>
                <w:szCs w:val="18"/>
              </w:rPr>
            </w:pPr>
            <w:r>
              <w:rPr>
                <w:rFonts w:ascii="宋体" w:hAnsi="宋体"/>
                <w:sz w:val="18"/>
                <w:szCs w:val="18"/>
              </w:rPr>
              <w:t>喷雾</w:t>
            </w:r>
          </w:p>
        </w:tc>
      </w:tr>
      <w:tr w14:paraId="6F20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vAlign w:val="center"/>
          </w:tcPr>
          <w:p w14:paraId="19DDD159">
            <w:pPr>
              <w:adjustRightInd/>
              <w:spacing w:before="157" w:after="157"/>
              <w:rPr>
                <w:rFonts w:ascii="宋体" w:hAnsi="宋体"/>
                <w:sz w:val="18"/>
                <w:szCs w:val="18"/>
              </w:rPr>
            </w:pPr>
            <w:r>
              <w:rPr>
                <w:rFonts w:ascii="宋体" w:hAnsi="宋体"/>
                <w:sz w:val="18"/>
                <w:szCs w:val="18"/>
              </w:rPr>
              <w:t>蓟马</w:t>
            </w:r>
          </w:p>
        </w:tc>
        <w:tc>
          <w:tcPr>
            <w:tcW w:w="1350" w:type="dxa"/>
            <w:vAlign w:val="center"/>
          </w:tcPr>
          <w:p w14:paraId="52BCB212">
            <w:pPr>
              <w:adjustRightInd/>
              <w:spacing w:before="157" w:after="157"/>
              <w:rPr>
                <w:rFonts w:ascii="宋体" w:hAnsi="宋体"/>
                <w:sz w:val="18"/>
                <w:szCs w:val="18"/>
              </w:rPr>
            </w:pPr>
            <w:r>
              <w:rPr>
                <w:rFonts w:ascii="宋体" w:hAnsi="宋体"/>
                <w:sz w:val="18"/>
                <w:szCs w:val="18"/>
              </w:rPr>
              <w:t>发病初期</w:t>
            </w:r>
          </w:p>
        </w:tc>
        <w:tc>
          <w:tcPr>
            <w:tcW w:w="4380" w:type="dxa"/>
            <w:vAlign w:val="center"/>
          </w:tcPr>
          <w:p w14:paraId="6544E009">
            <w:pPr>
              <w:adjustRightInd/>
              <w:spacing w:before="157" w:after="157"/>
              <w:rPr>
                <w:rFonts w:ascii="宋体" w:hAnsi="宋体"/>
                <w:sz w:val="18"/>
                <w:szCs w:val="18"/>
              </w:rPr>
            </w:pPr>
            <w:r>
              <w:rPr>
                <w:rFonts w:ascii="宋体" w:hAnsi="宋体"/>
                <w:sz w:val="18"/>
                <w:szCs w:val="18"/>
              </w:rPr>
              <w:t>20%氯虫苯甲酰胺悬浮剂15</w:t>
            </w:r>
            <w:r>
              <w:rPr>
                <w:rFonts w:hint="eastAsia" w:ascii="宋体" w:hAnsi="宋体"/>
                <w:kern w:val="0"/>
                <w:sz w:val="18"/>
                <w:szCs w:val="18"/>
              </w:rPr>
              <w:t>～</w:t>
            </w:r>
            <w:r>
              <w:rPr>
                <w:rFonts w:ascii="宋体" w:hAnsi="宋体"/>
                <w:sz w:val="18"/>
                <w:szCs w:val="18"/>
              </w:rPr>
              <w:t>20 mL/667 m</w:t>
            </w:r>
            <w:r>
              <w:rPr>
                <w:rFonts w:hint="eastAsia" w:ascii="宋体" w:hAnsi="宋体"/>
                <w:sz w:val="18"/>
                <w:szCs w:val="18"/>
                <w:vertAlign w:val="superscript"/>
              </w:rPr>
              <w:t>2</w:t>
            </w:r>
            <w:r>
              <w:rPr>
                <w:rFonts w:ascii="宋体" w:hAnsi="宋体"/>
                <w:sz w:val="18"/>
                <w:szCs w:val="18"/>
              </w:rPr>
              <w:br w:type="textWrapping"/>
            </w:r>
            <w:r>
              <w:rPr>
                <w:rFonts w:ascii="宋体" w:hAnsi="宋体"/>
                <w:sz w:val="18"/>
                <w:szCs w:val="18"/>
              </w:rPr>
              <w:t>10%溴氰虫酰胺40mL/667 m</w:t>
            </w:r>
            <w:r>
              <w:rPr>
                <w:rFonts w:hint="eastAsia" w:ascii="宋体" w:hAnsi="宋体"/>
                <w:sz w:val="18"/>
                <w:szCs w:val="18"/>
                <w:vertAlign w:val="superscript"/>
              </w:rPr>
              <w:t>2</w:t>
            </w:r>
          </w:p>
        </w:tc>
        <w:tc>
          <w:tcPr>
            <w:tcW w:w="2292" w:type="dxa"/>
            <w:vAlign w:val="center"/>
          </w:tcPr>
          <w:p w14:paraId="46E238AD">
            <w:pPr>
              <w:adjustRightInd/>
              <w:spacing w:before="157" w:after="157"/>
              <w:rPr>
                <w:rFonts w:ascii="宋体" w:hAnsi="宋体"/>
                <w:sz w:val="18"/>
                <w:szCs w:val="18"/>
              </w:rPr>
            </w:pPr>
            <w:r>
              <w:rPr>
                <w:rFonts w:ascii="宋体" w:hAnsi="宋体"/>
                <w:sz w:val="18"/>
                <w:szCs w:val="18"/>
              </w:rPr>
              <w:t>喷雾</w:t>
            </w:r>
          </w:p>
        </w:tc>
      </w:tr>
      <w:tr w14:paraId="5962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vAlign w:val="center"/>
          </w:tcPr>
          <w:p w14:paraId="7530BB3F">
            <w:pPr>
              <w:adjustRightInd/>
              <w:spacing w:before="157" w:after="157"/>
              <w:rPr>
                <w:rFonts w:ascii="宋体" w:hAnsi="宋体"/>
                <w:sz w:val="18"/>
                <w:szCs w:val="18"/>
              </w:rPr>
            </w:pPr>
            <w:r>
              <w:rPr>
                <w:rFonts w:ascii="宋体" w:hAnsi="宋体"/>
                <w:sz w:val="18"/>
                <w:szCs w:val="18"/>
              </w:rPr>
              <w:t>白粉虱</w:t>
            </w:r>
          </w:p>
        </w:tc>
        <w:tc>
          <w:tcPr>
            <w:tcW w:w="1350" w:type="dxa"/>
            <w:vAlign w:val="center"/>
          </w:tcPr>
          <w:p w14:paraId="6404CB53">
            <w:pPr>
              <w:adjustRightInd/>
              <w:spacing w:before="157" w:after="157"/>
              <w:rPr>
                <w:rFonts w:ascii="宋体" w:hAnsi="宋体"/>
                <w:sz w:val="18"/>
                <w:szCs w:val="18"/>
              </w:rPr>
            </w:pPr>
            <w:r>
              <w:rPr>
                <w:rFonts w:ascii="宋体" w:hAnsi="宋体"/>
                <w:sz w:val="18"/>
                <w:szCs w:val="18"/>
              </w:rPr>
              <w:t>发病初期</w:t>
            </w:r>
          </w:p>
        </w:tc>
        <w:tc>
          <w:tcPr>
            <w:tcW w:w="4380" w:type="dxa"/>
            <w:vAlign w:val="center"/>
          </w:tcPr>
          <w:p w14:paraId="7CCB767A">
            <w:pPr>
              <w:adjustRightInd/>
              <w:spacing w:before="157" w:after="157"/>
              <w:rPr>
                <w:rFonts w:ascii="宋体" w:hAnsi="宋体"/>
                <w:sz w:val="18"/>
                <w:szCs w:val="18"/>
              </w:rPr>
            </w:pPr>
            <w:r>
              <w:rPr>
                <w:rFonts w:ascii="宋体" w:hAnsi="宋体"/>
                <w:sz w:val="18"/>
                <w:szCs w:val="18"/>
              </w:rPr>
              <w:t>22%氟啶虫胺腈悬浮剂3000倍液</w:t>
            </w:r>
            <w:r>
              <w:rPr>
                <w:rFonts w:ascii="宋体" w:hAnsi="宋体"/>
                <w:sz w:val="18"/>
                <w:szCs w:val="18"/>
              </w:rPr>
              <w:br w:type="textWrapping"/>
            </w:r>
            <w:r>
              <w:rPr>
                <w:rFonts w:ascii="宋体" w:hAnsi="宋体"/>
                <w:sz w:val="18"/>
                <w:szCs w:val="18"/>
              </w:rPr>
              <w:t>25%吡蚜酮2000倍液</w:t>
            </w:r>
          </w:p>
        </w:tc>
        <w:tc>
          <w:tcPr>
            <w:tcW w:w="2292" w:type="dxa"/>
            <w:vAlign w:val="center"/>
          </w:tcPr>
          <w:p w14:paraId="62C890E1">
            <w:pPr>
              <w:adjustRightInd/>
              <w:spacing w:before="157" w:after="157"/>
              <w:rPr>
                <w:rFonts w:ascii="宋体" w:hAnsi="宋体"/>
                <w:sz w:val="18"/>
                <w:szCs w:val="18"/>
              </w:rPr>
            </w:pPr>
            <w:r>
              <w:rPr>
                <w:rFonts w:ascii="宋体" w:hAnsi="宋体"/>
                <w:sz w:val="18"/>
                <w:szCs w:val="18"/>
              </w:rPr>
              <w:t>喷雾</w:t>
            </w:r>
          </w:p>
        </w:tc>
      </w:tr>
      <w:tr w14:paraId="0E0D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4" w:type="dxa"/>
            <w:vAlign w:val="center"/>
          </w:tcPr>
          <w:p w14:paraId="455CAB85">
            <w:pPr>
              <w:adjustRightInd/>
              <w:spacing w:before="157" w:after="157"/>
              <w:rPr>
                <w:rFonts w:ascii="宋体" w:hAnsi="宋体"/>
                <w:sz w:val="18"/>
                <w:szCs w:val="18"/>
              </w:rPr>
            </w:pPr>
            <w:r>
              <w:rPr>
                <w:rFonts w:hint="eastAsia" w:ascii="宋体" w:hAnsi="宋体"/>
                <w:sz w:val="18"/>
                <w:szCs w:val="18"/>
              </w:rPr>
              <w:t>红蜘蛛</w:t>
            </w:r>
          </w:p>
        </w:tc>
        <w:tc>
          <w:tcPr>
            <w:tcW w:w="1350" w:type="dxa"/>
            <w:vAlign w:val="center"/>
          </w:tcPr>
          <w:p w14:paraId="70AA064D">
            <w:pPr>
              <w:adjustRightInd/>
              <w:spacing w:before="157" w:after="157"/>
              <w:rPr>
                <w:rFonts w:ascii="宋体" w:hAnsi="宋体"/>
                <w:sz w:val="18"/>
                <w:szCs w:val="18"/>
              </w:rPr>
            </w:pPr>
            <w:r>
              <w:rPr>
                <w:rFonts w:ascii="宋体" w:hAnsi="宋体"/>
                <w:sz w:val="18"/>
                <w:szCs w:val="18"/>
              </w:rPr>
              <w:t>发病初期</w:t>
            </w:r>
          </w:p>
        </w:tc>
        <w:tc>
          <w:tcPr>
            <w:tcW w:w="4380" w:type="dxa"/>
            <w:vAlign w:val="center"/>
          </w:tcPr>
          <w:p w14:paraId="1753F461">
            <w:pPr>
              <w:widowControl/>
              <w:adjustRightInd/>
              <w:spacing w:before="157" w:after="157"/>
              <w:jc w:val="left"/>
              <w:rPr>
                <w:rFonts w:ascii="宋体" w:hAnsi="宋体"/>
                <w:sz w:val="18"/>
                <w:szCs w:val="18"/>
              </w:rPr>
            </w:pPr>
            <w:r>
              <w:rPr>
                <w:rFonts w:ascii="宋体" w:hAnsi="宋体" w:cs="sans-serif"/>
                <w:color w:val="333333"/>
                <w:kern w:val="0"/>
                <w:sz w:val="18"/>
                <w:szCs w:val="18"/>
                <w:shd w:val="clear" w:color="auto" w:fill="FFFFFF"/>
              </w:rPr>
              <w:t>3</w:t>
            </w:r>
            <w:r>
              <w:rPr>
                <w:rFonts w:ascii="宋体" w:hAnsi="宋体"/>
                <w:sz w:val="18"/>
                <w:szCs w:val="18"/>
              </w:rPr>
              <w:t>000倍液</w:t>
            </w:r>
            <w:r>
              <w:fldChar w:fldCharType="begin"/>
            </w:r>
            <w:r>
              <w:instrText xml:space="preserve"> HYPERLINK "https://baike.baidu.com/item/%E9%98%BF%E7%BB%B4%E8%8F%8C%E7%B4%A0/5017454?fromModule=lemma_inlink" </w:instrText>
            </w:r>
            <w:r>
              <w:fldChar w:fldCharType="separate"/>
            </w:r>
            <w:r>
              <w:rPr>
                <w:rFonts w:ascii="宋体" w:hAnsi="宋体"/>
                <w:sz w:val="18"/>
                <w:szCs w:val="18"/>
              </w:rPr>
              <w:t>阿维菌素</w:t>
            </w:r>
            <w:r>
              <w:rPr>
                <w:rFonts w:ascii="宋体" w:hAnsi="宋体"/>
                <w:sz w:val="18"/>
                <w:szCs w:val="18"/>
              </w:rPr>
              <w:fldChar w:fldCharType="end"/>
            </w:r>
            <w:r>
              <w:rPr>
                <w:rFonts w:hint="eastAsia" w:ascii="宋体" w:hAnsi="宋体"/>
                <w:sz w:val="18"/>
                <w:szCs w:val="18"/>
              </w:rPr>
              <w:t>或</w:t>
            </w:r>
            <w:r>
              <w:rPr>
                <w:rFonts w:ascii="宋体" w:hAnsi="宋体"/>
                <w:sz w:val="18"/>
                <w:szCs w:val="18"/>
              </w:rPr>
              <w:t>阿维乳油</w:t>
            </w:r>
          </w:p>
          <w:p w14:paraId="6CE17BE8">
            <w:pPr>
              <w:widowControl/>
              <w:adjustRightInd/>
              <w:spacing w:before="157" w:after="157"/>
              <w:jc w:val="left"/>
              <w:rPr>
                <w:rFonts w:ascii="宋体" w:hAnsi="宋体"/>
                <w:sz w:val="18"/>
                <w:szCs w:val="18"/>
              </w:rPr>
            </w:pPr>
            <w:r>
              <w:rPr>
                <w:rFonts w:ascii="宋体" w:hAnsi="宋体"/>
                <w:sz w:val="18"/>
                <w:szCs w:val="18"/>
              </w:rPr>
              <w:t>20%</w:t>
            </w:r>
            <w:r>
              <w:fldChar w:fldCharType="begin"/>
            </w:r>
            <w:r>
              <w:instrText xml:space="preserve"> HYPERLINK "https://baike.baidu.com/item/%E4%B8%81%E6%B0%9F%E8%9E%A8%E9%85%AF/10873963?fromModule=lemma_inlink" </w:instrText>
            </w:r>
            <w:r>
              <w:fldChar w:fldCharType="separate"/>
            </w:r>
            <w:r>
              <w:rPr>
                <w:rFonts w:ascii="宋体" w:hAnsi="宋体"/>
                <w:sz w:val="18"/>
                <w:szCs w:val="18"/>
              </w:rPr>
              <w:t>丁氟螨酯</w:t>
            </w:r>
            <w:r>
              <w:rPr>
                <w:rFonts w:ascii="宋体" w:hAnsi="宋体"/>
                <w:sz w:val="18"/>
                <w:szCs w:val="18"/>
              </w:rPr>
              <w:fldChar w:fldCharType="end"/>
            </w:r>
            <w:r>
              <w:rPr>
                <w:rFonts w:ascii="宋体" w:hAnsi="宋体"/>
                <w:sz w:val="18"/>
                <w:szCs w:val="18"/>
              </w:rPr>
              <w:t>悬浮剂1500倍液</w:t>
            </w:r>
          </w:p>
        </w:tc>
        <w:tc>
          <w:tcPr>
            <w:tcW w:w="2292" w:type="dxa"/>
            <w:vAlign w:val="center"/>
          </w:tcPr>
          <w:p w14:paraId="77520F95">
            <w:pPr>
              <w:adjustRightInd/>
              <w:spacing w:before="157" w:after="157"/>
              <w:rPr>
                <w:rFonts w:ascii="宋体" w:hAnsi="宋体"/>
                <w:sz w:val="18"/>
                <w:szCs w:val="18"/>
              </w:rPr>
            </w:pPr>
            <w:r>
              <w:rPr>
                <w:rFonts w:ascii="宋体" w:hAnsi="宋体"/>
                <w:sz w:val="18"/>
                <w:szCs w:val="18"/>
              </w:rPr>
              <w:t>喷雾</w:t>
            </w:r>
          </w:p>
        </w:tc>
      </w:tr>
    </w:tbl>
    <w:p w14:paraId="0B47FA62">
      <w:pPr>
        <w:pStyle w:val="106"/>
        <w:spacing w:before="312" w:after="312"/>
      </w:pPr>
      <w:r>
        <w:rPr>
          <w:rFonts w:hint="eastAsia"/>
        </w:rPr>
        <w:t>采收</w:t>
      </w:r>
    </w:p>
    <w:p w14:paraId="21B6743A">
      <w:pPr>
        <w:pStyle w:val="107"/>
        <w:spacing w:before="156" w:after="156"/>
        <w:rPr>
          <w:rFonts w:ascii="Times New Roman"/>
        </w:rPr>
      </w:pPr>
      <w:r>
        <w:rPr>
          <w:rFonts w:hint="eastAsia" w:ascii="Times New Roman"/>
        </w:rPr>
        <w:t>及时采收</w:t>
      </w:r>
    </w:p>
    <w:p w14:paraId="0B471BE1">
      <w:pPr>
        <w:pStyle w:val="236"/>
        <w:numPr>
          <w:ilvl w:val="0"/>
          <w:numId w:val="0"/>
        </w:numPr>
        <w:spacing w:before="157" w:after="157" w:line="400" w:lineRule="exact"/>
        <w:ind w:firstLine="420" w:firstLineChars="200"/>
        <w:rPr>
          <w:rFonts w:ascii="宋体" w:hAnsi="宋体" w:eastAsia="宋体" w:cstheme="minorEastAsia"/>
        </w:rPr>
      </w:pPr>
      <w:r>
        <w:rPr>
          <w:rFonts w:hint="eastAsia" w:ascii="宋体" w:hAnsi="宋体" w:eastAsia="宋体" w:cstheme="minorEastAsia"/>
        </w:rPr>
        <w:t>根据市场需要和生育期，达到采收标准时及时采收。</w:t>
      </w:r>
    </w:p>
    <w:p w14:paraId="39B8FBA6">
      <w:pPr>
        <w:pStyle w:val="107"/>
        <w:spacing w:before="156" w:after="156"/>
        <w:rPr>
          <w:rFonts w:ascii="Times New Roman"/>
        </w:rPr>
      </w:pPr>
      <w:r>
        <w:rPr>
          <w:rFonts w:hint="eastAsia" w:ascii="Times New Roman"/>
        </w:rPr>
        <w:t>清洁田园</w:t>
      </w:r>
    </w:p>
    <w:p w14:paraId="3EC71530">
      <w:pPr>
        <w:pStyle w:val="236"/>
        <w:numPr>
          <w:ilvl w:val="0"/>
          <w:numId w:val="0"/>
        </w:numPr>
        <w:spacing w:before="157" w:after="157" w:line="400" w:lineRule="exact"/>
        <w:ind w:firstLine="420" w:firstLineChars="200"/>
        <w:rPr>
          <w:rFonts w:ascii="宋体" w:hAnsi="宋体" w:eastAsia="宋体" w:cstheme="minorEastAsia"/>
        </w:rPr>
      </w:pPr>
      <w:r>
        <w:rPr>
          <w:rFonts w:hint="eastAsia" w:ascii="宋体" w:hAnsi="宋体" w:eastAsia="宋体" w:cstheme="minorEastAsia"/>
        </w:rPr>
        <w:t>收获后，及时将病残叶、杂草及农膜清理干净，作无害化处理。</w:t>
      </w:r>
      <w:bookmarkEnd w:id="50"/>
    </w:p>
    <w:bookmarkEnd w:id="26"/>
    <w:p w14:paraId="7096CC47">
      <w:pPr>
        <w:pStyle w:val="58"/>
        <w:ind w:firstLine="0" w:firstLineChars="0"/>
        <w:jc w:val="center"/>
      </w:pPr>
      <w:bookmarkStart w:id="57" w:name="BookMark8"/>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57"/>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Light">
    <w:altName w:val="宋体"/>
    <w:panose1 w:val="00000000000000000000"/>
    <w:charset w:val="86"/>
    <w:family w:val="auto"/>
    <w:pitch w:val="default"/>
    <w:sig w:usb0="00000000" w:usb1="00000000" w:usb2="00000016" w:usb3="00000000" w:csb0="0004000F" w:csb1="00000000"/>
  </w:font>
  <w:font w:name="sans-serif">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5B87E">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87F84">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9AA55">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A899">
    <w:pPr>
      <w:pStyle w:val="54"/>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71F41">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4E3BD">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FA64C">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A69C1">
    <w:pPr>
      <w:pStyle w:val="63"/>
    </w:pPr>
    <w:r>
      <w:fldChar w:fldCharType="begin"/>
    </w:r>
    <w:r>
      <w:instrText xml:space="preserve"> STYLEREF  标准文件_文件编号  \* MERGEFORMAT </w:instrText>
    </w:r>
    <w:r>
      <w:fldChar w:fldCharType="separate"/>
    </w:r>
    <w:r>
      <w:t>DB5104/TXXXX—2026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8089E">
    <w:pPr>
      <w:pStyle w:val="20"/>
      <w:jc w:val="right"/>
      <w:rPr>
        <w:lang w:val="fr-FR"/>
      </w:rPr>
    </w:pPr>
    <w:r>
      <w:fldChar w:fldCharType="begin"/>
    </w:r>
    <w:r>
      <w:instrText xml:space="preserve"> STYLEREF  标准文件_文件编号  \* MERGEFORMAT </w:instrText>
    </w:r>
    <w:r>
      <w:fldChar w:fldCharType="separate"/>
    </w:r>
    <w:r>
      <w:t>DB5104/TXXXX—2026</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97E0FF"/>
    <w:multiLevelType w:val="multilevel"/>
    <w:tmpl w:val="E997E0FF"/>
    <w:lvl w:ilvl="0" w:tentative="0">
      <w:start w:val="1"/>
      <w:numFmt w:val="decimal"/>
      <w:pStyle w:val="235"/>
      <w:suff w:val="nothing"/>
      <w:lvlText w:val="%1　"/>
      <w:lvlJc w:val="left"/>
      <w:pPr>
        <w:tabs>
          <w:tab w:val="left" w:pos="0"/>
        </w:tabs>
        <w:ind w:left="0" w:firstLine="0"/>
      </w:pPr>
      <w:rPr>
        <w:rFonts w:hint="eastAsia" w:ascii="黑体" w:hAnsi="黑体" w:eastAsia="黑体"/>
        <w:b w:val="0"/>
        <w:i w:val="0"/>
        <w:sz w:val="21"/>
        <w:szCs w:val="21"/>
      </w:rPr>
    </w:lvl>
    <w:lvl w:ilvl="1" w:tentative="0">
      <w:start w:val="1"/>
      <w:numFmt w:val="decimal"/>
      <w:pStyle w:val="234"/>
      <w:suff w:val="nothing"/>
      <w:lvlText w:val="%1.%2　"/>
      <w:lvlJc w:val="left"/>
      <w:pPr>
        <w:tabs>
          <w:tab w:val="left" w:pos="0"/>
        </w:tabs>
        <w:ind w:left="0" w:firstLine="0"/>
      </w:pPr>
      <w:rPr>
        <w:rFonts w:hint="eastAsia" w:ascii="黑体" w:hAnsi="黑体" w:eastAsia="黑体" w:cs="Times New Roman"/>
        <w:b w:val="0"/>
        <w:bCs w:val="0"/>
        <w:i w:val="0"/>
        <w:iCs w:val="0"/>
        <w:caps w:val="0"/>
        <w:small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6"/>
      <w:suff w:val="nothing"/>
      <w:lvlText w:val="%1.%2.%3　"/>
      <w:lvlJc w:val="left"/>
      <w:pPr>
        <w:tabs>
          <w:tab w:val="left" w:pos="0"/>
        </w:tabs>
        <w:ind w:left="0" w:firstLine="0"/>
      </w:pPr>
      <w:rPr>
        <w:rFonts w:hint="eastAsia" w:ascii="黑体" w:hAnsi="黑体" w:eastAsia="黑体"/>
        <w:b w:val="0"/>
        <w:i w:val="0"/>
        <w:sz w:val="21"/>
      </w:rPr>
    </w:lvl>
    <w:lvl w:ilvl="3" w:tentative="0">
      <w:start w:val="1"/>
      <w:numFmt w:val="decimal"/>
      <w:pStyle w:val="237"/>
      <w:suff w:val="nothing"/>
      <w:lvlText w:val="%1.%2.%3.%4　"/>
      <w:lvlJc w:val="left"/>
      <w:pPr>
        <w:tabs>
          <w:tab w:val="left" w:pos="0"/>
        </w:tabs>
        <w:ind w:left="0" w:firstLine="0"/>
      </w:pPr>
      <w:rPr>
        <w:rFonts w:hint="eastAsia" w:ascii="黑体" w:hAnsi="黑体" w:eastAsia="黑体"/>
        <w:b w:val="0"/>
        <w:i w:val="0"/>
        <w:sz w:val="21"/>
      </w:rPr>
    </w:lvl>
    <w:lvl w:ilvl="4" w:tentative="0">
      <w:start w:val="1"/>
      <w:numFmt w:val="decimal"/>
      <w:pStyle w:val="238"/>
      <w:suff w:val="nothing"/>
      <w:lvlText w:val="%1.%2.%3.%4.%5　"/>
      <w:lvlJc w:val="left"/>
      <w:pPr>
        <w:tabs>
          <w:tab w:val="left" w:pos="0"/>
        </w:tabs>
        <w:ind w:left="0" w:firstLine="0"/>
      </w:pPr>
      <w:rPr>
        <w:rFonts w:hint="eastAsia" w:ascii="黑体" w:hAnsi="黑体" w:eastAsia="黑体"/>
        <w:b w:val="0"/>
        <w:i w:val="0"/>
        <w:sz w:val="21"/>
      </w:rPr>
    </w:lvl>
    <w:lvl w:ilvl="5" w:tentative="0">
      <w:start w:val="1"/>
      <w:numFmt w:val="decimal"/>
      <w:pStyle w:val="239"/>
      <w:suff w:val="nothing"/>
      <w:lvlText w:val="%1.%2.%3.%4.%5.%6　"/>
      <w:lvlJc w:val="left"/>
      <w:pPr>
        <w:tabs>
          <w:tab w:val="left" w:pos="0"/>
        </w:tabs>
        <w:ind w:left="0" w:firstLine="0"/>
      </w:pPr>
      <w:rPr>
        <w:rFonts w:hint="eastAsia" w:ascii="黑体" w:hAnsi="黑体" w:eastAsia="黑体"/>
        <w:b w:val="0"/>
        <w:i w:val="0"/>
        <w:sz w:val="21"/>
      </w:rPr>
    </w:lvl>
    <w:lvl w:ilvl="6" w:tentative="0">
      <w:start w:val="1"/>
      <w:numFmt w:val="decimal"/>
      <w:suff w:val="nothing"/>
      <w:lvlText w:val="%1%2.%3.%4.%5.%6.%7　"/>
      <w:lvlJc w:val="left"/>
      <w:pPr>
        <w:tabs>
          <w:tab w:val="left" w:pos="0"/>
        </w:tabs>
        <w:ind w:left="0" w:firstLine="0"/>
      </w:pPr>
      <w:rPr>
        <w:rFonts w:hint="eastAsia" w:ascii="黑体" w:hAnsi="黑体" w:eastAsia="黑体"/>
        <w:b w:val="0"/>
        <w:i w:val="0"/>
        <w:sz w:val="21"/>
      </w:rPr>
    </w:lvl>
    <w:lvl w:ilvl="7" w:tentative="0">
      <w:start w:val="1"/>
      <w:numFmt w:val="decimal"/>
      <w:lvlText w:val="%1.%2.%3.%4.%5.%6.%7.%8"/>
      <w:lvlJc w:val="left"/>
      <w:pPr>
        <w:tabs>
          <w:tab w:val="left" w:pos="0"/>
        </w:tabs>
        <w:ind w:left="3969" w:hanging="1418"/>
      </w:pPr>
      <w:rPr>
        <w:rFonts w:hint="eastAsia"/>
      </w:rPr>
    </w:lvl>
    <w:lvl w:ilvl="8" w:tentative="0">
      <w:start w:val="1"/>
      <w:numFmt w:val="decimal"/>
      <w:lvlText w:val="%1.%2.%3.%4.%5.%6.%7.%8.%9"/>
      <w:lvlJc w:val="left"/>
      <w:pPr>
        <w:tabs>
          <w:tab w:val="left" w:pos="0"/>
        </w:tabs>
        <w:ind w:left="4677" w:hanging="1700"/>
      </w:pPr>
      <w:rPr>
        <w:rFonts w:hint="eastAsia"/>
      </w:rPr>
    </w:lvl>
  </w:abstractNum>
  <w:abstractNum w:abstractNumId="1">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 w:numId="33">
    <w:abstractNumId w:val="13"/>
    <w:lvlOverride w:ilvl="0">
      <w:startOverride w:val="1"/>
      <w:lvl w:ilvl="0" w:tentative="1">
        <w:start w:val="1"/>
        <w:numFmt w:val="lowerLetter"/>
        <w:lvlText w:val="%1)"/>
        <w:lvlJc w:val="left"/>
        <w:pPr>
          <w:tabs>
            <w:tab w:val="left" w:pos="851"/>
          </w:tabs>
          <w:ind w:left="851" w:hanging="426"/>
        </w:pPr>
        <w:rPr>
          <w:rFonts w:hint="eastAsia" w:ascii="宋体" w:hAnsi="宋体" w:eastAsia="宋体"/>
          <w:sz w:val="21"/>
        </w:rPr>
      </w:lvl>
    </w:lvlOverride>
    <w:lvlOverride w:ilvl="1">
      <w:startOverride w:val="1"/>
      <w:lvl w:ilvl="1" w:tentative="1">
        <w:start w:val="1"/>
        <w:numFmt w:val="decimal"/>
        <w:lvlText w:val="%2)"/>
        <w:lvlJc w:val="left"/>
        <w:pPr>
          <w:tabs>
            <w:tab w:val="left" w:pos="1276"/>
          </w:tabs>
          <w:ind w:left="1276" w:hanging="425"/>
        </w:pPr>
        <w:rPr>
          <w:rFonts w:hint="eastAsia" w:ascii="宋体" w:hAnsi="宋体" w:eastAsia="宋体"/>
          <w:sz w:val="21"/>
        </w:rPr>
      </w:lvl>
    </w:lvlOverride>
    <w:lvlOverride w:ilvl="2">
      <w:startOverride w:val="1"/>
      <w:lvl w:ilvl="2" w:tentative="1">
        <w:start w:val="1"/>
        <w:numFmt w:val="decimal"/>
        <w:lvlText w:val="(%3)"/>
        <w:lvlJc w:val="left"/>
        <w:pPr>
          <w:ind w:left="1701" w:hanging="425"/>
        </w:pPr>
        <w:rPr>
          <w:rFonts w:hint="eastAsia" w:ascii="宋体" w:hAnsi="宋体" w:eastAsia="宋体"/>
          <w:sz w:val="21"/>
        </w:rPr>
      </w:lvl>
    </w:lvlOverride>
    <w:lvlOverride w:ilvl="3">
      <w:startOverride w:val="1"/>
      <w:lvl w:ilvl="3" w:tentative="1">
        <w:start w:val="1"/>
        <w:numFmt w:val="decimal"/>
        <w:lvlText w:val="%4."/>
        <w:lvlJc w:val="left"/>
        <w:pPr>
          <w:tabs>
            <w:tab w:val="left" w:pos="2100"/>
          </w:tabs>
          <w:ind w:left="2099" w:hanging="419"/>
        </w:pPr>
        <w:rPr>
          <w:rFonts w:hint="eastAsia"/>
        </w:rPr>
      </w:lvl>
    </w:lvlOverride>
    <w:lvlOverride w:ilvl="4">
      <w:startOverride w:val="1"/>
      <w:lvl w:ilvl="4" w:tentative="1">
        <w:start w:val="1"/>
        <w:numFmt w:val="lowerLetter"/>
        <w:lvlText w:val="%5)"/>
        <w:lvlJc w:val="left"/>
        <w:pPr>
          <w:tabs>
            <w:tab w:val="left" w:pos="2520"/>
          </w:tabs>
          <w:ind w:left="2519" w:hanging="419"/>
        </w:pPr>
        <w:rPr>
          <w:rFonts w:hint="eastAsia"/>
        </w:rPr>
      </w:lvl>
    </w:lvlOverride>
    <w:lvlOverride w:ilvl="5">
      <w:startOverride w:val="1"/>
      <w:lvl w:ilvl="5" w:tentative="1">
        <w:start w:val="1"/>
        <w:numFmt w:val="lowerRoman"/>
        <w:lvlText w:val="%6."/>
        <w:lvlJc w:val="right"/>
        <w:pPr>
          <w:tabs>
            <w:tab w:val="left" w:pos="2940"/>
          </w:tabs>
          <w:ind w:left="2939" w:hanging="419"/>
        </w:pPr>
        <w:rPr>
          <w:rFonts w:hint="eastAsia"/>
        </w:rPr>
      </w:lvl>
    </w:lvlOverride>
    <w:lvlOverride w:ilvl="6">
      <w:startOverride w:val="1"/>
      <w:lvl w:ilvl="6" w:tentative="1">
        <w:start w:val="1"/>
        <w:numFmt w:val="decimal"/>
        <w:lvlText w:val="%7."/>
        <w:lvlJc w:val="left"/>
        <w:pPr>
          <w:tabs>
            <w:tab w:val="left" w:pos="3360"/>
          </w:tabs>
          <w:ind w:left="3359" w:hanging="419"/>
        </w:pPr>
        <w:rPr>
          <w:rFonts w:hint="eastAsia"/>
        </w:rPr>
      </w:lvl>
    </w:lvlOverride>
    <w:lvlOverride w:ilvl="7">
      <w:startOverride w:val="1"/>
      <w:lvl w:ilvl="7" w:tentative="1">
        <w:start w:val="1"/>
        <w:numFmt w:val="lowerLetter"/>
        <w:lvlText w:val="%8)"/>
        <w:lvlJc w:val="left"/>
        <w:pPr>
          <w:tabs>
            <w:tab w:val="left" w:pos="3780"/>
          </w:tabs>
          <w:ind w:left="3779" w:hanging="419"/>
        </w:pPr>
        <w:rPr>
          <w:rFonts w:hint="eastAsia"/>
        </w:rPr>
      </w:lvl>
    </w:lvlOverride>
    <w:lvlOverride w:ilvl="8">
      <w:startOverride w:val="1"/>
      <w:lvl w:ilvl="8" w:tentative="1">
        <w:start w:val="1"/>
        <w:numFmt w:val="lowerRoman"/>
        <w:lvlText w:val="%9."/>
        <w:lvlJc w:val="right"/>
        <w:pPr>
          <w:tabs>
            <w:tab w:val="left" w:pos="4200"/>
          </w:tabs>
          <w:ind w:left="4199" w:hanging="419"/>
        </w:pPr>
        <w:rPr>
          <w:rFonts w:hint="eastAsia"/>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5693E"/>
    <w:rsid w:val="0000040A"/>
    <w:rsid w:val="00000A94"/>
    <w:rsid w:val="00001972"/>
    <w:rsid w:val="00001D9A"/>
    <w:rsid w:val="00005BB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27D5"/>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289A"/>
    <w:rsid w:val="00133010"/>
    <w:rsid w:val="001338EE"/>
    <w:rsid w:val="00133AAE"/>
    <w:rsid w:val="00135323"/>
    <w:rsid w:val="001356C4"/>
    <w:rsid w:val="00141114"/>
    <w:rsid w:val="001419D7"/>
    <w:rsid w:val="00142969"/>
    <w:rsid w:val="001446C2"/>
    <w:rsid w:val="00145664"/>
    <w:rsid w:val="001457E7"/>
    <w:rsid w:val="00145D9D"/>
    <w:rsid w:val="00146388"/>
    <w:rsid w:val="001529E5"/>
    <w:rsid w:val="00153C7E"/>
    <w:rsid w:val="0015693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5E55"/>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1AD4"/>
    <w:rsid w:val="002E4D5A"/>
    <w:rsid w:val="002E6326"/>
    <w:rsid w:val="002F1FCF"/>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B6FD0"/>
    <w:rsid w:val="003C010C"/>
    <w:rsid w:val="003C0A6C"/>
    <w:rsid w:val="003C14F8"/>
    <w:rsid w:val="003C5A43"/>
    <w:rsid w:val="003D0519"/>
    <w:rsid w:val="003D0FF6"/>
    <w:rsid w:val="003D262C"/>
    <w:rsid w:val="003D6D61"/>
    <w:rsid w:val="003D79C6"/>
    <w:rsid w:val="003E091D"/>
    <w:rsid w:val="003E1C53"/>
    <w:rsid w:val="003E227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C08"/>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8FA"/>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741F"/>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265C1"/>
    <w:rsid w:val="00630661"/>
    <w:rsid w:val="006317B3"/>
    <w:rsid w:val="00632182"/>
    <w:rsid w:val="006323CD"/>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4ACD"/>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2082"/>
    <w:rsid w:val="00783ECF"/>
    <w:rsid w:val="0078413A"/>
    <w:rsid w:val="0079356C"/>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D1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3765"/>
    <w:rsid w:val="009A42C1"/>
    <w:rsid w:val="009A5429"/>
    <w:rsid w:val="009A72AD"/>
    <w:rsid w:val="009B09E0"/>
    <w:rsid w:val="009B0BC5"/>
    <w:rsid w:val="009B1247"/>
    <w:rsid w:val="009B46F9"/>
    <w:rsid w:val="009B6029"/>
    <w:rsid w:val="009B6971"/>
    <w:rsid w:val="009C27F1"/>
    <w:rsid w:val="009C3152"/>
    <w:rsid w:val="009C4CFA"/>
    <w:rsid w:val="009C5070"/>
    <w:rsid w:val="009C793B"/>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282A"/>
    <w:rsid w:val="00A7581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AB0"/>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60"/>
    <w:rsid w:val="00C24C8D"/>
    <w:rsid w:val="00C25FE2"/>
    <w:rsid w:val="00C26B53"/>
    <w:rsid w:val="00C279B2"/>
    <w:rsid w:val="00C33E50"/>
    <w:rsid w:val="00C34C20"/>
    <w:rsid w:val="00C3557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36C"/>
    <w:rsid w:val="00CC038D"/>
    <w:rsid w:val="00CC08DB"/>
    <w:rsid w:val="00CC39FF"/>
    <w:rsid w:val="00CC3C2F"/>
    <w:rsid w:val="00CC4AC8"/>
    <w:rsid w:val="00CC5233"/>
    <w:rsid w:val="00CC5C0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DB9"/>
    <w:rsid w:val="00CF686F"/>
    <w:rsid w:val="00CF6E60"/>
    <w:rsid w:val="00CF7BCA"/>
    <w:rsid w:val="00D008FD"/>
    <w:rsid w:val="00D02ED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0F0"/>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2930"/>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5EC"/>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30AB"/>
    <w:rsid w:val="00F81141"/>
    <w:rsid w:val="00F833BA"/>
    <w:rsid w:val="00F84FD0"/>
    <w:rsid w:val="00F859A8"/>
    <w:rsid w:val="00F86D87"/>
    <w:rsid w:val="00F9108B"/>
    <w:rsid w:val="00F91349"/>
    <w:rsid w:val="00F93A8A"/>
    <w:rsid w:val="00F95248"/>
    <w:rsid w:val="00F956A9"/>
    <w:rsid w:val="00F963ED"/>
    <w:rsid w:val="00F966CF"/>
    <w:rsid w:val="00F96CAE"/>
    <w:rsid w:val="00F96D37"/>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09D"/>
    <w:rsid w:val="00FE1FBE"/>
    <w:rsid w:val="00FE3901"/>
    <w:rsid w:val="00FE39D3"/>
    <w:rsid w:val="00FE4BCE"/>
    <w:rsid w:val="00FE54AE"/>
    <w:rsid w:val="00FE576A"/>
    <w:rsid w:val="00FE7E79"/>
    <w:rsid w:val="00FF3E7D"/>
    <w:rsid w:val="00FF5B99"/>
    <w:rsid w:val="00FF730C"/>
    <w:rsid w:val="00FF73F4"/>
    <w:rsid w:val="00FF7CE4"/>
    <w:rsid w:val="00FF7E39"/>
    <w:rsid w:val="098B1598"/>
    <w:rsid w:val="251713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2"/>
    <w:semiHidden/>
    <w:unhideWhenUsed/>
    <w:qFormat/>
    <w:uiPriority w:val="99"/>
    <w:rPr>
      <w:rFonts w:ascii="宋体"/>
      <w:sz w:val="18"/>
      <w:szCs w:val="18"/>
    </w:rPr>
  </w:style>
  <w:style w:type="paragraph" w:styleId="14">
    <w:name w:val="index 6"/>
    <w:basedOn w:val="1"/>
    <w:next w:val="1"/>
    <w:qFormat/>
    <w:uiPriority w:val="0"/>
    <w:pPr>
      <w:adjustRightInd/>
      <w:spacing w:line="240" w:lineRule="auto"/>
      <w:ind w:left="1260" w:hanging="210"/>
      <w:jc w:val="left"/>
    </w:pPr>
    <w:rPr>
      <w:sz w:val="20"/>
      <w:szCs w:val="20"/>
    </w:rPr>
  </w:style>
  <w:style w:type="paragraph" w:styleId="15">
    <w:name w:val="Body Text"/>
    <w:basedOn w:val="1"/>
    <w:link w:val="88"/>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7"/>
    <w:semiHidden/>
    <w:unhideWhenUsed/>
    <w:qFormat/>
    <w:uiPriority w:val="99"/>
    <w:rPr>
      <w:sz w:val="18"/>
      <w:szCs w:val="18"/>
    </w:rPr>
  </w:style>
  <w:style w:type="paragraph" w:styleId="19">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5"/>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uiPriority w:val="99"/>
    <w:rPr>
      <w:rFonts w:ascii="宋体" w:hAnsi="Times New Roman" w:eastAsia="宋体"/>
      <w:color w:val="auto"/>
      <w:spacing w:val="0"/>
      <w:w w:val="100"/>
      <w:position w:val="0"/>
      <w:sz w:val="21"/>
      <w:u w:val="none"/>
      <w:vertAlign w:val="baseline"/>
    </w:rPr>
  </w:style>
  <w:style w:type="character" w:styleId="35">
    <w:name w:val="footnote reference"/>
    <w:semiHidden/>
    <w:uiPriority w:val="0"/>
    <w:rPr>
      <w:rFonts w:ascii="宋体" w:hAnsi="宋体" w:eastAsia="宋体" w:cs="Times New Roman"/>
      <w:spacing w:val="0"/>
      <w:sz w:val="18"/>
      <w:vertAlign w:val="superscript"/>
    </w:rPr>
  </w:style>
  <w:style w:type="character" w:customStyle="1" w:styleId="36">
    <w:name w:val="标题 1 Char"/>
    <w:link w:val="2"/>
    <w:qFormat/>
    <w:uiPriority w:val="0"/>
    <w:rPr>
      <w:b/>
      <w:bCs/>
      <w:kern w:val="44"/>
      <w:sz w:val="44"/>
      <w:szCs w:val="44"/>
    </w:rPr>
  </w:style>
  <w:style w:type="character" w:customStyle="1" w:styleId="37">
    <w:name w:val="标题 2 Char"/>
    <w:link w:val="3"/>
    <w:uiPriority w:val="0"/>
    <w:rPr>
      <w:rFonts w:ascii="Arial" w:hAnsi="Arial" w:eastAsia="黑体"/>
      <w:b/>
      <w:bCs/>
      <w:kern w:val="2"/>
      <w:sz w:val="32"/>
      <w:szCs w:val="32"/>
    </w:rPr>
  </w:style>
  <w:style w:type="character" w:customStyle="1" w:styleId="38">
    <w:name w:val="标题 3 Char"/>
    <w:link w:val="4"/>
    <w:uiPriority w:val="0"/>
    <w:rPr>
      <w:b/>
      <w:bCs/>
      <w:kern w:val="2"/>
      <w:sz w:val="32"/>
      <w:szCs w:val="32"/>
    </w:rPr>
  </w:style>
  <w:style w:type="character" w:customStyle="1" w:styleId="39">
    <w:name w:val="标题 4 Char"/>
    <w:link w:val="5"/>
    <w:uiPriority w:val="0"/>
    <w:rPr>
      <w:rFonts w:ascii="Arial" w:hAnsi="Arial" w:eastAsia="黑体"/>
      <w:b/>
      <w:bCs/>
      <w:kern w:val="2"/>
      <w:sz w:val="28"/>
      <w:szCs w:val="28"/>
    </w:rPr>
  </w:style>
  <w:style w:type="character" w:customStyle="1" w:styleId="40">
    <w:name w:val="标题 5 Char"/>
    <w:link w:val="6"/>
    <w:uiPriority w:val="0"/>
    <w:rPr>
      <w:b/>
      <w:bCs/>
      <w:kern w:val="2"/>
      <w:sz w:val="28"/>
      <w:szCs w:val="28"/>
    </w:rPr>
  </w:style>
  <w:style w:type="character" w:customStyle="1" w:styleId="41">
    <w:name w:val="标题 6 Char"/>
    <w:link w:val="7"/>
    <w:uiPriority w:val="0"/>
    <w:rPr>
      <w:rFonts w:ascii="Arial" w:hAnsi="Arial" w:eastAsia="黑体"/>
      <w:b/>
      <w:bCs/>
      <w:kern w:val="2"/>
      <w:sz w:val="24"/>
      <w:szCs w:val="24"/>
    </w:rPr>
  </w:style>
  <w:style w:type="character" w:customStyle="1" w:styleId="42">
    <w:name w:val="标题 7 Char"/>
    <w:link w:val="8"/>
    <w:uiPriority w:val="0"/>
    <w:rPr>
      <w:b/>
      <w:bCs/>
      <w:kern w:val="2"/>
      <w:sz w:val="24"/>
      <w:szCs w:val="24"/>
    </w:rPr>
  </w:style>
  <w:style w:type="character" w:customStyle="1" w:styleId="43">
    <w:name w:val="标题 8 Char"/>
    <w:link w:val="9"/>
    <w:qFormat/>
    <w:uiPriority w:val="0"/>
    <w:rPr>
      <w:rFonts w:ascii="Arial" w:hAnsi="Arial" w:eastAsia="黑体"/>
      <w:kern w:val="2"/>
      <w:sz w:val="24"/>
      <w:szCs w:val="24"/>
    </w:rPr>
  </w:style>
  <w:style w:type="character" w:customStyle="1" w:styleId="44">
    <w:name w:val="标题 9 Char"/>
    <w:link w:val="10"/>
    <w:qFormat/>
    <w:uiPriority w:val="0"/>
    <w:rPr>
      <w:rFonts w:ascii="Arial" w:hAnsi="Arial" w:eastAsia="黑体"/>
      <w:kern w:val="2"/>
      <w:sz w:val="21"/>
      <w:szCs w:val="21"/>
    </w:rPr>
  </w:style>
  <w:style w:type="character" w:customStyle="1" w:styleId="45">
    <w:name w:val="页眉 Char"/>
    <w:link w:val="20"/>
    <w:qFormat/>
    <w:uiPriority w:val="99"/>
    <w:rPr>
      <w:kern w:val="2"/>
      <w:sz w:val="18"/>
      <w:szCs w:val="18"/>
    </w:rPr>
  </w:style>
  <w:style w:type="character" w:customStyle="1" w:styleId="46">
    <w:name w:val="页脚 Char"/>
    <w:link w:val="19"/>
    <w:qFormat/>
    <w:uiPriority w:val="99"/>
    <w:rPr>
      <w:rFonts w:ascii="宋体"/>
      <w:kern w:val="2"/>
      <w:sz w:val="18"/>
      <w:szCs w:val="18"/>
    </w:rPr>
  </w:style>
  <w:style w:type="character" w:customStyle="1" w:styleId="47">
    <w:name w:val="批注框文本 Char"/>
    <w:link w:val="18"/>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5"/>
    <w:uiPriority w:val="0"/>
    <w:rPr>
      <w:kern w:val="2"/>
      <w:sz w:val="21"/>
      <w:szCs w:val="21"/>
    </w:rPr>
  </w:style>
  <w:style w:type="paragraph" w:customStyle="1" w:styleId="89">
    <w:name w:val="标准文件_附录章标题"/>
    <w:next w:val="58"/>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uiPriority w:val="0"/>
    <w:pPr>
      <w:spacing w:before="48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3"/>
    <w:semiHidden/>
    <w:qFormat/>
    <w:uiPriority w:val="0"/>
    <w:rPr>
      <w:rFonts w:ascii="宋体"/>
      <w:kern w:val="2"/>
      <w:sz w:val="18"/>
      <w:szCs w:val="18"/>
    </w:rPr>
  </w:style>
  <w:style w:type="paragraph" w:customStyle="1" w:styleId="102">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文档结构图 Char"/>
    <w:basedOn w:val="30"/>
    <w:link w:val="13"/>
    <w:semiHidden/>
    <w:qFormat/>
    <w:uiPriority w:val="99"/>
    <w:rPr>
      <w:rFonts w:ascii="宋体"/>
      <w:kern w:val="2"/>
      <w:sz w:val="18"/>
      <w:szCs w:val="18"/>
    </w:rPr>
  </w:style>
  <w:style w:type="paragraph" w:customStyle="1" w:styleId="233">
    <w:name w:val="段"/>
    <w:qFormat/>
    <w:uiPriority w:val="0"/>
    <w:pPr>
      <w:tabs>
        <w:tab w:val="center" w:pos="4201"/>
        <w:tab w:val="right" w:leader="dot" w:pos="9298"/>
      </w:tabs>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34">
    <w:name w:val="一级条标题"/>
    <w:next w:val="233"/>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5">
    <w:name w:val="章标题"/>
    <w:next w:val="233"/>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二级条标题"/>
    <w:basedOn w:val="234"/>
    <w:next w:val="233"/>
    <w:qFormat/>
    <w:uiPriority w:val="0"/>
    <w:pPr>
      <w:numPr>
        <w:ilvl w:val="2"/>
      </w:numPr>
      <w:spacing w:beforeLines="0" w:afterLines="0"/>
      <w:outlineLvl w:val="3"/>
    </w:pPr>
  </w:style>
  <w:style w:type="paragraph" w:customStyle="1" w:styleId="237">
    <w:name w:val="三级条标题"/>
    <w:basedOn w:val="236"/>
    <w:next w:val="233"/>
    <w:qFormat/>
    <w:uiPriority w:val="0"/>
    <w:pPr>
      <w:numPr>
        <w:ilvl w:val="3"/>
      </w:numPr>
      <w:outlineLvl w:val="4"/>
    </w:pPr>
  </w:style>
  <w:style w:type="paragraph" w:customStyle="1" w:styleId="238">
    <w:name w:val="四级条标题"/>
    <w:basedOn w:val="237"/>
    <w:next w:val="233"/>
    <w:qFormat/>
    <w:uiPriority w:val="0"/>
    <w:pPr>
      <w:numPr>
        <w:ilvl w:val="4"/>
      </w:numPr>
      <w:outlineLvl w:val="5"/>
    </w:pPr>
  </w:style>
  <w:style w:type="paragraph" w:customStyle="1" w:styleId="239">
    <w:name w:val="五级条标题"/>
    <w:basedOn w:val="238"/>
    <w:next w:val="233"/>
    <w:qFormat/>
    <w:uiPriority w:val="0"/>
    <w:pPr>
      <w:numPr>
        <w:ilvl w:val="5"/>
      </w:num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25E65F3B1F140B08A376520658E9AB0"/>
        <w:style w:val=""/>
        <w:category>
          <w:name w:val="常规"/>
          <w:gallery w:val="placeholder"/>
        </w:category>
        <w:types>
          <w:type w:val="bbPlcHdr"/>
        </w:types>
        <w:behaviors>
          <w:behavior w:val="content"/>
        </w:behaviors>
        <w:description w:val=""/>
        <w:guid w:val="{2F0B267B-2F80-4C9C-9957-CB191EB4A298}"/>
      </w:docPartPr>
      <w:docPartBody>
        <w:p w14:paraId="2D9B7E45">
          <w:pPr>
            <w:pStyle w:val="5"/>
          </w:pPr>
          <w:r>
            <w:rPr>
              <w:rStyle w:val="4"/>
              <w:rFonts w:hint="eastAsia"/>
            </w:rPr>
            <w:t>单击或点击此处输入文字。</w:t>
          </w:r>
        </w:p>
      </w:docPartBody>
    </w:docPart>
    <w:docPart>
      <w:docPartPr>
        <w:name w:val="A9CACF3B45394DC8BC946805C9403B0C"/>
        <w:style w:val=""/>
        <w:category>
          <w:name w:val="常规"/>
          <w:gallery w:val="placeholder"/>
        </w:category>
        <w:types>
          <w:type w:val="bbPlcHdr"/>
        </w:types>
        <w:behaviors>
          <w:behavior w:val="content"/>
        </w:behaviors>
        <w:description w:val=""/>
        <w:guid w:val="{5112316C-8400-49A6-AE3D-56BCEEB06BF7}"/>
      </w:docPartPr>
      <w:docPartBody>
        <w:p w14:paraId="0C8B87B8">
          <w:pPr>
            <w:pStyle w:val="6"/>
          </w:pPr>
          <w:r>
            <w:rPr>
              <w:rStyle w:val="4"/>
              <w:rFonts w:hint="eastAsia"/>
            </w:rPr>
            <w:t>选择一项。</w:t>
          </w:r>
        </w:p>
      </w:docPartBody>
    </w:docPart>
    <w:docPart>
      <w:docPartPr>
        <w:name w:val="6633933ADA554FC1A8E55464F0A880FD"/>
        <w:style w:val=""/>
        <w:category>
          <w:name w:val="常规"/>
          <w:gallery w:val="placeholder"/>
        </w:category>
        <w:types>
          <w:type w:val="bbPlcHdr"/>
        </w:types>
        <w:behaviors>
          <w:behavior w:val="content"/>
        </w:behaviors>
        <w:description w:val=""/>
        <w:guid w:val="{998DC3D1-C7FC-4146-A86B-2EDF785A67A3}"/>
      </w:docPartPr>
      <w:docPartBody>
        <w:p w14:paraId="5C3C8D26">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36AC6"/>
    <w:rsid w:val="00436AC6"/>
    <w:rsid w:val="00487901"/>
    <w:rsid w:val="00733DCF"/>
    <w:rsid w:val="009B5321"/>
    <w:rsid w:val="009D2B45"/>
    <w:rsid w:val="00E84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25E65F3B1F140B08A376520658E9AB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9CACF3B45394DC8BC946805C9403B0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633933ADA554FC1A8E55464F0A880F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6058</Words>
  <Characters>6798</Characters>
  <Lines>55</Lines>
  <Paragraphs>15</Paragraphs>
  <TotalTime>108</TotalTime>
  <ScaleCrop>false</ScaleCrop>
  <LinksUpToDate>false</LinksUpToDate>
  <CharactersWithSpaces>6978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2026-03-16T01:25:00Z</dcterms:created>
  <dc:creator>AutoBVT</dc:creator>
  <dc:description>&lt;config cover="true" show_menu="true" version="1.0.0" doctype="SDKXY"&gt;_x000d_
&lt;/config&gt;</dc:description>
  <cp:lastModifiedBy>Administrator</cp:lastModifiedBy>
  <cp:lastPrinted>2020-08-30T10:00:00Z</cp:lastPrinted>
  <dcterms:modified xsi:type="dcterms:W3CDTF">2026-03-17T02:18:09Z</dcterms:modified>
  <dc:title>地方标准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eyJoZGlkIjoiMDU3YmFhOGY0MTMwNzljNmUyNDRjNjQxMzgwNzNiODIifQ==</vt:lpwstr>
  </property>
  <property fmtid="{D5CDD505-2E9C-101B-9397-08002B2CF9AE}" pid="15" name="KSOProductBuildVer">
    <vt:lpwstr>2052-12.1.0.22529</vt:lpwstr>
  </property>
  <property fmtid="{D5CDD505-2E9C-101B-9397-08002B2CF9AE}" pid="16" name="ICV">
    <vt:lpwstr>45710CFB22D24802BE2CC9798377AD4A_12</vt:lpwstr>
  </property>
</Properties>
</file>