
<file path=[Content_Types].xml><?xml version="1.0" encoding="utf-8"?>
<Types xmlns="http://schemas.openxmlformats.org/package/2006/content-types">
  <Default Extension="xml" ContentType="application/xml"/>
  <Default Extension="bin" ContentType="application/vnd.openxmlformats-officedocument.oleObject"/>
  <Default Extension="tiff" ContentType="image/tiff"/>
  <Default Extension="emf" ContentType="image/x-e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2"/>
        <w:tblW w:w="936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033F62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jc w:val="center"/>
        </w:trPr>
        <w:tc>
          <w:tcPr>
            <w:tcW w:w="509" w:type="dxa"/>
            <w:vAlign w:val="center"/>
          </w:tcPr>
          <w:p w14:paraId="566E50D0">
            <w:pPr>
              <w:pStyle w:val="20"/>
              <w:keepNext w:val="0"/>
              <w:keepLines w:val="0"/>
              <w:framePr w:wrap="notBeside" w:vAnchor="page" w:hAnchor="page" w:x="1372" w:y="568"/>
              <w:suppressLineNumbers w:val="0"/>
              <w:tabs>
                <w:tab w:val="clear" w:pos="4153"/>
                <w:tab w:val="clear" w:pos="8306"/>
              </w:tabs>
              <w:spacing w:before="0" w:beforeAutospacing="0" w:after="0" w:afterAutospacing="0" w:line="240" w:lineRule="auto"/>
              <w:ind w:left="0" w:right="0"/>
              <w:jc w:val="left"/>
              <w:rPr>
                <w:rFonts w:hint="default" w:ascii="黑体" w:hAnsi="黑体" w:eastAsia="黑体"/>
                <w:b/>
                <w:bCs/>
                <w:sz w:val="21"/>
                <w:szCs w:val="21"/>
              </w:rPr>
            </w:pPr>
            <w:r>
              <w:rPr>
                <w:rFonts w:hint="default" w:ascii="Times New Roman" w:hAnsi="Times New Roman" w:eastAsia="黑体"/>
                <w:b/>
                <w:bCs/>
                <w:sz w:val="21"/>
                <w:szCs w:val="21"/>
              </w:rPr>
              <w:t>ICS</w:t>
            </w:r>
            <w:r>
              <w:rPr>
                <w:rFonts w:hint="default" w:ascii="黑体" w:hAnsi="黑体" w:eastAsia="黑体"/>
                <w:b/>
                <w:bCs/>
                <w:sz w:val="21"/>
                <w:szCs w:val="21"/>
              </w:rPr>
              <w:t xml:space="preserve">  </w:t>
            </w:r>
          </w:p>
        </w:tc>
        <w:tc>
          <w:tcPr>
            <w:tcW w:w="8855" w:type="dxa"/>
            <w:vAlign w:val="center"/>
          </w:tcPr>
          <w:p w14:paraId="611F279B">
            <w:pPr>
              <w:pStyle w:val="20"/>
              <w:keepNext w:val="0"/>
              <w:keepLines w:val="0"/>
              <w:framePr w:wrap="notBeside" w:vAnchor="page" w:hAnchor="page" w:x="1372" w:y="568"/>
              <w:suppressLineNumbers w:val="0"/>
              <w:tabs>
                <w:tab w:val="clear" w:pos="4153"/>
                <w:tab w:val="clear" w:pos="8306"/>
              </w:tabs>
              <w:spacing w:before="0" w:beforeAutospacing="0" w:after="0" w:afterAutospacing="0" w:line="240" w:lineRule="auto"/>
              <w:ind w:left="0" w:right="0"/>
              <w:jc w:val="both"/>
              <w:rPr>
                <w:rFonts w:hint="default" w:ascii="黑体" w:hAnsi="黑体" w:eastAsia="黑体"/>
                <w:sz w:val="21"/>
                <w:szCs w:val="21"/>
                <w:lang w:val="en-US" w:eastAsia="zh-CN"/>
              </w:rPr>
            </w:pPr>
            <w:r>
              <w:rPr>
                <w:rFonts w:hint="eastAsia" w:ascii="黑体" w:hAnsi="黑体" w:eastAsia="黑体"/>
                <w:sz w:val="21"/>
                <w:szCs w:val="21"/>
                <w:lang w:val="en-US" w:eastAsia="zh-CN"/>
              </w:rPr>
              <w:t>XX</w:t>
            </w:r>
          </w:p>
        </w:tc>
      </w:tr>
      <w:tr w14:paraId="3F5DBE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jc w:val="center"/>
        </w:trPr>
        <w:tc>
          <w:tcPr>
            <w:tcW w:w="509" w:type="dxa"/>
            <w:vAlign w:val="center"/>
          </w:tcPr>
          <w:p w14:paraId="31B8E92D">
            <w:pPr>
              <w:pStyle w:val="20"/>
              <w:keepNext w:val="0"/>
              <w:keepLines w:val="0"/>
              <w:framePr w:wrap="notBeside" w:vAnchor="page" w:hAnchor="page" w:x="1372" w:y="568"/>
              <w:suppressLineNumbers w:val="0"/>
              <w:tabs>
                <w:tab w:val="clear" w:pos="4153"/>
                <w:tab w:val="clear" w:pos="8306"/>
              </w:tabs>
              <w:spacing w:before="0" w:beforeAutospacing="0" w:after="0" w:afterAutospacing="0" w:line="240" w:lineRule="auto"/>
              <w:ind w:left="0" w:right="0"/>
              <w:jc w:val="left"/>
              <w:rPr>
                <w:rFonts w:hint="default" w:ascii="黑体" w:hAnsi="黑体" w:eastAsia="黑体"/>
                <w:b/>
                <w:bCs/>
                <w:sz w:val="21"/>
                <w:szCs w:val="21"/>
              </w:rPr>
            </w:pPr>
            <w:r>
              <w:rPr>
                <w:rFonts w:hint="default" w:ascii="Times New Roman" w:hAnsi="Times New Roman" w:eastAsia="黑体"/>
                <w:b/>
                <w:bCs/>
                <w:sz w:val="21"/>
                <w:szCs w:val="21"/>
              </w:rPr>
              <w:t xml:space="preserve">CCS </w:t>
            </w:r>
            <w:r>
              <w:rPr>
                <w:rFonts w:hint="default" w:ascii="黑体" w:hAnsi="黑体" w:eastAsia="黑体"/>
                <w:b/>
                <w:bCs/>
                <w:sz w:val="21"/>
                <w:szCs w:val="21"/>
              </w:rPr>
              <w:t xml:space="preserve"> </w:t>
            </w:r>
          </w:p>
        </w:tc>
        <w:tc>
          <w:tcPr>
            <w:tcW w:w="8855" w:type="dxa"/>
            <w:vAlign w:val="center"/>
          </w:tcPr>
          <w:p w14:paraId="1DD63FE4">
            <w:pPr>
              <w:pStyle w:val="20"/>
              <w:keepNext w:val="0"/>
              <w:keepLines w:val="0"/>
              <w:framePr w:wrap="notBeside" w:vAnchor="page" w:hAnchor="page" w:x="1372" w:y="568"/>
              <w:suppressLineNumbers w:val="0"/>
              <w:tabs>
                <w:tab w:val="clear" w:pos="4153"/>
                <w:tab w:val="clear" w:pos="8306"/>
              </w:tabs>
              <w:spacing w:before="0" w:beforeAutospacing="0" w:after="0" w:afterAutospacing="0" w:line="240" w:lineRule="auto"/>
              <w:ind w:left="0" w:right="0"/>
              <w:jc w:val="left"/>
              <w:rPr>
                <w:rFonts w:hint="default" w:ascii="黑体" w:hAnsi="黑体" w:eastAsia="黑体"/>
                <w:sz w:val="21"/>
                <w:szCs w:val="21"/>
                <w:lang w:val="en-US" w:eastAsia="zh-CN"/>
              </w:rPr>
            </w:pPr>
            <w:r>
              <w:rPr>
                <w:rFonts w:hint="eastAsia" w:ascii="黑体" w:hAnsi="黑体" w:eastAsia="黑体"/>
                <w:sz w:val="21"/>
                <w:szCs w:val="21"/>
                <w:lang w:val="en-US" w:eastAsia="zh-CN"/>
              </w:rPr>
              <w:t>XX</w:t>
            </w:r>
          </w:p>
        </w:tc>
      </w:tr>
    </w:tbl>
    <w:tbl>
      <w:tblPr>
        <w:tblStyle w:val="32"/>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2EE63146">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0A6063ED">
            <w:pPr>
              <w:pStyle w:val="55"/>
              <w:keepNext w:val="0"/>
              <w:keepLines w:val="0"/>
              <w:framePr w:w="0" w:hRule="auto" w:wrap="auto" w:vAnchor="margin" w:hAnchor="text" w:xAlign="left" w:yAlign="inline"/>
              <w:widowControl/>
              <w:suppressLineNumbers w:val="0"/>
              <w:spacing w:before="0" w:beforeAutospacing="0" w:after="0" w:afterAutospacing="0"/>
              <w:ind w:left="0" w:right="0"/>
              <w:rPr>
                <w:rFonts w:hint="default" w:ascii="宋体" w:hAnsi="宋体" w:eastAsia="宋体"/>
                <w:sz w:val="28"/>
                <w:szCs w:val="28"/>
                <w:lang w:val="en-US" w:eastAsia="zh-CN"/>
              </w:rPr>
            </w:pPr>
            <w:bookmarkStart w:id="0" w:name="_Hlk26473981"/>
            <w:r>
              <w:rPr>
                <w:rFonts w:hint="default"/>
                <w:szCs w:val="20"/>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rFonts w:hint="default"/>
                <w:sz w:val="21"/>
                <w:szCs w:val="21"/>
              </w:rPr>
              <w:t xml:space="preserve"> </w:t>
            </w:r>
            <w:bookmarkStart w:id="1" w:name="c1"/>
            <w:r>
              <w:rPr>
                <w:rFonts w:hint="default" w:ascii="Times New Roman" w:hAnsi="Times New Roman" w:eastAsia="宋体" w:cs="Times New Roman"/>
                <w:b/>
                <w:w w:val="130"/>
                <w:sz w:val="96"/>
                <w:szCs w:val="20"/>
                <w:lang w:val="en-US" w:eastAsia="zh-CN" w:bidi="ar-SA"/>
              </w:rPr>
              <w:fldChar w:fldCharType="begin">
                <w:ffData>
                  <w:name w:val="c1"/>
                  <w:enabled/>
                  <w:calcOnExit w:val="0"/>
                  <w:textInput>
                    <w:default w:val="5104"/>
                    <w:maxLength w:val="8"/>
                  </w:textInput>
                </w:ffData>
              </w:fldChar>
            </w:r>
            <w:r>
              <w:rPr>
                <w:rFonts w:hint="default" w:ascii="Times New Roman" w:hAnsi="Times New Roman" w:eastAsia="宋体" w:cs="Times New Roman"/>
                <w:b/>
                <w:w w:val="130"/>
                <w:sz w:val="96"/>
                <w:szCs w:val="20"/>
                <w:lang w:val="en-US" w:eastAsia="zh-CN" w:bidi="ar-SA"/>
              </w:rPr>
              <w:instrText xml:space="preserve">FORMTEXT</w:instrText>
            </w:r>
            <w:r>
              <w:rPr>
                <w:rFonts w:hint="default" w:ascii="Times New Roman" w:hAnsi="Times New Roman" w:eastAsia="宋体" w:cs="Times New Roman"/>
                <w:b/>
                <w:w w:val="130"/>
                <w:sz w:val="96"/>
                <w:szCs w:val="20"/>
                <w:lang w:val="en-US" w:eastAsia="zh-CN" w:bidi="ar-SA"/>
              </w:rPr>
              <w:fldChar w:fldCharType="separate"/>
            </w:r>
            <w:r>
              <w:rPr>
                <w:rFonts w:hint="default" w:ascii="Times New Roman" w:hAnsi="Times New Roman" w:eastAsia="宋体" w:cs="Times New Roman"/>
                <w:b/>
                <w:w w:val="130"/>
                <w:sz w:val="96"/>
                <w:szCs w:val="20"/>
                <w:lang w:val="en-US" w:eastAsia="zh-CN" w:bidi="ar-SA"/>
              </w:rPr>
              <w:t>5104</w:t>
            </w:r>
            <w:r>
              <w:rPr>
                <w:rFonts w:hint="default" w:ascii="Times New Roman" w:hAnsi="Times New Roman" w:eastAsia="宋体" w:cs="Times New Roman"/>
                <w:b/>
                <w:w w:val="130"/>
                <w:sz w:val="96"/>
                <w:szCs w:val="20"/>
                <w:lang w:val="en-US" w:eastAsia="zh-CN" w:bidi="ar-SA"/>
              </w:rPr>
              <w:fldChar w:fldCharType="end"/>
            </w:r>
            <w:bookmarkEnd w:id="1"/>
          </w:p>
        </w:tc>
      </w:tr>
    </w:tbl>
    <w:p w14:paraId="4FFD0A6B">
      <w:pPr>
        <w:pStyle w:val="56"/>
        <w:framePr w:w="9639" w:h="624" w:hRule="exact" w:hSpace="181" w:vSpace="181" w:wrap="around" w:hAnchor="page" w:x="1305" w:y="2269"/>
        <w:rPr>
          <w:rFonts w:ascii="黑体" w:hAnsi="黑体" w:eastAsia="黑体"/>
          <w:b w:val="0"/>
          <w:bCs w:val="0"/>
          <w:w w:val="100"/>
          <w:sz w:val="48"/>
          <w:szCs w:val="48"/>
        </w:rPr>
      </w:pPr>
      <w:bookmarkStart w:id="2" w:name="c2"/>
      <w:r>
        <w:rPr>
          <w:rFonts w:hint="eastAsia" w:ascii="黑体" w:hAnsi="Times New Roman" w:eastAsia="黑体" w:cs="Times New Roman"/>
          <w:b w:val="0"/>
          <w:bCs/>
          <w:w w:val="100"/>
          <w:sz w:val="48"/>
          <w:lang w:val="en-US" w:eastAsia="zh-CN" w:bidi="ar-SA"/>
        </w:rPr>
        <w:fldChar w:fldCharType="begin">
          <w:ffData>
            <w:name w:val="c2"/>
            <w:enabled/>
            <w:calcOnExit w:val="0"/>
            <w:textInput>
              <w:default w:val="四川省（攀枝花市）"/>
            </w:textInput>
          </w:ffData>
        </w:fldChar>
      </w:r>
      <w:r>
        <w:rPr>
          <w:rFonts w:hint="eastAsia" w:ascii="黑体" w:hAnsi="Times New Roman" w:eastAsia="黑体" w:cs="Times New Roman"/>
          <w:b w:val="0"/>
          <w:bCs/>
          <w:w w:val="100"/>
          <w:sz w:val="48"/>
          <w:lang w:val="en-US" w:eastAsia="zh-CN" w:bidi="ar-SA"/>
        </w:rPr>
        <w:instrText xml:space="preserve">FORMTEXT</w:instrText>
      </w:r>
      <w:r>
        <w:rPr>
          <w:rFonts w:hint="eastAsia" w:ascii="黑体" w:hAnsi="Times New Roman" w:eastAsia="黑体" w:cs="Times New Roman"/>
          <w:b w:val="0"/>
          <w:bCs/>
          <w:w w:val="100"/>
          <w:sz w:val="48"/>
          <w:lang w:val="en-US" w:eastAsia="zh-CN" w:bidi="ar-SA"/>
        </w:rPr>
        <w:fldChar w:fldCharType="separate"/>
      </w:r>
      <w:r>
        <w:rPr>
          <w:rFonts w:hint="eastAsia" w:ascii="黑体" w:hAnsi="Times New Roman" w:eastAsia="黑体" w:cs="Times New Roman"/>
          <w:b w:val="0"/>
          <w:bCs/>
          <w:w w:val="100"/>
          <w:sz w:val="48"/>
          <w:lang w:val="en-US" w:eastAsia="zh-CN" w:bidi="ar-SA"/>
        </w:rPr>
        <w:t>四川省（攀枝花市）</w:t>
      </w:r>
      <w:r>
        <w:rPr>
          <w:rFonts w:hint="eastAsia" w:ascii="黑体" w:hAnsi="Times New Roman" w:eastAsia="黑体" w:cs="Times New Roman"/>
          <w:b w:val="0"/>
          <w:bCs/>
          <w:w w:val="100"/>
          <w:sz w:val="48"/>
          <w:lang w:val="en-US" w:eastAsia="zh-CN" w:bidi="ar-SA"/>
        </w:rPr>
        <w:fldChar w:fldCharType="end"/>
      </w:r>
      <w:bookmarkEnd w:id="2"/>
      <w:r>
        <w:rPr>
          <w:rFonts w:hint="eastAsia" w:ascii="黑体" w:hAnsi="黑体" w:eastAsia="黑体"/>
          <w:b w:val="0"/>
          <w:bCs w:val="0"/>
          <w:w w:val="100"/>
          <w:sz w:val="48"/>
          <w:szCs w:val="48"/>
        </w:rPr>
        <w:t>地方标准</w:t>
      </w:r>
    </w:p>
    <w:bookmarkEnd w:id="0"/>
    <w:p w14:paraId="3985895B">
      <w:pPr>
        <w:pStyle w:val="201"/>
        <w:rPr>
          <w:lang w:val="fr-FR"/>
        </w:rPr>
      </w:pPr>
      <w:r>
        <w:rPr>
          <w:lang w:val="fr-FR"/>
        </w:rPr>
        <w:t>DB</w:t>
      </w:r>
      <w:bookmarkStart w:id="3" w:name="文字1"/>
      <w:r>
        <w:rPr>
          <w:rFonts w:ascii="黑体" w:hAnsi="Times New Roman" w:eastAsia="黑体" w:cs="Times New Roman"/>
          <w:bCs/>
          <w:sz w:val="28"/>
          <w:szCs w:val="28"/>
          <w:lang w:val="fr-FR" w:eastAsia="zh-CN" w:bidi="ar-SA"/>
        </w:rPr>
        <w:fldChar w:fldCharType="begin">
          <w:ffData>
            <w:name w:val="文字1"/>
            <w:enabled/>
            <w:calcOnExit w:val="0"/>
            <w:textInput>
              <w:default w:val="5104/T"/>
            </w:textInput>
          </w:ffData>
        </w:fldChar>
      </w:r>
      <w:r>
        <w:rPr>
          <w:rFonts w:ascii="黑体" w:hAnsi="Times New Roman" w:eastAsia="黑体" w:cs="Times New Roman"/>
          <w:bCs/>
          <w:sz w:val="28"/>
          <w:szCs w:val="28"/>
          <w:lang w:val="fr-FR" w:eastAsia="zh-CN" w:bidi="ar-SA"/>
        </w:rPr>
        <w:instrText xml:space="preserve">FORMTEXT</w:instrText>
      </w:r>
      <w:r>
        <w:rPr>
          <w:rFonts w:ascii="黑体" w:hAnsi="Times New Roman" w:eastAsia="黑体" w:cs="Times New Roman"/>
          <w:bCs/>
          <w:sz w:val="28"/>
          <w:szCs w:val="28"/>
          <w:lang w:val="fr-FR" w:eastAsia="zh-CN" w:bidi="ar-SA"/>
        </w:rPr>
        <w:fldChar w:fldCharType="separate"/>
      </w:r>
      <w:r>
        <w:rPr>
          <w:rFonts w:ascii="黑体" w:hAnsi="Times New Roman" w:eastAsia="黑体" w:cs="Times New Roman"/>
          <w:bCs/>
          <w:sz w:val="28"/>
          <w:szCs w:val="28"/>
          <w:lang w:val="fr-FR" w:eastAsia="zh-CN" w:bidi="ar-SA"/>
        </w:rPr>
        <w:t>5104/T</w:t>
      </w:r>
      <w:r>
        <w:rPr>
          <w:rFonts w:ascii="黑体" w:hAnsi="Times New Roman" w:eastAsia="黑体" w:cs="Times New Roman"/>
          <w:bCs/>
          <w:sz w:val="28"/>
          <w:szCs w:val="28"/>
          <w:lang w:val="fr-FR" w:eastAsia="zh-CN" w:bidi="ar-SA"/>
        </w:rPr>
        <w:fldChar w:fldCharType="end"/>
      </w:r>
      <w:bookmarkEnd w:id="3"/>
      <w:r>
        <w:rPr>
          <w:lang w:val="fr-FR"/>
        </w:rPr>
        <w:t xml:space="preserve"> </w:t>
      </w:r>
      <w:bookmarkStart w:id="4" w:name="NSTD_CODE_F"/>
      <w:r>
        <w:rPr>
          <w:rFonts w:ascii="黑体" w:hAnsi="Times New Roman" w:eastAsia="黑体" w:cs="Times New Roman"/>
          <w:bCs/>
          <w:sz w:val="28"/>
          <w:szCs w:val="28"/>
          <w:lang w:val="fr-FR" w:eastAsia="zh-CN" w:bidi="ar-SA"/>
        </w:rPr>
        <w:fldChar w:fldCharType="begin">
          <w:ffData>
            <w:name w:val="NSTD_CODE_F"/>
            <w:enabled/>
            <w:calcOnExit w:val="0"/>
            <w:textInput>
              <w:default w:val="XXXX"/>
            </w:textInput>
          </w:ffData>
        </w:fldChar>
      </w:r>
      <w:r>
        <w:rPr>
          <w:rFonts w:ascii="黑体" w:hAnsi="Times New Roman" w:eastAsia="黑体" w:cs="Times New Roman"/>
          <w:bCs/>
          <w:sz w:val="28"/>
          <w:szCs w:val="28"/>
          <w:lang w:val="fr-FR" w:eastAsia="zh-CN" w:bidi="ar-SA"/>
        </w:rPr>
        <w:instrText xml:space="preserve">FORMTEXT</w:instrText>
      </w:r>
      <w:r>
        <w:rPr>
          <w:rFonts w:ascii="黑体" w:hAnsi="Times New Roman" w:eastAsia="黑体" w:cs="Times New Roman"/>
          <w:bCs/>
          <w:sz w:val="28"/>
          <w:szCs w:val="28"/>
          <w:lang w:val="fr-FR" w:eastAsia="zh-CN" w:bidi="ar-SA"/>
        </w:rPr>
        <w:fldChar w:fldCharType="separate"/>
      </w:r>
      <w:r>
        <w:rPr>
          <w:rFonts w:ascii="黑体" w:hAnsi="Times New Roman" w:eastAsia="黑体" w:cs="Times New Roman"/>
          <w:bCs/>
          <w:sz w:val="28"/>
          <w:szCs w:val="28"/>
          <w:lang w:val="fr-FR" w:eastAsia="zh-CN" w:bidi="ar-SA"/>
        </w:rPr>
        <w:t>XXXX</w:t>
      </w:r>
      <w:r>
        <w:rPr>
          <w:rFonts w:ascii="黑体" w:hAnsi="Times New Roman" w:eastAsia="黑体" w:cs="Times New Roman"/>
          <w:bCs/>
          <w:sz w:val="28"/>
          <w:szCs w:val="28"/>
          <w:lang w:val="fr-FR" w:eastAsia="zh-CN" w:bidi="ar-SA"/>
        </w:rPr>
        <w:fldChar w:fldCharType="end"/>
      </w:r>
      <w:bookmarkEnd w:id="4"/>
      <w:r>
        <w:rPr>
          <w:rFonts w:hAnsi="黑体"/>
          <w:lang w:val="fr-FR"/>
        </w:rPr>
        <w:t>—</w:t>
      </w:r>
      <w:bookmarkStart w:id="5" w:name="NSTD_CODE_B"/>
      <w:r>
        <w:rPr>
          <w:rFonts w:ascii="黑体" w:hAnsi="Times New Roman" w:eastAsia="黑体" w:cs="Times New Roman"/>
          <w:bCs/>
          <w:sz w:val="28"/>
          <w:szCs w:val="28"/>
          <w:lang w:val="fr-FR" w:eastAsia="zh-CN" w:bidi="ar-SA"/>
        </w:rPr>
        <w:fldChar w:fldCharType="begin">
          <w:ffData>
            <w:name w:val="NSTD_CODE_B"/>
            <w:enabled/>
            <w:calcOnExit w:val="0"/>
            <w:textInput>
              <w:default w:val="2025"/>
            </w:textInput>
          </w:ffData>
        </w:fldChar>
      </w:r>
      <w:r>
        <w:rPr>
          <w:rFonts w:ascii="黑体" w:hAnsi="Times New Roman" w:eastAsia="黑体" w:cs="Times New Roman"/>
          <w:bCs/>
          <w:sz w:val="28"/>
          <w:szCs w:val="28"/>
          <w:lang w:val="fr-FR" w:eastAsia="zh-CN" w:bidi="ar-SA"/>
        </w:rPr>
        <w:instrText xml:space="preserve">FORMTEXT</w:instrText>
      </w:r>
      <w:r>
        <w:rPr>
          <w:rFonts w:ascii="黑体" w:hAnsi="Times New Roman" w:eastAsia="黑体" w:cs="Times New Roman"/>
          <w:bCs/>
          <w:sz w:val="28"/>
          <w:szCs w:val="28"/>
          <w:lang w:val="fr-FR" w:eastAsia="zh-CN" w:bidi="ar-SA"/>
        </w:rPr>
        <w:fldChar w:fldCharType="separate"/>
      </w:r>
      <w:r>
        <w:rPr>
          <w:rFonts w:ascii="黑体" w:hAnsi="Times New Roman" w:eastAsia="黑体" w:cs="Times New Roman"/>
          <w:bCs/>
          <w:sz w:val="28"/>
          <w:szCs w:val="28"/>
          <w:lang w:val="fr-FR" w:eastAsia="zh-CN" w:bidi="ar-SA"/>
        </w:rPr>
        <w:t>2025</w:t>
      </w:r>
      <w:r>
        <w:rPr>
          <w:rFonts w:ascii="黑体" w:hAnsi="Times New Roman" w:eastAsia="黑体" w:cs="Times New Roman"/>
          <w:bCs/>
          <w:sz w:val="28"/>
          <w:szCs w:val="28"/>
          <w:lang w:val="fr-FR" w:eastAsia="zh-CN" w:bidi="ar-SA"/>
        </w:rPr>
        <w:fldChar w:fldCharType="end"/>
      </w:r>
      <w:bookmarkEnd w:id="5"/>
    </w:p>
    <w:p w14:paraId="52F343C5">
      <w:pPr>
        <w:pStyle w:val="202"/>
        <w:rPr>
          <w:rFonts w:hAnsi="黑体"/>
        </w:rPr>
      </w:pPr>
    </w:p>
    <w:p w14:paraId="597BC2FE">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60288"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60288;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7BF46FB9">
      <w:pPr>
        <w:pStyle w:val="56"/>
        <w:framePr w:w="9639" w:h="6976" w:hRule="exact" w:hSpace="0" w:vSpace="0" w:wrap="around" w:hAnchor="page" w:y="6408"/>
        <w:jc w:val="center"/>
        <w:rPr>
          <w:rFonts w:ascii="黑体" w:hAnsi="黑体" w:eastAsia="黑体"/>
          <w:b w:val="0"/>
          <w:bCs w:val="0"/>
          <w:w w:val="100"/>
        </w:rPr>
      </w:pPr>
    </w:p>
    <w:p w14:paraId="6B6F0A29">
      <w:pPr>
        <w:pStyle w:val="203"/>
        <w:framePr w:h="6974" w:hRule="exact" w:wrap="around" w:x="1419" w:anchorLock="1"/>
      </w:pPr>
      <w:bookmarkStart w:id="6" w:name="CSTD_NAME"/>
      <w:bookmarkStart w:id="7" w:name="_Hlk180485181"/>
      <w:r>
        <w:rPr>
          <w:rFonts w:ascii="黑体" w:hAnsi="黑体" w:eastAsia="黑体" w:cs="Times New Roman"/>
          <w:bCs/>
          <w:sz w:val="52"/>
          <w:lang w:val="en-US" w:eastAsia="zh-CN" w:bidi="ar-SA"/>
        </w:rPr>
        <w:fldChar w:fldCharType="begin">
          <w:ffData>
            <w:name w:val="CSTD_NAME"/>
            <w:enabled/>
            <w:calcOnExit w:val="0"/>
            <w:textInput>
              <w:default w:val="康养创富联合体统计监测指标体系"/>
            </w:textInput>
          </w:ffData>
        </w:fldChar>
      </w:r>
      <w:r>
        <w:rPr>
          <w:rFonts w:ascii="黑体" w:hAnsi="黑体" w:eastAsia="黑体" w:cs="Times New Roman"/>
          <w:bCs/>
          <w:sz w:val="52"/>
          <w:lang w:val="en-US" w:eastAsia="zh-CN" w:bidi="ar-SA"/>
        </w:rPr>
        <w:instrText xml:space="preserve">FORMTEXT</w:instrText>
      </w:r>
      <w:r>
        <w:rPr>
          <w:rFonts w:ascii="黑体" w:hAnsi="黑体" w:eastAsia="黑体" w:cs="Times New Roman"/>
          <w:bCs/>
          <w:sz w:val="52"/>
          <w:lang w:val="en-US" w:eastAsia="zh-CN" w:bidi="ar-SA"/>
        </w:rPr>
        <w:fldChar w:fldCharType="separate"/>
      </w:r>
      <w:r>
        <w:rPr>
          <w:rFonts w:ascii="黑体" w:hAnsi="黑体" w:eastAsia="黑体" w:cs="Times New Roman"/>
          <w:bCs/>
          <w:sz w:val="52"/>
          <w:lang w:val="en-US" w:eastAsia="zh-CN" w:bidi="ar-SA"/>
        </w:rPr>
        <w:t>康养创富联合体统计监测指标体系</w:t>
      </w:r>
      <w:r>
        <w:rPr>
          <w:rFonts w:ascii="黑体" w:hAnsi="黑体" w:eastAsia="黑体" w:cs="Times New Roman"/>
          <w:bCs/>
          <w:sz w:val="52"/>
          <w:lang w:val="en-US" w:eastAsia="zh-CN" w:bidi="ar-SA"/>
        </w:rPr>
        <w:fldChar w:fldCharType="end"/>
      </w:r>
      <w:bookmarkEnd w:id="6"/>
    </w:p>
    <w:p w14:paraId="1DE5ADC6">
      <w:pPr>
        <w:framePr w:w="9639" w:h="6974" w:hRule="exact" w:wrap="around" w:vAnchor="page" w:hAnchor="page" w:x="1419" w:y="6408" w:anchorLock="1"/>
        <w:spacing w:line="760" w:lineRule="exact"/>
        <w:ind w:left="-1418"/>
      </w:pPr>
    </w:p>
    <w:p w14:paraId="0F48478B">
      <w:pPr>
        <w:pStyle w:val="131"/>
        <w:framePr w:w="9639" w:h="6974" w:hRule="exact" w:wrap="around" w:vAnchor="page" w:hAnchor="page" w:x="1419" w:y="6408" w:anchorLock="1"/>
        <w:textAlignment w:val="bottom"/>
        <w:rPr>
          <w:rFonts w:hint="default" w:eastAsia="黑体"/>
          <w:b/>
          <w:bCs/>
          <w:szCs w:val="28"/>
          <w:lang w:val="en-US" w:eastAsia="zh-CN"/>
        </w:rPr>
      </w:pPr>
      <w:r>
        <w:rPr>
          <w:rFonts w:hint="eastAsia" w:eastAsia="黑体"/>
          <w:b/>
          <w:bCs/>
          <w:szCs w:val="28"/>
          <w:lang w:val="en-US" w:eastAsia="zh-CN"/>
        </w:rPr>
        <w:t>xxxxx</w:t>
      </w:r>
    </w:p>
    <w:p w14:paraId="62ED6554">
      <w:pPr>
        <w:pStyle w:val="131"/>
        <w:framePr w:w="9639" w:h="6974" w:hRule="exact" w:wrap="around" w:vAnchor="page" w:hAnchor="page" w:x="1419" w:y="6408" w:anchorLock="1"/>
        <w:spacing w:before="440" w:after="160"/>
        <w:textAlignment w:val="bottom"/>
        <w:rPr>
          <w:sz w:val="24"/>
          <w:szCs w:val="28"/>
        </w:rPr>
      </w:pPr>
    </w:p>
    <w:p w14:paraId="48552C72">
      <w:pPr>
        <w:pStyle w:val="131"/>
        <w:framePr w:w="9639" w:h="6974" w:hRule="exact" w:wrap="around" w:vAnchor="page" w:hAnchor="page" w:x="1419" w:y="6408" w:anchorLock="1"/>
        <w:spacing w:before="180" w:line="240" w:lineRule="atLeast"/>
        <w:textAlignment w:val="bottom"/>
        <w:rPr>
          <w:sz w:val="21"/>
          <w:szCs w:val="28"/>
        </w:rPr>
      </w:pPr>
      <w:bookmarkStart w:id="8" w:name="CMPLSH_DATE"/>
      <w:r>
        <w:rPr>
          <w:rFonts w:ascii="Times New Roman" w:hAnsi="Times New Roman" w:eastAsia="宋体" w:cs="Times New Roman"/>
          <w:sz w:val="21"/>
          <w:szCs w:val="28"/>
          <w:lang w:val="en-US" w:eastAsia="zh-CN" w:bidi="ar-SA"/>
        </w:rPr>
        <w:fldChar w:fldCharType="begin">
          <w:ffData>
            <w:name w:val="CMPLSH_DATE"/>
            <w:enabled/>
            <w:calcOnExit w:val="0"/>
            <w:textInput>
              <w:default w:val="（草案）"/>
            </w:textInput>
          </w:ffData>
        </w:fldChar>
      </w:r>
      <w:r>
        <w:rPr>
          <w:rFonts w:ascii="Times New Roman" w:hAnsi="Times New Roman" w:eastAsia="宋体" w:cs="Times New Roman"/>
          <w:sz w:val="21"/>
          <w:szCs w:val="28"/>
          <w:lang w:val="en-US" w:eastAsia="zh-CN" w:bidi="ar-SA"/>
        </w:rPr>
        <w:instrText xml:space="preserve">FORMTEXT</w:instrText>
      </w:r>
      <w:r>
        <w:rPr>
          <w:rFonts w:ascii="Times New Roman" w:hAnsi="Times New Roman" w:eastAsia="宋体" w:cs="Times New Roman"/>
          <w:sz w:val="21"/>
          <w:szCs w:val="28"/>
          <w:lang w:val="en-US" w:eastAsia="zh-CN" w:bidi="ar-SA"/>
        </w:rPr>
        <w:fldChar w:fldCharType="separate"/>
      </w:r>
      <w:r>
        <w:rPr>
          <w:rFonts w:ascii="Times New Roman" w:hAnsi="Times New Roman" w:eastAsia="宋体" w:cs="Times New Roman"/>
          <w:sz w:val="21"/>
          <w:szCs w:val="28"/>
          <w:lang w:val="en-US" w:eastAsia="zh-CN" w:bidi="ar-SA"/>
        </w:rPr>
        <w:t>（草案）</w:t>
      </w:r>
      <w:r>
        <w:rPr>
          <w:rFonts w:ascii="Times New Roman" w:hAnsi="Times New Roman" w:eastAsia="宋体" w:cs="Times New Roman"/>
          <w:sz w:val="21"/>
          <w:szCs w:val="28"/>
          <w:lang w:val="en-US" w:eastAsia="zh-CN" w:bidi="ar-SA"/>
        </w:rPr>
        <w:fldChar w:fldCharType="end"/>
      </w:r>
      <w:bookmarkEnd w:id="8"/>
    </w:p>
    <w:bookmarkEnd w:id="7"/>
    <w:p w14:paraId="0696DE98">
      <w:pPr>
        <w:pStyle w:val="199"/>
        <w:framePr w:wrap="around" w:y="14176"/>
      </w:pPr>
      <w:bookmarkStart w:id="9" w:name="PLSH_DATE_Y"/>
      <w:r>
        <w:rPr>
          <w:rFonts w:ascii="黑体" w:hAnsi="Times New Roman" w:eastAsia="黑体" w:cs="Times New Roman"/>
          <w:sz w:val="28"/>
          <w:lang w:val="en-US" w:eastAsia="zh-CN" w:bidi="ar-SA"/>
        </w:rPr>
        <w:fldChar w:fldCharType="begin">
          <w:ffData>
            <w:name w:val="PLSH_DATE_Y"/>
            <w:enabled/>
            <w:calcOnExit w:val="0"/>
            <w:textInput>
              <w:default w:val="2025"/>
              <w:maxLength w:val="4"/>
            </w:textInput>
          </w:ffData>
        </w:fldChar>
      </w:r>
      <w:r>
        <w:rPr>
          <w:rFonts w:ascii="黑体" w:hAnsi="Times New Roman" w:eastAsia="黑体" w:cs="Times New Roman"/>
          <w:sz w:val="28"/>
          <w:lang w:val="en-US" w:eastAsia="zh-CN" w:bidi="ar-SA"/>
        </w:rPr>
        <w:instrText xml:space="preserve">FORMTEXT</w:instrText>
      </w:r>
      <w:r>
        <w:rPr>
          <w:rFonts w:ascii="黑体" w:hAnsi="Times New Roman" w:eastAsia="黑体" w:cs="Times New Roman"/>
          <w:sz w:val="28"/>
          <w:lang w:val="en-US" w:eastAsia="zh-CN" w:bidi="ar-SA"/>
        </w:rPr>
        <w:fldChar w:fldCharType="separate"/>
      </w:r>
      <w:r>
        <w:rPr>
          <w:rFonts w:ascii="黑体" w:hAnsi="Times New Roman" w:eastAsia="黑体" w:cs="Times New Roman"/>
          <w:sz w:val="28"/>
          <w:lang w:val="en-US" w:eastAsia="zh-CN" w:bidi="ar-SA"/>
        </w:rPr>
        <w:t>2025</w:t>
      </w:r>
      <w:r>
        <w:rPr>
          <w:rFonts w:ascii="黑体" w:hAnsi="Times New Roman" w:eastAsia="黑体" w:cs="Times New Roman"/>
          <w:sz w:val="28"/>
          <w:lang w:val="en-US" w:eastAsia="zh-CN" w:bidi="ar-SA"/>
        </w:rPr>
        <w:fldChar w:fldCharType="end"/>
      </w:r>
      <w:bookmarkEnd w:id="9"/>
      <w:r>
        <w:t xml:space="preserve"> </w:t>
      </w:r>
      <w:r>
        <w:rPr>
          <w:rFonts w:ascii="黑体"/>
        </w:rPr>
        <w:t>-</w:t>
      </w:r>
      <w:r>
        <w:t xml:space="preserve"> </w:t>
      </w:r>
      <w:bookmarkStart w:id="10" w:name="PLSH_DATE_M"/>
      <w:r>
        <w:rPr>
          <w:rFonts w:ascii="黑体" w:hAnsi="Times New Roman" w:eastAsia="黑体" w:cs="Times New Roman"/>
          <w:sz w:val="28"/>
          <w:lang w:val="en-US" w:eastAsia="zh-CN" w:bidi="ar-SA"/>
        </w:rPr>
        <w:fldChar w:fldCharType="begin">
          <w:ffData>
            <w:name w:val="PLSH_DATE_M"/>
            <w:enabled/>
            <w:calcOnExit w:val="0"/>
            <w:textInput>
              <w:default w:val="XX"/>
              <w:maxLength w:val="2"/>
            </w:textInput>
          </w:ffData>
        </w:fldChar>
      </w:r>
      <w:r>
        <w:rPr>
          <w:rFonts w:ascii="黑体" w:hAnsi="Times New Roman" w:eastAsia="黑体" w:cs="Times New Roman"/>
          <w:sz w:val="28"/>
          <w:lang w:val="en-US" w:eastAsia="zh-CN" w:bidi="ar-SA"/>
        </w:rPr>
        <w:instrText xml:space="preserve">FORMTEXT</w:instrText>
      </w:r>
      <w:r>
        <w:rPr>
          <w:rFonts w:ascii="黑体" w:hAnsi="Times New Roman" w:eastAsia="黑体" w:cs="Times New Roman"/>
          <w:sz w:val="28"/>
          <w:lang w:val="en-US" w:eastAsia="zh-CN" w:bidi="ar-SA"/>
        </w:rPr>
        <w:fldChar w:fldCharType="separate"/>
      </w:r>
      <w:r>
        <w:rPr>
          <w:rFonts w:ascii="黑体" w:hAnsi="Times New Roman" w:eastAsia="黑体" w:cs="Times New Roman"/>
          <w:sz w:val="28"/>
          <w:lang w:val="en-US" w:eastAsia="zh-CN" w:bidi="ar-SA"/>
        </w:rPr>
        <w:t>XX</w:t>
      </w:r>
      <w:r>
        <w:rPr>
          <w:rFonts w:ascii="黑体" w:hAnsi="Times New Roman" w:eastAsia="黑体" w:cs="Times New Roman"/>
          <w:sz w:val="28"/>
          <w:lang w:val="en-US" w:eastAsia="zh-CN" w:bidi="ar-SA"/>
        </w:rPr>
        <w:fldChar w:fldCharType="end"/>
      </w:r>
      <w:bookmarkEnd w:id="10"/>
      <w:r>
        <w:t xml:space="preserve"> </w:t>
      </w:r>
      <w:r>
        <w:rPr>
          <w:rFonts w:ascii="黑体"/>
        </w:rPr>
        <w:t>-</w:t>
      </w:r>
      <w:r>
        <w:t xml:space="preserve"> </w:t>
      </w:r>
      <w:bookmarkStart w:id="11" w:name="PLSH_DATE_D"/>
      <w:r>
        <w:rPr>
          <w:rFonts w:ascii="黑体" w:hAnsi="Times New Roman" w:eastAsia="黑体" w:cs="Times New Roman"/>
          <w:sz w:val="28"/>
          <w:lang w:val="en-US" w:eastAsia="zh-CN" w:bidi="ar-SA"/>
        </w:rPr>
        <w:fldChar w:fldCharType="begin">
          <w:ffData>
            <w:name w:val="PLSH_DATE_D"/>
            <w:enabled/>
            <w:calcOnExit w:val="0"/>
            <w:textInput>
              <w:default w:val="XX"/>
              <w:maxLength w:val="2"/>
            </w:textInput>
          </w:ffData>
        </w:fldChar>
      </w:r>
      <w:r>
        <w:rPr>
          <w:rFonts w:ascii="黑体" w:hAnsi="Times New Roman" w:eastAsia="黑体" w:cs="Times New Roman"/>
          <w:sz w:val="28"/>
          <w:lang w:val="en-US" w:eastAsia="zh-CN" w:bidi="ar-SA"/>
        </w:rPr>
        <w:instrText xml:space="preserve">FORMTEXT</w:instrText>
      </w:r>
      <w:r>
        <w:rPr>
          <w:rFonts w:ascii="黑体" w:hAnsi="Times New Roman" w:eastAsia="黑体" w:cs="Times New Roman"/>
          <w:sz w:val="28"/>
          <w:lang w:val="en-US" w:eastAsia="zh-CN" w:bidi="ar-SA"/>
        </w:rPr>
        <w:fldChar w:fldCharType="separate"/>
      </w:r>
      <w:r>
        <w:rPr>
          <w:rFonts w:ascii="黑体" w:hAnsi="Times New Roman" w:eastAsia="黑体" w:cs="Times New Roman"/>
          <w:sz w:val="28"/>
          <w:lang w:val="en-US" w:eastAsia="zh-CN" w:bidi="ar-SA"/>
        </w:rPr>
        <w:t>XX</w:t>
      </w:r>
      <w:r>
        <w:rPr>
          <w:rFonts w:ascii="黑体" w:hAnsi="Times New Roman" w:eastAsia="黑体" w:cs="Times New Roman"/>
          <w:sz w:val="28"/>
          <w:lang w:val="en-US" w:eastAsia="zh-CN" w:bidi="ar-SA"/>
        </w:rPr>
        <w:fldChar w:fldCharType="end"/>
      </w:r>
      <w:bookmarkEnd w:id="11"/>
      <w:r>
        <w:rPr>
          <w:rFonts w:hint="eastAsia"/>
        </w:rPr>
        <w:t>发布</w:t>
      </w:r>
    </w:p>
    <w:p w14:paraId="64E62424">
      <w:pPr>
        <w:pStyle w:val="200"/>
        <w:framePr w:wrap="around" w:y="14176"/>
      </w:pPr>
      <w:bookmarkStart w:id="12" w:name="CROT_DATE_Y"/>
      <w:r>
        <w:rPr>
          <w:rFonts w:ascii="黑体" w:hAnsi="Times New Roman" w:eastAsia="黑体" w:cs="Times New Roman"/>
          <w:sz w:val="28"/>
          <w:lang w:val="en-US" w:eastAsia="zh-CN" w:bidi="ar-SA"/>
        </w:rPr>
        <w:fldChar w:fldCharType="begin">
          <w:ffData>
            <w:name w:val="CROT_DATE_Y"/>
            <w:enabled/>
            <w:calcOnExit w:val="0"/>
            <w:textInput>
              <w:default w:val="2025"/>
              <w:maxLength w:val="4"/>
            </w:textInput>
          </w:ffData>
        </w:fldChar>
      </w:r>
      <w:r>
        <w:rPr>
          <w:rFonts w:ascii="黑体" w:hAnsi="Times New Roman" w:eastAsia="黑体" w:cs="Times New Roman"/>
          <w:sz w:val="28"/>
          <w:lang w:val="en-US" w:eastAsia="zh-CN" w:bidi="ar-SA"/>
        </w:rPr>
        <w:instrText xml:space="preserve">FORMTEXT</w:instrText>
      </w:r>
      <w:r>
        <w:rPr>
          <w:rFonts w:ascii="黑体" w:hAnsi="Times New Roman" w:eastAsia="黑体" w:cs="Times New Roman"/>
          <w:sz w:val="28"/>
          <w:lang w:val="en-US" w:eastAsia="zh-CN" w:bidi="ar-SA"/>
        </w:rPr>
        <w:fldChar w:fldCharType="separate"/>
      </w:r>
      <w:r>
        <w:rPr>
          <w:rFonts w:ascii="黑体" w:hAnsi="Times New Roman" w:eastAsia="黑体" w:cs="Times New Roman"/>
          <w:sz w:val="28"/>
          <w:lang w:val="en-US" w:eastAsia="zh-CN" w:bidi="ar-SA"/>
        </w:rPr>
        <w:t>2025</w:t>
      </w:r>
      <w:r>
        <w:rPr>
          <w:rFonts w:ascii="黑体" w:hAnsi="Times New Roman" w:eastAsia="黑体" w:cs="Times New Roman"/>
          <w:sz w:val="28"/>
          <w:lang w:val="en-US" w:eastAsia="zh-CN" w:bidi="ar-SA"/>
        </w:rPr>
        <w:fldChar w:fldCharType="end"/>
      </w:r>
      <w:bookmarkEnd w:id="12"/>
      <w:r>
        <w:t xml:space="preserve"> </w:t>
      </w:r>
      <w:r>
        <w:rPr>
          <w:rFonts w:ascii="黑体"/>
        </w:rPr>
        <w:t>-</w:t>
      </w:r>
      <w:r>
        <w:t xml:space="preserve"> </w:t>
      </w:r>
      <w:bookmarkStart w:id="13" w:name="CROT_DATE_M"/>
      <w:r>
        <w:rPr>
          <w:rFonts w:ascii="黑体" w:hAnsi="Times New Roman" w:eastAsia="黑体" w:cs="Times New Roman"/>
          <w:sz w:val="28"/>
          <w:lang w:val="en-US" w:eastAsia="zh-CN" w:bidi="ar-SA"/>
        </w:rPr>
        <w:fldChar w:fldCharType="begin">
          <w:ffData>
            <w:name w:val="CROT_DATE_M"/>
            <w:enabled/>
            <w:calcOnExit w:val="0"/>
            <w:textInput>
              <w:default w:val="XX"/>
              <w:maxLength w:val="2"/>
            </w:textInput>
          </w:ffData>
        </w:fldChar>
      </w:r>
      <w:r>
        <w:rPr>
          <w:rFonts w:ascii="黑体" w:hAnsi="Times New Roman" w:eastAsia="黑体" w:cs="Times New Roman"/>
          <w:sz w:val="28"/>
          <w:lang w:val="en-US" w:eastAsia="zh-CN" w:bidi="ar-SA"/>
        </w:rPr>
        <w:instrText xml:space="preserve">FORMTEXT</w:instrText>
      </w:r>
      <w:r>
        <w:rPr>
          <w:rFonts w:ascii="黑体" w:hAnsi="Times New Roman" w:eastAsia="黑体" w:cs="Times New Roman"/>
          <w:sz w:val="28"/>
          <w:lang w:val="en-US" w:eastAsia="zh-CN" w:bidi="ar-SA"/>
        </w:rPr>
        <w:fldChar w:fldCharType="separate"/>
      </w:r>
      <w:r>
        <w:rPr>
          <w:rFonts w:ascii="黑体" w:hAnsi="Times New Roman" w:eastAsia="黑体" w:cs="Times New Roman"/>
          <w:sz w:val="28"/>
          <w:lang w:val="en-US" w:eastAsia="zh-CN" w:bidi="ar-SA"/>
        </w:rPr>
        <w:t>XX</w:t>
      </w:r>
      <w:r>
        <w:rPr>
          <w:rFonts w:ascii="黑体" w:hAnsi="Times New Roman" w:eastAsia="黑体" w:cs="Times New Roman"/>
          <w:sz w:val="28"/>
          <w:lang w:val="en-US" w:eastAsia="zh-CN" w:bidi="ar-SA"/>
        </w:rPr>
        <w:fldChar w:fldCharType="end"/>
      </w:r>
      <w:bookmarkEnd w:id="13"/>
      <w:r>
        <w:t xml:space="preserve"> </w:t>
      </w:r>
      <w:r>
        <w:rPr>
          <w:rFonts w:ascii="黑体"/>
        </w:rPr>
        <w:t>-</w:t>
      </w:r>
      <w:r>
        <w:t xml:space="preserve"> </w:t>
      </w:r>
      <w:bookmarkStart w:id="14" w:name="CROT_DATE_D"/>
      <w:r>
        <w:rPr>
          <w:rFonts w:ascii="黑体" w:hAnsi="Times New Roman" w:eastAsia="黑体" w:cs="Times New Roman"/>
          <w:sz w:val="28"/>
          <w:lang w:val="en-US" w:eastAsia="zh-CN" w:bidi="ar-SA"/>
        </w:rPr>
        <w:fldChar w:fldCharType="begin">
          <w:ffData>
            <w:name w:val="CROT_DATE_D"/>
            <w:enabled/>
            <w:calcOnExit w:val="0"/>
            <w:textInput>
              <w:default w:val="XX"/>
              <w:maxLength w:val="2"/>
            </w:textInput>
          </w:ffData>
        </w:fldChar>
      </w:r>
      <w:r>
        <w:rPr>
          <w:rFonts w:ascii="黑体" w:hAnsi="Times New Roman" w:eastAsia="黑体" w:cs="Times New Roman"/>
          <w:sz w:val="28"/>
          <w:lang w:val="en-US" w:eastAsia="zh-CN" w:bidi="ar-SA"/>
        </w:rPr>
        <w:instrText xml:space="preserve">FORMTEXT</w:instrText>
      </w:r>
      <w:r>
        <w:rPr>
          <w:rFonts w:ascii="黑体" w:hAnsi="Times New Roman" w:eastAsia="黑体" w:cs="Times New Roman"/>
          <w:sz w:val="28"/>
          <w:lang w:val="en-US" w:eastAsia="zh-CN" w:bidi="ar-SA"/>
        </w:rPr>
        <w:fldChar w:fldCharType="separate"/>
      </w:r>
      <w:r>
        <w:rPr>
          <w:rFonts w:ascii="黑体" w:hAnsi="Times New Roman" w:eastAsia="黑体" w:cs="Times New Roman"/>
          <w:sz w:val="28"/>
          <w:lang w:val="en-US" w:eastAsia="zh-CN" w:bidi="ar-SA"/>
        </w:rPr>
        <w:t>XX</w:t>
      </w:r>
      <w:r>
        <w:rPr>
          <w:rFonts w:ascii="黑体" w:hAnsi="Times New Roman" w:eastAsia="黑体" w:cs="Times New Roman"/>
          <w:sz w:val="28"/>
          <w:lang w:val="en-US" w:eastAsia="zh-CN" w:bidi="ar-SA"/>
        </w:rPr>
        <w:fldChar w:fldCharType="end"/>
      </w:r>
      <w:bookmarkEnd w:id="14"/>
      <w:r>
        <w:rPr>
          <w:rFonts w:hint="eastAsia"/>
        </w:rPr>
        <w:t>实施</w:t>
      </w:r>
    </w:p>
    <w:p w14:paraId="6C055862">
      <w:pPr>
        <w:pStyle w:val="157"/>
        <w:framePr w:h="584" w:hRule="exact" w:hSpace="181" w:vSpace="181" w:wrap="around" w:y="15027"/>
        <w:rPr>
          <w:rFonts w:hAnsi="黑体"/>
        </w:rPr>
      </w:pPr>
      <w:bookmarkStart w:id="15" w:name="fm"/>
      <w:r>
        <w:rPr>
          <w:rFonts w:hint="eastAsia" w:ascii="黑体" w:hAnsi="黑体" w:eastAsia="黑体" w:cs="Times New Roman"/>
          <w:b w:val="0"/>
          <w:w w:val="100"/>
          <w:sz w:val="28"/>
          <w:lang w:val="en-US" w:eastAsia="zh-CN" w:bidi="ar-SA"/>
        </w:rPr>
        <w:fldChar w:fldCharType="begin">
          <w:ffData>
            <w:name w:val="fm"/>
            <w:enabled/>
            <w:calcOnExit w:val="0"/>
            <w:textInput>
              <w:default w:val="攀枝花市市场监督管理局"/>
            </w:textInput>
          </w:ffData>
        </w:fldChar>
      </w:r>
      <w:r>
        <w:rPr>
          <w:rFonts w:hint="eastAsia" w:ascii="黑体" w:hAnsi="黑体" w:eastAsia="黑体" w:cs="Times New Roman"/>
          <w:b w:val="0"/>
          <w:w w:val="100"/>
          <w:sz w:val="28"/>
          <w:lang w:val="en-US" w:eastAsia="zh-CN" w:bidi="ar-SA"/>
        </w:rPr>
        <w:instrText xml:space="preserve">FORMTEXT</w:instrText>
      </w:r>
      <w:r>
        <w:rPr>
          <w:rFonts w:hint="eastAsia" w:ascii="黑体" w:hAnsi="黑体" w:eastAsia="黑体" w:cs="Times New Roman"/>
          <w:b w:val="0"/>
          <w:w w:val="100"/>
          <w:sz w:val="28"/>
          <w:lang w:val="en-US" w:eastAsia="zh-CN" w:bidi="ar-SA"/>
        </w:rPr>
        <w:fldChar w:fldCharType="separate"/>
      </w:r>
      <w:r>
        <w:rPr>
          <w:rFonts w:hint="eastAsia" w:ascii="黑体" w:hAnsi="黑体" w:eastAsia="黑体" w:cs="Times New Roman"/>
          <w:b w:val="0"/>
          <w:w w:val="100"/>
          <w:sz w:val="28"/>
          <w:lang w:val="en-US" w:eastAsia="zh-CN" w:bidi="ar-SA"/>
        </w:rPr>
        <w:t>攀枝花市市场监督管理局</w:t>
      </w:r>
      <w:r>
        <w:rPr>
          <w:rFonts w:hint="eastAsia" w:ascii="黑体" w:hAnsi="黑体" w:eastAsia="黑体" w:cs="Times New Roman"/>
          <w:b w:val="0"/>
          <w:w w:val="100"/>
          <w:sz w:val="28"/>
          <w:lang w:val="en-US" w:eastAsia="zh-CN" w:bidi="ar-SA"/>
        </w:rPr>
        <w:fldChar w:fldCharType="end"/>
      </w:r>
      <w:bookmarkEnd w:id="15"/>
      <w:r>
        <w:rPr>
          <w:rFonts w:ascii="Times New Roman"/>
          <w:w w:val="100"/>
          <w:sz w:val="28"/>
        </w:rPr>
        <w:t>  </w:t>
      </w:r>
      <w:r>
        <w:rPr>
          <w:rStyle w:val="235"/>
          <w:rFonts w:hint="eastAsia" w:hAnsi="黑体"/>
          <w:position w:val="0"/>
        </w:rPr>
        <w:t>发</w:t>
      </w:r>
      <w:r>
        <w:rPr>
          <w:rStyle w:val="235"/>
          <w:rFonts w:hint="eastAsia" w:hAnsi="黑体"/>
          <w:spacing w:val="0"/>
          <w:position w:val="0"/>
        </w:rPr>
        <w:t>布</w:t>
      </w:r>
    </w:p>
    <w:p w14:paraId="241CA99B">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pgBorders>
            <w:top w:val="none" w:sz="0" w:space="0"/>
            <w:left w:val="none" w:sz="0" w:space="0"/>
            <w:bottom w:val="none" w:sz="0" w:space="0"/>
            <w:right w:val="none" w:sz="0" w:space="0"/>
          </w:pgBorders>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59264"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59264;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7AA3587A">
      <w:pPr>
        <w:pStyle w:val="97"/>
        <w:spacing w:after="468"/>
      </w:pPr>
      <w:bookmarkStart w:id="16" w:name="BookMark1"/>
      <w:r>
        <w:rPr>
          <w:rFonts w:hint="eastAsia"/>
          <w:spacing w:val="320"/>
        </w:rPr>
        <w:t>目</w:t>
      </w:r>
      <w:r>
        <w:rPr>
          <w:rFonts w:hint="eastAsia"/>
        </w:rPr>
        <w:t>次</w:t>
      </w:r>
    </w:p>
    <w:p w14:paraId="30D26EE7">
      <w:pPr>
        <w:pStyle w:val="21"/>
        <w:keepNext w:val="0"/>
        <w:keepLines w:val="0"/>
        <w:pageBreakBefore w:val="0"/>
        <w:widowControl w:val="0"/>
        <w:tabs>
          <w:tab w:val="right" w:leader="dot" w:pos="9344"/>
        </w:tabs>
        <w:kinsoku/>
        <w:wordWrap/>
        <w:overflowPunct/>
        <w:topLinePunct w:val="0"/>
        <w:autoSpaceDE/>
        <w:autoSpaceDN/>
        <w:bidi w:val="0"/>
        <w:adjustRightInd w:val="0"/>
        <w:snapToGrid/>
        <w:spacing w:before="78" w:beforeLines="25" w:after="78" w:afterLines="25" w:line="240" w:lineRule="auto"/>
        <w:textAlignment w:val="auto"/>
        <w:rPr>
          <w:rFonts w:hint="eastAsia"/>
        </w:rPr>
      </w:pPr>
      <w:r>
        <w:rPr>
          <w:rFonts w:hint="eastAsia" w:ascii="宋体" w:hAnsi="宋体" w:eastAsia="宋体" w:cs="宋体"/>
        </w:rPr>
        <w:fldChar w:fldCharType="begin"/>
      </w:r>
      <w:r>
        <w:rPr>
          <w:rFonts w:hint="eastAsia" w:ascii="宋体" w:hAnsi="宋体" w:eastAsia="宋体" w:cs="宋体"/>
        </w:rPr>
        <w:instrText xml:space="preserve"> TOC \o "1-1" \h \t "标准文件_一级条标题,2,标准文件_附录一级条标题,2," </w:instrText>
      </w:r>
      <w:r>
        <w:rPr>
          <w:rFonts w:hint="eastAsia" w:ascii="宋体" w:hAnsi="宋体" w:eastAsia="宋体" w:cs="宋体"/>
        </w:rPr>
        <w:fldChar w:fldCharType="separate"/>
      </w:r>
      <w:r>
        <w:rPr>
          <w:rFonts w:hint="eastAsia"/>
        </w:rPr>
        <w:fldChar w:fldCharType="begin"/>
      </w:r>
      <w:r>
        <w:rPr>
          <w:rFonts w:hint="eastAsia"/>
        </w:rPr>
        <w:instrText xml:space="preserve"> HYPERLINK \l _Toc26944 </w:instrText>
      </w:r>
      <w:r>
        <w:rPr>
          <w:rFonts w:hint="eastAsia"/>
        </w:rPr>
        <w:fldChar w:fldCharType="separate"/>
      </w:r>
      <w:r>
        <w:rPr>
          <w:rFonts w:hint="eastAsia"/>
        </w:rPr>
        <w:t>前言</w:t>
      </w:r>
      <w:r>
        <w:rPr>
          <w:rFonts w:hint="eastAsia"/>
        </w:rPr>
        <w:tab/>
      </w:r>
      <w:r>
        <w:rPr>
          <w:rFonts w:hint="eastAsia"/>
        </w:rPr>
        <w:fldChar w:fldCharType="begin"/>
      </w:r>
      <w:r>
        <w:rPr>
          <w:rFonts w:hint="eastAsia"/>
        </w:rPr>
        <w:instrText xml:space="preserve"> PAGEREF _Toc26944 \h </w:instrText>
      </w:r>
      <w:r>
        <w:rPr>
          <w:rFonts w:hint="eastAsia"/>
        </w:rPr>
        <w:fldChar w:fldCharType="separate"/>
      </w:r>
      <w:r>
        <w:rPr>
          <w:rFonts w:hint="eastAsia"/>
        </w:rPr>
        <w:t>II</w:t>
      </w:r>
      <w:r>
        <w:rPr>
          <w:rFonts w:hint="eastAsia"/>
        </w:rPr>
        <w:fldChar w:fldCharType="end"/>
      </w:r>
      <w:r>
        <w:rPr>
          <w:rFonts w:hint="eastAsia"/>
        </w:rPr>
        <w:fldChar w:fldCharType="end"/>
      </w:r>
    </w:p>
    <w:p w14:paraId="326F1D77">
      <w:pPr>
        <w:pStyle w:val="21"/>
        <w:keepNext w:val="0"/>
        <w:keepLines w:val="0"/>
        <w:pageBreakBefore w:val="0"/>
        <w:widowControl w:val="0"/>
        <w:tabs>
          <w:tab w:val="right" w:leader="dot" w:pos="9344"/>
        </w:tabs>
        <w:kinsoku/>
        <w:wordWrap/>
        <w:overflowPunct/>
        <w:topLinePunct w:val="0"/>
        <w:autoSpaceDE/>
        <w:autoSpaceDN/>
        <w:bidi w:val="0"/>
        <w:adjustRightInd w:val="0"/>
        <w:snapToGrid/>
        <w:spacing w:before="78" w:beforeLines="25" w:after="78" w:afterLines="25" w:line="240" w:lineRule="auto"/>
        <w:textAlignment w:val="auto"/>
        <w:rPr>
          <w:rFonts w:hint="eastAsia"/>
        </w:rPr>
      </w:pPr>
      <w:r>
        <w:rPr>
          <w:rFonts w:hint="eastAsia"/>
        </w:rPr>
        <w:fldChar w:fldCharType="begin"/>
      </w:r>
      <w:r>
        <w:rPr>
          <w:rFonts w:hint="eastAsia"/>
        </w:rPr>
        <w:instrText xml:space="preserve"> HYPERLINK \l _Toc23914 </w:instrText>
      </w:r>
      <w:r>
        <w:rPr>
          <w:rFonts w:hint="eastAsia"/>
        </w:rPr>
        <w:fldChar w:fldCharType="separate"/>
      </w:r>
      <w:r>
        <w:rPr>
          <w:rFonts w:hint="eastAsia"/>
        </w:rPr>
        <w:t>1 范围</w:t>
      </w:r>
      <w:r>
        <w:rPr>
          <w:rFonts w:hint="eastAsia"/>
        </w:rPr>
        <w:tab/>
      </w:r>
      <w:r>
        <w:rPr>
          <w:rFonts w:hint="eastAsia"/>
        </w:rPr>
        <w:fldChar w:fldCharType="begin"/>
      </w:r>
      <w:r>
        <w:rPr>
          <w:rFonts w:hint="eastAsia"/>
        </w:rPr>
        <w:instrText xml:space="preserve"> PAGEREF _Toc23914 \h </w:instrText>
      </w:r>
      <w:r>
        <w:rPr>
          <w:rFonts w:hint="eastAsia"/>
        </w:rPr>
        <w:fldChar w:fldCharType="separate"/>
      </w:r>
      <w:r>
        <w:rPr>
          <w:rFonts w:hint="eastAsia"/>
        </w:rPr>
        <w:t>1</w:t>
      </w:r>
      <w:r>
        <w:rPr>
          <w:rFonts w:hint="eastAsia"/>
        </w:rPr>
        <w:fldChar w:fldCharType="end"/>
      </w:r>
      <w:r>
        <w:rPr>
          <w:rFonts w:hint="eastAsia"/>
        </w:rPr>
        <w:fldChar w:fldCharType="end"/>
      </w:r>
    </w:p>
    <w:p w14:paraId="47F9D988">
      <w:pPr>
        <w:pStyle w:val="21"/>
        <w:keepNext w:val="0"/>
        <w:keepLines w:val="0"/>
        <w:pageBreakBefore w:val="0"/>
        <w:widowControl w:val="0"/>
        <w:tabs>
          <w:tab w:val="right" w:leader="dot" w:pos="9344"/>
        </w:tabs>
        <w:kinsoku/>
        <w:wordWrap/>
        <w:overflowPunct/>
        <w:topLinePunct w:val="0"/>
        <w:autoSpaceDE/>
        <w:autoSpaceDN/>
        <w:bidi w:val="0"/>
        <w:adjustRightInd w:val="0"/>
        <w:snapToGrid/>
        <w:spacing w:before="78" w:beforeLines="25" w:after="78" w:afterLines="25" w:line="240" w:lineRule="auto"/>
        <w:textAlignment w:val="auto"/>
        <w:rPr>
          <w:rFonts w:hint="eastAsia"/>
        </w:rPr>
      </w:pPr>
      <w:r>
        <w:rPr>
          <w:rFonts w:hint="eastAsia"/>
        </w:rPr>
        <w:fldChar w:fldCharType="begin"/>
      </w:r>
      <w:r>
        <w:rPr>
          <w:rFonts w:hint="eastAsia"/>
        </w:rPr>
        <w:instrText xml:space="preserve"> HYPERLINK \l _Toc28640 </w:instrText>
      </w:r>
      <w:r>
        <w:rPr>
          <w:rFonts w:hint="eastAsia"/>
        </w:rPr>
        <w:fldChar w:fldCharType="separate"/>
      </w:r>
      <w:r>
        <w:rPr>
          <w:rFonts w:hint="eastAsia"/>
        </w:rPr>
        <w:t>2 规范性引用文件</w:t>
      </w:r>
      <w:r>
        <w:rPr>
          <w:rFonts w:hint="eastAsia"/>
        </w:rPr>
        <w:tab/>
      </w:r>
      <w:r>
        <w:rPr>
          <w:rFonts w:hint="eastAsia"/>
        </w:rPr>
        <w:fldChar w:fldCharType="begin"/>
      </w:r>
      <w:r>
        <w:rPr>
          <w:rFonts w:hint="eastAsia"/>
        </w:rPr>
        <w:instrText xml:space="preserve"> PAGEREF _Toc28640 \h </w:instrText>
      </w:r>
      <w:r>
        <w:rPr>
          <w:rFonts w:hint="eastAsia"/>
        </w:rPr>
        <w:fldChar w:fldCharType="separate"/>
      </w:r>
      <w:r>
        <w:rPr>
          <w:rFonts w:hint="eastAsia"/>
        </w:rPr>
        <w:t>1</w:t>
      </w:r>
      <w:r>
        <w:rPr>
          <w:rFonts w:hint="eastAsia"/>
        </w:rPr>
        <w:fldChar w:fldCharType="end"/>
      </w:r>
      <w:r>
        <w:rPr>
          <w:rFonts w:hint="eastAsia"/>
        </w:rPr>
        <w:fldChar w:fldCharType="end"/>
      </w:r>
    </w:p>
    <w:p w14:paraId="476BFBA1">
      <w:pPr>
        <w:pStyle w:val="21"/>
        <w:keepNext w:val="0"/>
        <w:keepLines w:val="0"/>
        <w:pageBreakBefore w:val="0"/>
        <w:widowControl w:val="0"/>
        <w:tabs>
          <w:tab w:val="right" w:leader="dot" w:pos="9344"/>
        </w:tabs>
        <w:kinsoku/>
        <w:wordWrap/>
        <w:overflowPunct/>
        <w:topLinePunct w:val="0"/>
        <w:autoSpaceDE/>
        <w:autoSpaceDN/>
        <w:bidi w:val="0"/>
        <w:adjustRightInd w:val="0"/>
        <w:snapToGrid/>
        <w:spacing w:before="78" w:beforeLines="25" w:after="78" w:afterLines="25" w:line="240" w:lineRule="auto"/>
        <w:textAlignment w:val="auto"/>
        <w:rPr>
          <w:rFonts w:hint="eastAsia"/>
        </w:rPr>
      </w:pPr>
      <w:r>
        <w:rPr>
          <w:rFonts w:hint="eastAsia"/>
        </w:rPr>
        <w:fldChar w:fldCharType="begin"/>
      </w:r>
      <w:r>
        <w:rPr>
          <w:rFonts w:hint="eastAsia"/>
        </w:rPr>
        <w:instrText xml:space="preserve"> HYPERLINK \l _Toc17294 </w:instrText>
      </w:r>
      <w:r>
        <w:rPr>
          <w:rFonts w:hint="eastAsia"/>
        </w:rPr>
        <w:fldChar w:fldCharType="separate"/>
      </w:r>
      <w:r>
        <w:rPr>
          <w:rFonts w:hint="eastAsia"/>
        </w:rPr>
        <w:t>3 术语和定义</w:t>
      </w:r>
      <w:r>
        <w:rPr>
          <w:rFonts w:hint="eastAsia"/>
        </w:rPr>
        <w:tab/>
      </w:r>
      <w:r>
        <w:rPr>
          <w:rFonts w:hint="eastAsia"/>
        </w:rPr>
        <w:fldChar w:fldCharType="begin"/>
      </w:r>
      <w:r>
        <w:rPr>
          <w:rFonts w:hint="eastAsia"/>
        </w:rPr>
        <w:instrText xml:space="preserve"> PAGEREF _Toc17294 \h </w:instrText>
      </w:r>
      <w:r>
        <w:rPr>
          <w:rFonts w:hint="eastAsia"/>
        </w:rPr>
        <w:fldChar w:fldCharType="separate"/>
      </w:r>
      <w:r>
        <w:rPr>
          <w:rFonts w:hint="eastAsia"/>
        </w:rPr>
        <w:t>1</w:t>
      </w:r>
      <w:r>
        <w:rPr>
          <w:rFonts w:hint="eastAsia"/>
        </w:rPr>
        <w:fldChar w:fldCharType="end"/>
      </w:r>
      <w:r>
        <w:rPr>
          <w:rFonts w:hint="eastAsia"/>
        </w:rPr>
        <w:fldChar w:fldCharType="end"/>
      </w:r>
    </w:p>
    <w:p w14:paraId="16379106">
      <w:pPr>
        <w:pStyle w:val="21"/>
        <w:keepNext w:val="0"/>
        <w:keepLines w:val="0"/>
        <w:pageBreakBefore w:val="0"/>
        <w:widowControl w:val="0"/>
        <w:tabs>
          <w:tab w:val="right" w:leader="dot" w:pos="9344"/>
        </w:tabs>
        <w:kinsoku/>
        <w:wordWrap/>
        <w:overflowPunct/>
        <w:topLinePunct w:val="0"/>
        <w:autoSpaceDE/>
        <w:autoSpaceDN/>
        <w:bidi w:val="0"/>
        <w:adjustRightInd w:val="0"/>
        <w:snapToGrid/>
        <w:spacing w:before="78" w:beforeLines="25" w:after="78" w:afterLines="25" w:line="240" w:lineRule="auto"/>
        <w:textAlignment w:val="auto"/>
        <w:rPr>
          <w:rFonts w:hint="eastAsia"/>
        </w:rPr>
      </w:pPr>
      <w:r>
        <w:rPr>
          <w:rFonts w:hint="eastAsia"/>
        </w:rPr>
        <w:fldChar w:fldCharType="begin"/>
      </w:r>
      <w:r>
        <w:rPr>
          <w:rFonts w:hint="eastAsia"/>
        </w:rPr>
        <w:instrText xml:space="preserve"> HYPERLINK \l _Toc25778 </w:instrText>
      </w:r>
      <w:r>
        <w:rPr>
          <w:rFonts w:hint="eastAsia"/>
        </w:rPr>
        <w:fldChar w:fldCharType="separate"/>
      </w:r>
      <w:r>
        <w:rPr>
          <w:rFonts w:hint="eastAsia"/>
        </w:rPr>
        <w:t xml:space="preserve">4 </w:t>
      </w:r>
      <w:r>
        <w:rPr>
          <w:rFonts w:hint="eastAsia"/>
          <w:lang w:val="en-US" w:eastAsia="zh-CN"/>
        </w:rPr>
        <w:t>基本</w:t>
      </w:r>
      <w:r>
        <w:rPr>
          <w:rFonts w:hint="eastAsia"/>
        </w:rPr>
        <w:t>原则</w:t>
      </w:r>
      <w:r>
        <w:rPr>
          <w:rFonts w:hint="eastAsia"/>
        </w:rPr>
        <w:tab/>
      </w:r>
      <w:r>
        <w:rPr>
          <w:rFonts w:hint="eastAsia"/>
        </w:rPr>
        <w:fldChar w:fldCharType="begin"/>
      </w:r>
      <w:r>
        <w:rPr>
          <w:rFonts w:hint="eastAsia"/>
        </w:rPr>
        <w:instrText xml:space="preserve"> PAGEREF _Toc25778 \h </w:instrText>
      </w:r>
      <w:r>
        <w:rPr>
          <w:rFonts w:hint="eastAsia"/>
        </w:rPr>
        <w:fldChar w:fldCharType="separate"/>
      </w:r>
      <w:r>
        <w:rPr>
          <w:rFonts w:hint="eastAsia"/>
        </w:rPr>
        <w:t>1</w:t>
      </w:r>
      <w:r>
        <w:rPr>
          <w:rFonts w:hint="eastAsia"/>
        </w:rPr>
        <w:fldChar w:fldCharType="end"/>
      </w:r>
      <w:r>
        <w:rPr>
          <w:rFonts w:hint="eastAsia"/>
        </w:rPr>
        <w:fldChar w:fldCharType="end"/>
      </w:r>
    </w:p>
    <w:p w14:paraId="39A45A1B">
      <w:pPr>
        <w:pStyle w:val="26"/>
        <w:spacing w:before="78" w:beforeLines="25" w:after="78" w:afterLines="25" w:line="240" w:lineRule="auto"/>
        <w:rPr>
          <w:rFonts w:hint="eastAsia"/>
        </w:rPr>
      </w:pPr>
      <w:r>
        <w:rPr>
          <w:rFonts w:hint="eastAsia"/>
        </w:rPr>
        <w:fldChar w:fldCharType="begin"/>
      </w:r>
      <w:r>
        <w:rPr>
          <w:rFonts w:hint="eastAsia"/>
        </w:rPr>
        <w:instrText xml:space="preserve"> HYPERLINK \l _Toc7370 </w:instrText>
      </w:r>
      <w:r>
        <w:rPr>
          <w:rFonts w:hint="eastAsia"/>
        </w:rPr>
        <w:fldChar w:fldCharType="separate"/>
      </w:r>
      <w:r>
        <w:rPr>
          <w:rFonts w:hint="eastAsia"/>
        </w:rPr>
        <w:t xml:space="preserve">4.1 </w:t>
      </w:r>
      <w:r>
        <w:rPr>
          <w:rFonts w:hint="eastAsia"/>
          <w:lang w:val="en-US" w:eastAsia="zh-CN"/>
        </w:rPr>
        <w:t>科学性</w:t>
      </w:r>
      <w:r>
        <w:rPr>
          <w:rFonts w:hint="eastAsia"/>
        </w:rPr>
        <w:tab/>
      </w:r>
      <w:r>
        <w:rPr>
          <w:rFonts w:hint="eastAsia"/>
        </w:rPr>
        <w:fldChar w:fldCharType="begin"/>
      </w:r>
      <w:r>
        <w:rPr>
          <w:rFonts w:hint="eastAsia"/>
        </w:rPr>
        <w:instrText xml:space="preserve"> PAGEREF _Toc7370 \h </w:instrText>
      </w:r>
      <w:r>
        <w:rPr>
          <w:rFonts w:hint="eastAsia"/>
        </w:rPr>
        <w:fldChar w:fldCharType="separate"/>
      </w:r>
      <w:r>
        <w:rPr>
          <w:rFonts w:hint="eastAsia"/>
        </w:rPr>
        <w:t>1</w:t>
      </w:r>
      <w:r>
        <w:rPr>
          <w:rFonts w:hint="eastAsia"/>
        </w:rPr>
        <w:fldChar w:fldCharType="end"/>
      </w:r>
      <w:r>
        <w:rPr>
          <w:rFonts w:hint="eastAsia"/>
        </w:rPr>
        <w:fldChar w:fldCharType="end"/>
      </w:r>
    </w:p>
    <w:p w14:paraId="472DD6B0">
      <w:pPr>
        <w:pStyle w:val="26"/>
        <w:spacing w:before="78" w:beforeLines="25" w:after="78" w:afterLines="25" w:line="240" w:lineRule="auto"/>
        <w:rPr>
          <w:rFonts w:hint="eastAsia"/>
        </w:rPr>
      </w:pPr>
      <w:r>
        <w:rPr>
          <w:rFonts w:hint="eastAsia"/>
        </w:rPr>
        <w:fldChar w:fldCharType="begin"/>
      </w:r>
      <w:r>
        <w:rPr>
          <w:rFonts w:hint="eastAsia"/>
        </w:rPr>
        <w:instrText xml:space="preserve"> HYPERLINK \l _Toc22523 </w:instrText>
      </w:r>
      <w:r>
        <w:rPr>
          <w:rFonts w:hint="eastAsia"/>
        </w:rPr>
        <w:fldChar w:fldCharType="separate"/>
      </w:r>
      <w:r>
        <w:rPr>
          <w:rFonts w:hint="eastAsia"/>
        </w:rPr>
        <w:t xml:space="preserve">4.2 </w:t>
      </w:r>
      <w:r>
        <w:rPr>
          <w:rFonts w:hint="eastAsia"/>
          <w:lang w:val="en-US" w:eastAsia="zh-CN"/>
        </w:rPr>
        <w:t>前瞻性</w:t>
      </w:r>
      <w:r>
        <w:rPr>
          <w:rFonts w:hint="eastAsia"/>
        </w:rPr>
        <w:tab/>
      </w:r>
      <w:r>
        <w:rPr>
          <w:rFonts w:hint="eastAsia"/>
        </w:rPr>
        <w:fldChar w:fldCharType="begin"/>
      </w:r>
      <w:r>
        <w:rPr>
          <w:rFonts w:hint="eastAsia"/>
        </w:rPr>
        <w:instrText xml:space="preserve"> PAGEREF _Toc22523 \h </w:instrText>
      </w:r>
      <w:r>
        <w:rPr>
          <w:rFonts w:hint="eastAsia"/>
        </w:rPr>
        <w:fldChar w:fldCharType="separate"/>
      </w:r>
      <w:r>
        <w:rPr>
          <w:rFonts w:hint="eastAsia"/>
        </w:rPr>
        <w:t>1</w:t>
      </w:r>
      <w:r>
        <w:rPr>
          <w:rFonts w:hint="eastAsia"/>
        </w:rPr>
        <w:fldChar w:fldCharType="end"/>
      </w:r>
      <w:r>
        <w:rPr>
          <w:rFonts w:hint="eastAsia"/>
        </w:rPr>
        <w:fldChar w:fldCharType="end"/>
      </w:r>
    </w:p>
    <w:p w14:paraId="505D6B87">
      <w:pPr>
        <w:pStyle w:val="26"/>
        <w:spacing w:before="78" w:beforeLines="25" w:after="78" w:afterLines="25" w:line="240" w:lineRule="auto"/>
        <w:rPr>
          <w:rFonts w:hint="eastAsia"/>
        </w:rPr>
      </w:pPr>
      <w:r>
        <w:rPr>
          <w:rFonts w:hint="eastAsia"/>
        </w:rPr>
        <w:fldChar w:fldCharType="begin"/>
      </w:r>
      <w:r>
        <w:rPr>
          <w:rFonts w:hint="eastAsia"/>
        </w:rPr>
        <w:instrText xml:space="preserve"> HYPERLINK \l _Toc26223 </w:instrText>
      </w:r>
      <w:r>
        <w:rPr>
          <w:rFonts w:hint="eastAsia"/>
        </w:rPr>
        <w:fldChar w:fldCharType="separate"/>
      </w:r>
      <w:r>
        <w:rPr>
          <w:rFonts w:hint="eastAsia"/>
        </w:rPr>
        <w:t xml:space="preserve">4.3 </w:t>
      </w:r>
      <w:r>
        <w:rPr>
          <w:rFonts w:hint="eastAsia"/>
          <w:lang w:val="en-US" w:eastAsia="zh-CN"/>
        </w:rPr>
        <w:t>系统性</w:t>
      </w:r>
      <w:r>
        <w:rPr>
          <w:rFonts w:hint="eastAsia"/>
        </w:rPr>
        <w:tab/>
      </w:r>
      <w:r>
        <w:rPr>
          <w:rFonts w:hint="eastAsia"/>
        </w:rPr>
        <w:fldChar w:fldCharType="begin"/>
      </w:r>
      <w:r>
        <w:rPr>
          <w:rFonts w:hint="eastAsia"/>
        </w:rPr>
        <w:instrText xml:space="preserve"> PAGEREF _Toc26223 \h </w:instrText>
      </w:r>
      <w:r>
        <w:rPr>
          <w:rFonts w:hint="eastAsia"/>
        </w:rPr>
        <w:fldChar w:fldCharType="separate"/>
      </w:r>
      <w:r>
        <w:rPr>
          <w:rFonts w:hint="eastAsia"/>
        </w:rPr>
        <w:t>1</w:t>
      </w:r>
      <w:r>
        <w:rPr>
          <w:rFonts w:hint="eastAsia"/>
        </w:rPr>
        <w:fldChar w:fldCharType="end"/>
      </w:r>
      <w:r>
        <w:rPr>
          <w:rFonts w:hint="eastAsia"/>
        </w:rPr>
        <w:fldChar w:fldCharType="end"/>
      </w:r>
    </w:p>
    <w:p w14:paraId="30BDF236">
      <w:pPr>
        <w:pStyle w:val="26"/>
        <w:spacing w:before="78" w:beforeLines="25" w:after="78" w:afterLines="25" w:line="240" w:lineRule="auto"/>
        <w:rPr>
          <w:rFonts w:hint="eastAsia" w:ascii="宋体" w:hAnsi="宋体" w:eastAsia="宋体" w:cs="宋体"/>
        </w:rPr>
      </w:pPr>
      <w:r>
        <w:rPr>
          <w:rFonts w:hint="eastAsia"/>
        </w:rPr>
        <w:fldChar w:fldCharType="begin"/>
      </w:r>
      <w:r>
        <w:rPr>
          <w:rFonts w:hint="eastAsia"/>
        </w:rPr>
        <w:instrText xml:space="preserve"> HYPERLINK \l _Toc31659 </w:instrText>
      </w:r>
      <w:r>
        <w:rPr>
          <w:rFonts w:hint="eastAsia"/>
        </w:rPr>
        <w:fldChar w:fldCharType="separate"/>
      </w:r>
      <w:r>
        <w:rPr>
          <w:rFonts w:hint="eastAsia"/>
        </w:rPr>
        <w:t xml:space="preserve">4.4 </w:t>
      </w:r>
      <w:r>
        <w:rPr>
          <w:rFonts w:hint="eastAsia"/>
          <w:lang w:val="en-US" w:eastAsia="zh-CN"/>
        </w:rPr>
        <w:t>可行性</w:t>
      </w:r>
      <w:r>
        <w:rPr>
          <w:rFonts w:hint="eastAsia"/>
        </w:rPr>
        <w:tab/>
      </w:r>
      <w:r>
        <w:rPr>
          <w:rFonts w:hint="eastAsia"/>
        </w:rPr>
        <w:fldChar w:fldCharType="begin"/>
      </w:r>
      <w:r>
        <w:rPr>
          <w:rFonts w:hint="eastAsia"/>
        </w:rPr>
        <w:instrText xml:space="preserve"> PAGEREF _Toc31659 \h </w:instrText>
      </w:r>
      <w:r>
        <w:rPr>
          <w:rFonts w:hint="eastAsia"/>
        </w:rPr>
        <w:fldChar w:fldCharType="separate"/>
      </w:r>
      <w:r>
        <w:rPr>
          <w:rFonts w:hint="eastAsia"/>
        </w:rPr>
        <w:t>1</w:t>
      </w:r>
      <w:r>
        <w:rPr>
          <w:rFonts w:hint="eastAsia"/>
        </w:rPr>
        <w:fldChar w:fldCharType="end"/>
      </w:r>
      <w:r>
        <w:rPr>
          <w:rFonts w:hint="eastAsia"/>
        </w:rPr>
        <w:fldChar w:fldCharType="end"/>
      </w:r>
    </w:p>
    <w:p w14:paraId="08D13570">
      <w:pPr>
        <w:pStyle w:val="21"/>
        <w:keepNext w:val="0"/>
        <w:keepLines w:val="0"/>
        <w:pageBreakBefore w:val="0"/>
        <w:widowControl w:val="0"/>
        <w:tabs>
          <w:tab w:val="right" w:leader="dot" w:pos="9344"/>
        </w:tabs>
        <w:kinsoku/>
        <w:wordWrap/>
        <w:overflowPunct/>
        <w:topLinePunct w:val="0"/>
        <w:autoSpaceDE/>
        <w:autoSpaceDN/>
        <w:bidi w:val="0"/>
        <w:adjustRightInd w:val="0"/>
        <w:snapToGrid/>
        <w:spacing w:before="78" w:beforeLines="25" w:after="78" w:afterLines="25" w:line="240" w:lineRule="auto"/>
        <w:textAlignment w:val="auto"/>
        <w:rPr>
          <w:rFonts w:hint="eastAsia"/>
        </w:rPr>
      </w:pPr>
      <w:r>
        <w:rPr>
          <w:rFonts w:hint="eastAsia"/>
        </w:rPr>
        <w:fldChar w:fldCharType="begin"/>
      </w:r>
      <w:r>
        <w:rPr>
          <w:rFonts w:hint="eastAsia"/>
        </w:rPr>
        <w:instrText xml:space="preserve"> HYPERLINK \l _Toc14369 </w:instrText>
      </w:r>
      <w:r>
        <w:rPr>
          <w:rFonts w:hint="eastAsia"/>
        </w:rPr>
        <w:fldChar w:fldCharType="separate"/>
      </w:r>
      <w:r>
        <w:rPr>
          <w:rFonts w:hint="eastAsia"/>
        </w:rPr>
        <w:t xml:space="preserve">5 </w:t>
      </w:r>
      <w:r>
        <w:rPr>
          <w:rFonts w:hint="eastAsia"/>
          <w:lang w:val="en-US" w:eastAsia="zh-CN"/>
        </w:rPr>
        <w:t>体系框架</w:t>
      </w:r>
      <w:r>
        <w:rPr>
          <w:rFonts w:hint="eastAsia"/>
        </w:rPr>
        <w:tab/>
      </w:r>
      <w:r>
        <w:rPr>
          <w:rFonts w:hint="eastAsia"/>
        </w:rPr>
        <w:fldChar w:fldCharType="begin"/>
      </w:r>
      <w:r>
        <w:rPr>
          <w:rFonts w:hint="eastAsia"/>
        </w:rPr>
        <w:instrText xml:space="preserve"> PAGEREF _Toc14369 \h </w:instrText>
      </w:r>
      <w:r>
        <w:rPr>
          <w:rFonts w:hint="eastAsia"/>
        </w:rPr>
        <w:fldChar w:fldCharType="separate"/>
      </w:r>
      <w:r>
        <w:rPr>
          <w:rFonts w:hint="eastAsia"/>
        </w:rPr>
        <w:t>1</w:t>
      </w:r>
      <w:r>
        <w:rPr>
          <w:rFonts w:hint="eastAsia"/>
        </w:rPr>
        <w:fldChar w:fldCharType="end"/>
      </w:r>
      <w:r>
        <w:rPr>
          <w:rFonts w:hint="eastAsia"/>
        </w:rPr>
        <w:fldChar w:fldCharType="end"/>
      </w:r>
    </w:p>
    <w:p w14:paraId="31D506EC">
      <w:pPr>
        <w:pStyle w:val="21"/>
        <w:keepNext w:val="0"/>
        <w:keepLines w:val="0"/>
        <w:pageBreakBefore w:val="0"/>
        <w:widowControl w:val="0"/>
        <w:tabs>
          <w:tab w:val="right" w:leader="dot" w:pos="9344"/>
        </w:tabs>
        <w:kinsoku/>
        <w:wordWrap/>
        <w:overflowPunct/>
        <w:topLinePunct w:val="0"/>
        <w:autoSpaceDE/>
        <w:autoSpaceDN/>
        <w:bidi w:val="0"/>
        <w:adjustRightInd w:val="0"/>
        <w:snapToGrid/>
        <w:spacing w:before="78" w:beforeLines="25" w:after="78" w:afterLines="25" w:line="240" w:lineRule="auto"/>
        <w:textAlignment w:val="auto"/>
        <w:rPr>
          <w:rFonts w:hint="eastAsia" w:ascii="宋体" w:hAnsi="宋体" w:eastAsia="宋体" w:cs="宋体"/>
        </w:rPr>
      </w:pPr>
      <w:r>
        <w:rPr>
          <w:rFonts w:hint="eastAsia"/>
        </w:rPr>
        <w:fldChar w:fldCharType="begin"/>
      </w:r>
      <w:r>
        <w:rPr>
          <w:rFonts w:hint="eastAsia"/>
        </w:rPr>
        <w:instrText xml:space="preserve"> HYPERLINK \l _Toc7114 </w:instrText>
      </w:r>
      <w:r>
        <w:rPr>
          <w:rFonts w:hint="eastAsia"/>
        </w:rPr>
        <w:fldChar w:fldCharType="separate"/>
      </w:r>
      <w:r>
        <w:rPr>
          <w:rFonts w:hint="eastAsia"/>
        </w:rPr>
        <w:t xml:space="preserve">6 </w:t>
      </w:r>
      <w:r>
        <w:rPr>
          <w:rFonts w:hint="eastAsia"/>
          <w:lang w:val="en-US" w:eastAsia="zh-CN"/>
        </w:rPr>
        <w:t>指标描述及其内容</w:t>
      </w:r>
      <w:r>
        <w:rPr>
          <w:rFonts w:hint="eastAsia"/>
        </w:rPr>
        <w:tab/>
      </w:r>
      <w:r>
        <w:rPr>
          <w:rFonts w:hint="eastAsia"/>
        </w:rPr>
        <w:fldChar w:fldCharType="begin"/>
      </w:r>
      <w:r>
        <w:rPr>
          <w:rFonts w:hint="eastAsia"/>
        </w:rPr>
        <w:instrText xml:space="preserve"> PAGEREF _Toc7114 \h </w:instrText>
      </w:r>
      <w:r>
        <w:rPr>
          <w:rFonts w:hint="eastAsia"/>
        </w:rPr>
        <w:fldChar w:fldCharType="separate"/>
      </w:r>
      <w:r>
        <w:rPr>
          <w:rFonts w:hint="eastAsia"/>
        </w:rPr>
        <w:t>2</w:t>
      </w:r>
      <w:r>
        <w:rPr>
          <w:rFonts w:hint="eastAsia"/>
        </w:rPr>
        <w:fldChar w:fldCharType="end"/>
      </w:r>
      <w:r>
        <w:rPr>
          <w:rFonts w:hint="eastAsia"/>
        </w:rPr>
        <w:fldChar w:fldCharType="end"/>
      </w:r>
    </w:p>
    <w:p w14:paraId="08A0D1F3">
      <w:pPr>
        <w:pStyle w:val="26"/>
        <w:spacing w:before="78" w:beforeLines="25" w:after="78" w:afterLines="25" w:line="240" w:lineRule="auto"/>
        <w:rPr>
          <w:rFonts w:hint="eastAsia"/>
        </w:rPr>
      </w:pPr>
      <w:r>
        <w:rPr>
          <w:rFonts w:hint="eastAsia"/>
        </w:rPr>
        <w:fldChar w:fldCharType="begin"/>
      </w:r>
      <w:r>
        <w:rPr>
          <w:rFonts w:hint="eastAsia"/>
        </w:rPr>
        <w:instrText xml:space="preserve"> HYPERLINK \l _Toc24040 </w:instrText>
      </w:r>
      <w:r>
        <w:rPr>
          <w:rFonts w:hint="eastAsia"/>
        </w:rPr>
        <w:fldChar w:fldCharType="separate"/>
      </w:r>
      <w:r>
        <w:rPr>
          <w:rFonts w:hint="eastAsia"/>
        </w:rPr>
        <w:t xml:space="preserve">6.1 </w:t>
      </w:r>
      <w:r>
        <w:rPr>
          <w:rFonts w:hint="eastAsia"/>
          <w:lang w:val="en-US" w:eastAsia="zh-CN"/>
        </w:rPr>
        <w:t>指标项描述方法</w:t>
      </w:r>
      <w:r>
        <w:rPr>
          <w:rFonts w:hint="eastAsia"/>
        </w:rPr>
        <w:tab/>
      </w:r>
      <w:r>
        <w:rPr>
          <w:rFonts w:hint="eastAsia"/>
        </w:rPr>
        <w:fldChar w:fldCharType="begin"/>
      </w:r>
      <w:r>
        <w:rPr>
          <w:rFonts w:hint="eastAsia"/>
        </w:rPr>
        <w:instrText xml:space="preserve"> PAGEREF _Toc24040 \h </w:instrText>
      </w:r>
      <w:r>
        <w:rPr>
          <w:rFonts w:hint="eastAsia"/>
        </w:rPr>
        <w:fldChar w:fldCharType="separate"/>
      </w:r>
      <w:r>
        <w:rPr>
          <w:rFonts w:hint="eastAsia"/>
        </w:rPr>
        <w:t>2</w:t>
      </w:r>
      <w:r>
        <w:rPr>
          <w:rFonts w:hint="eastAsia"/>
        </w:rPr>
        <w:fldChar w:fldCharType="end"/>
      </w:r>
      <w:r>
        <w:rPr>
          <w:rFonts w:hint="eastAsia"/>
        </w:rPr>
        <w:fldChar w:fldCharType="end"/>
      </w:r>
    </w:p>
    <w:p w14:paraId="62E57DD8">
      <w:pPr>
        <w:pStyle w:val="26"/>
        <w:spacing w:before="78" w:beforeLines="25" w:after="78" w:afterLines="25" w:line="240" w:lineRule="auto"/>
        <w:rPr>
          <w:rFonts w:hint="eastAsia"/>
        </w:rPr>
      </w:pPr>
      <w:r>
        <w:rPr>
          <w:rFonts w:hint="eastAsia"/>
        </w:rPr>
        <w:fldChar w:fldCharType="begin"/>
      </w:r>
      <w:r>
        <w:rPr>
          <w:rFonts w:hint="eastAsia"/>
        </w:rPr>
        <w:instrText xml:space="preserve"> HYPERLINK \l _Toc1005 </w:instrText>
      </w:r>
      <w:r>
        <w:rPr>
          <w:rFonts w:hint="eastAsia"/>
        </w:rPr>
        <w:fldChar w:fldCharType="separate"/>
      </w:r>
      <w:r>
        <w:rPr>
          <w:rFonts w:hint="eastAsia"/>
        </w:rPr>
        <w:t xml:space="preserve">6.2 </w:t>
      </w:r>
      <w:r>
        <w:rPr>
          <w:rFonts w:hint="eastAsia"/>
          <w:lang w:val="en-US" w:eastAsia="zh-CN"/>
        </w:rPr>
        <w:t>指标体系内容</w:t>
      </w:r>
      <w:r>
        <w:rPr>
          <w:rFonts w:hint="eastAsia"/>
        </w:rPr>
        <w:tab/>
      </w:r>
      <w:r>
        <w:rPr>
          <w:rFonts w:hint="eastAsia"/>
        </w:rPr>
        <w:fldChar w:fldCharType="begin"/>
      </w:r>
      <w:r>
        <w:rPr>
          <w:rFonts w:hint="eastAsia"/>
        </w:rPr>
        <w:instrText xml:space="preserve"> PAGEREF _Toc1005 \h </w:instrText>
      </w:r>
      <w:r>
        <w:rPr>
          <w:rFonts w:hint="eastAsia"/>
        </w:rPr>
        <w:fldChar w:fldCharType="separate"/>
      </w:r>
      <w:r>
        <w:rPr>
          <w:rFonts w:hint="eastAsia"/>
        </w:rPr>
        <w:t>2</w:t>
      </w:r>
      <w:r>
        <w:rPr>
          <w:rFonts w:hint="eastAsia"/>
        </w:rPr>
        <w:fldChar w:fldCharType="end"/>
      </w:r>
      <w:r>
        <w:rPr>
          <w:rFonts w:hint="eastAsia"/>
        </w:rPr>
        <w:fldChar w:fldCharType="end"/>
      </w:r>
    </w:p>
    <w:p w14:paraId="70FCFE24">
      <w:pPr>
        <w:pStyle w:val="21"/>
        <w:keepNext w:val="0"/>
        <w:keepLines w:val="0"/>
        <w:pageBreakBefore w:val="0"/>
        <w:widowControl w:val="0"/>
        <w:tabs>
          <w:tab w:val="right" w:leader="dot" w:pos="9344"/>
        </w:tabs>
        <w:kinsoku/>
        <w:wordWrap/>
        <w:overflowPunct/>
        <w:topLinePunct w:val="0"/>
        <w:autoSpaceDE/>
        <w:autoSpaceDN/>
        <w:bidi w:val="0"/>
        <w:adjustRightInd w:val="0"/>
        <w:snapToGrid/>
        <w:spacing w:before="78" w:beforeLines="25" w:after="78" w:afterLines="25" w:line="240" w:lineRule="auto"/>
        <w:textAlignment w:val="auto"/>
        <w:rPr>
          <w:rFonts w:hint="eastAsia"/>
        </w:rPr>
      </w:pPr>
      <w:r>
        <w:rPr>
          <w:rFonts w:hint="eastAsia"/>
        </w:rPr>
        <w:fldChar w:fldCharType="begin"/>
      </w:r>
      <w:r>
        <w:rPr>
          <w:rFonts w:hint="eastAsia"/>
        </w:rPr>
        <w:instrText xml:space="preserve"> HYPERLINK \l _Toc11573 </w:instrText>
      </w:r>
      <w:r>
        <w:rPr>
          <w:rFonts w:hint="eastAsia"/>
        </w:rPr>
        <w:fldChar w:fldCharType="separate"/>
      </w:r>
      <w:r>
        <w:rPr>
          <w:rFonts w:hint="eastAsia"/>
          <w:lang w:val="en-US" w:eastAsia="zh-CN"/>
        </w:rPr>
        <w:t>7 统计监测方法</w:t>
      </w:r>
      <w:r>
        <w:rPr>
          <w:rFonts w:hint="eastAsia"/>
        </w:rPr>
        <w:tab/>
      </w:r>
      <w:r>
        <w:rPr>
          <w:rFonts w:hint="eastAsia"/>
        </w:rPr>
        <w:fldChar w:fldCharType="begin"/>
      </w:r>
      <w:r>
        <w:rPr>
          <w:rFonts w:hint="eastAsia"/>
        </w:rPr>
        <w:instrText xml:space="preserve"> PAGEREF _Toc11573 \h </w:instrText>
      </w:r>
      <w:r>
        <w:rPr>
          <w:rFonts w:hint="eastAsia"/>
        </w:rPr>
        <w:fldChar w:fldCharType="separate"/>
      </w:r>
      <w:r>
        <w:rPr>
          <w:rFonts w:hint="eastAsia"/>
        </w:rPr>
        <w:t>7</w:t>
      </w:r>
      <w:r>
        <w:rPr>
          <w:rFonts w:hint="eastAsia"/>
        </w:rPr>
        <w:fldChar w:fldCharType="end"/>
      </w:r>
      <w:r>
        <w:rPr>
          <w:rFonts w:hint="eastAsia"/>
        </w:rPr>
        <w:fldChar w:fldCharType="end"/>
      </w:r>
    </w:p>
    <w:p w14:paraId="39744996">
      <w:pPr>
        <w:pStyle w:val="26"/>
        <w:spacing w:before="78" w:beforeLines="25" w:after="78" w:afterLines="25" w:line="240" w:lineRule="auto"/>
        <w:rPr>
          <w:rFonts w:hint="eastAsia"/>
        </w:rPr>
      </w:pPr>
      <w:r>
        <w:rPr>
          <w:rFonts w:hint="eastAsia"/>
        </w:rPr>
        <w:fldChar w:fldCharType="begin"/>
      </w:r>
      <w:r>
        <w:rPr>
          <w:rFonts w:hint="eastAsia"/>
        </w:rPr>
        <w:instrText xml:space="preserve"> HYPERLINK \l _Toc32261 </w:instrText>
      </w:r>
      <w:r>
        <w:rPr>
          <w:rFonts w:hint="eastAsia"/>
        </w:rPr>
        <w:fldChar w:fldCharType="separate"/>
      </w:r>
      <w:r>
        <w:rPr>
          <w:rFonts w:hint="eastAsia"/>
        </w:rPr>
        <w:t xml:space="preserve">7.1 </w:t>
      </w:r>
      <w:r>
        <w:rPr>
          <w:rFonts w:hint="eastAsia"/>
          <w:lang w:val="en-US" w:eastAsia="zh-CN"/>
        </w:rPr>
        <w:t>计算方法</w:t>
      </w:r>
      <w:r>
        <w:rPr>
          <w:rFonts w:hint="eastAsia"/>
        </w:rPr>
        <w:tab/>
      </w:r>
      <w:r>
        <w:rPr>
          <w:rFonts w:hint="eastAsia"/>
        </w:rPr>
        <w:fldChar w:fldCharType="begin"/>
      </w:r>
      <w:r>
        <w:rPr>
          <w:rFonts w:hint="eastAsia"/>
        </w:rPr>
        <w:instrText xml:space="preserve"> PAGEREF _Toc32261 \h </w:instrText>
      </w:r>
      <w:r>
        <w:rPr>
          <w:rFonts w:hint="eastAsia"/>
        </w:rPr>
        <w:fldChar w:fldCharType="separate"/>
      </w:r>
      <w:r>
        <w:rPr>
          <w:rFonts w:hint="eastAsia"/>
        </w:rPr>
        <w:t>7</w:t>
      </w:r>
      <w:r>
        <w:rPr>
          <w:rFonts w:hint="eastAsia"/>
        </w:rPr>
        <w:fldChar w:fldCharType="end"/>
      </w:r>
      <w:r>
        <w:rPr>
          <w:rFonts w:hint="eastAsia"/>
        </w:rPr>
        <w:fldChar w:fldCharType="end"/>
      </w:r>
    </w:p>
    <w:p w14:paraId="0180E36A">
      <w:pPr>
        <w:pStyle w:val="26"/>
        <w:spacing w:before="78" w:beforeLines="25" w:after="78" w:afterLines="25" w:line="240" w:lineRule="auto"/>
        <w:rPr>
          <w:rFonts w:hint="eastAsia"/>
        </w:rPr>
      </w:pPr>
      <w:r>
        <w:rPr>
          <w:rFonts w:hint="eastAsia"/>
        </w:rPr>
        <w:fldChar w:fldCharType="begin"/>
      </w:r>
      <w:r>
        <w:rPr>
          <w:rFonts w:hint="eastAsia"/>
        </w:rPr>
        <w:instrText xml:space="preserve"> HYPERLINK \l _Toc32314 </w:instrText>
      </w:r>
      <w:r>
        <w:rPr>
          <w:rFonts w:hint="eastAsia"/>
        </w:rPr>
        <w:fldChar w:fldCharType="separate"/>
      </w:r>
      <w:r>
        <w:rPr>
          <w:rFonts w:hint="eastAsia"/>
          <w:lang w:val="en-US" w:eastAsia="zh-CN"/>
        </w:rPr>
        <w:t>7.2 权重分配</w:t>
      </w:r>
      <w:r>
        <w:rPr>
          <w:rFonts w:hint="eastAsia"/>
        </w:rPr>
        <w:tab/>
      </w:r>
      <w:r>
        <w:rPr>
          <w:rFonts w:hint="eastAsia"/>
        </w:rPr>
        <w:fldChar w:fldCharType="begin"/>
      </w:r>
      <w:r>
        <w:rPr>
          <w:rFonts w:hint="eastAsia"/>
        </w:rPr>
        <w:instrText xml:space="preserve"> PAGEREF _Toc32314 \h </w:instrText>
      </w:r>
      <w:r>
        <w:rPr>
          <w:rFonts w:hint="eastAsia"/>
        </w:rPr>
        <w:fldChar w:fldCharType="separate"/>
      </w:r>
      <w:r>
        <w:rPr>
          <w:rFonts w:hint="eastAsia"/>
        </w:rPr>
        <w:t>7</w:t>
      </w:r>
      <w:r>
        <w:rPr>
          <w:rFonts w:hint="eastAsia"/>
        </w:rPr>
        <w:fldChar w:fldCharType="end"/>
      </w:r>
      <w:r>
        <w:rPr>
          <w:rFonts w:hint="eastAsia"/>
        </w:rPr>
        <w:fldChar w:fldCharType="end"/>
      </w:r>
    </w:p>
    <w:p w14:paraId="6FC9791B">
      <w:pPr>
        <w:pStyle w:val="26"/>
        <w:spacing w:before="78" w:beforeLines="25" w:after="78" w:afterLines="25" w:line="240" w:lineRule="auto"/>
        <w:rPr>
          <w:rFonts w:hint="eastAsia"/>
        </w:rPr>
      </w:pPr>
      <w:r>
        <w:rPr>
          <w:rFonts w:hint="eastAsia"/>
        </w:rPr>
        <w:fldChar w:fldCharType="begin"/>
      </w:r>
      <w:r>
        <w:rPr>
          <w:rFonts w:hint="eastAsia"/>
        </w:rPr>
        <w:instrText xml:space="preserve"> HYPERLINK \l _Toc18115 </w:instrText>
      </w:r>
      <w:r>
        <w:rPr>
          <w:rFonts w:hint="eastAsia"/>
        </w:rPr>
        <w:fldChar w:fldCharType="separate"/>
      </w:r>
      <w:r>
        <w:rPr>
          <w:rFonts w:hint="eastAsia"/>
          <w:lang w:val="en-US" w:eastAsia="zh-CN"/>
        </w:rPr>
        <w:t>7.3 结果范围</w:t>
      </w:r>
      <w:r>
        <w:rPr>
          <w:rFonts w:hint="eastAsia"/>
        </w:rPr>
        <w:tab/>
      </w:r>
      <w:r>
        <w:rPr>
          <w:rFonts w:hint="eastAsia"/>
        </w:rPr>
        <w:fldChar w:fldCharType="begin"/>
      </w:r>
      <w:r>
        <w:rPr>
          <w:rFonts w:hint="eastAsia"/>
        </w:rPr>
        <w:instrText xml:space="preserve"> PAGEREF _Toc18115 \h </w:instrText>
      </w:r>
      <w:r>
        <w:rPr>
          <w:rFonts w:hint="eastAsia"/>
        </w:rPr>
        <w:fldChar w:fldCharType="separate"/>
      </w:r>
      <w:r>
        <w:rPr>
          <w:rFonts w:hint="eastAsia"/>
        </w:rPr>
        <w:t>7</w:t>
      </w:r>
      <w:r>
        <w:rPr>
          <w:rFonts w:hint="eastAsia"/>
        </w:rPr>
        <w:fldChar w:fldCharType="end"/>
      </w:r>
      <w:r>
        <w:rPr>
          <w:rFonts w:hint="eastAsia"/>
        </w:rPr>
        <w:fldChar w:fldCharType="end"/>
      </w:r>
    </w:p>
    <w:p w14:paraId="63EB54D5">
      <w:pPr>
        <w:pStyle w:val="26"/>
        <w:spacing w:before="78" w:beforeLines="25" w:after="78" w:afterLines="25" w:line="240" w:lineRule="auto"/>
        <w:rPr>
          <w:rFonts w:hint="eastAsia"/>
        </w:rPr>
      </w:pPr>
      <w:r>
        <w:rPr>
          <w:rFonts w:hint="eastAsia"/>
        </w:rPr>
        <w:fldChar w:fldCharType="begin"/>
      </w:r>
      <w:r>
        <w:rPr>
          <w:rFonts w:hint="eastAsia"/>
        </w:rPr>
        <w:instrText xml:space="preserve"> HYPERLINK \l _Toc19291 </w:instrText>
      </w:r>
      <w:r>
        <w:rPr>
          <w:rFonts w:hint="eastAsia"/>
        </w:rPr>
        <w:fldChar w:fldCharType="separate"/>
      </w:r>
      <w:r>
        <w:rPr>
          <w:rFonts w:hint="eastAsia"/>
          <w:lang w:val="en-US" w:eastAsia="zh-CN"/>
        </w:rPr>
        <w:t>7.4 统计监测流程​</w:t>
      </w:r>
      <w:r>
        <w:rPr>
          <w:rFonts w:hint="eastAsia"/>
        </w:rPr>
        <w:tab/>
      </w:r>
      <w:r>
        <w:rPr>
          <w:rFonts w:hint="eastAsia"/>
        </w:rPr>
        <w:fldChar w:fldCharType="begin"/>
      </w:r>
      <w:r>
        <w:rPr>
          <w:rFonts w:hint="eastAsia"/>
        </w:rPr>
        <w:instrText xml:space="preserve"> PAGEREF _Toc19291 \h </w:instrText>
      </w:r>
      <w:r>
        <w:rPr>
          <w:rFonts w:hint="eastAsia"/>
        </w:rPr>
        <w:fldChar w:fldCharType="separate"/>
      </w:r>
      <w:r>
        <w:rPr>
          <w:rFonts w:hint="eastAsia"/>
        </w:rPr>
        <w:t>7</w:t>
      </w:r>
      <w:r>
        <w:rPr>
          <w:rFonts w:hint="eastAsia"/>
        </w:rPr>
        <w:fldChar w:fldCharType="end"/>
      </w:r>
      <w:r>
        <w:rPr>
          <w:rFonts w:hint="eastAsia"/>
        </w:rPr>
        <w:fldChar w:fldCharType="end"/>
      </w:r>
    </w:p>
    <w:p w14:paraId="54667A42">
      <w:pPr>
        <w:pStyle w:val="21"/>
        <w:keepNext w:val="0"/>
        <w:keepLines w:val="0"/>
        <w:pageBreakBefore w:val="0"/>
        <w:widowControl w:val="0"/>
        <w:tabs>
          <w:tab w:val="right" w:leader="dot" w:pos="9344"/>
        </w:tabs>
        <w:kinsoku/>
        <w:wordWrap/>
        <w:overflowPunct/>
        <w:topLinePunct w:val="0"/>
        <w:autoSpaceDE/>
        <w:autoSpaceDN/>
        <w:bidi w:val="0"/>
        <w:adjustRightInd w:val="0"/>
        <w:snapToGrid/>
        <w:spacing w:before="78" w:beforeLines="25" w:after="78" w:afterLines="25" w:line="240" w:lineRule="auto"/>
        <w:textAlignment w:val="auto"/>
        <w:rPr>
          <w:rFonts w:hint="eastAsia"/>
        </w:rPr>
      </w:pPr>
      <w:r>
        <w:rPr>
          <w:rFonts w:hint="eastAsia"/>
        </w:rPr>
        <w:fldChar w:fldCharType="begin"/>
      </w:r>
      <w:r>
        <w:rPr>
          <w:rFonts w:hint="eastAsia"/>
        </w:rPr>
        <w:instrText xml:space="preserve"> HYPERLINK \l _Toc14698 </w:instrText>
      </w:r>
      <w:r>
        <w:rPr>
          <w:rFonts w:hint="eastAsia"/>
        </w:rPr>
        <w:fldChar w:fldCharType="separate"/>
      </w:r>
      <w:r>
        <w:rPr>
          <w:rFonts w:hint="eastAsia"/>
          <w:lang w:val="en-US" w:eastAsia="zh-CN"/>
        </w:rPr>
        <w:t>附录A</w:t>
      </w:r>
      <w:r>
        <w:rPr>
          <w:rFonts w:hint="eastAsia"/>
        </w:rPr>
        <w:t>（</w:t>
      </w:r>
      <w:r>
        <w:rPr>
          <w:rFonts w:hint="eastAsia"/>
          <w:lang w:val="en-US" w:eastAsia="zh-CN"/>
        </w:rPr>
        <w:t>资料性</w:t>
      </w:r>
      <w:r>
        <w:rPr>
          <w:rFonts w:hint="eastAsia"/>
        </w:rPr>
        <w:t>附录）</w:t>
      </w:r>
      <w:r>
        <w:rPr>
          <w:rFonts w:hint="eastAsia"/>
          <w:lang w:val="en-US" w:eastAsia="zh-CN"/>
        </w:rPr>
        <w:t>康养创富联合体总测度值计算过程示例</w:t>
      </w:r>
      <w:r>
        <w:rPr>
          <w:rFonts w:hint="eastAsia"/>
        </w:rPr>
        <w:tab/>
      </w:r>
      <w:r>
        <w:rPr>
          <w:rFonts w:hint="eastAsia"/>
        </w:rPr>
        <w:fldChar w:fldCharType="begin"/>
      </w:r>
      <w:r>
        <w:rPr>
          <w:rFonts w:hint="eastAsia"/>
        </w:rPr>
        <w:instrText xml:space="preserve"> PAGEREF _Toc14698 \h </w:instrText>
      </w:r>
      <w:r>
        <w:rPr>
          <w:rFonts w:hint="eastAsia"/>
        </w:rPr>
        <w:fldChar w:fldCharType="separate"/>
      </w:r>
      <w:r>
        <w:rPr>
          <w:rFonts w:hint="eastAsia"/>
        </w:rPr>
        <w:t>9</w:t>
      </w:r>
      <w:r>
        <w:rPr>
          <w:rFonts w:hint="eastAsia"/>
        </w:rPr>
        <w:fldChar w:fldCharType="end"/>
      </w:r>
      <w:r>
        <w:rPr>
          <w:rFonts w:hint="eastAsia"/>
        </w:rPr>
        <w:fldChar w:fldCharType="end"/>
      </w:r>
    </w:p>
    <w:p w14:paraId="0B49F8FA">
      <w:pPr>
        <w:pStyle w:val="21"/>
        <w:keepNext w:val="0"/>
        <w:keepLines w:val="0"/>
        <w:pageBreakBefore w:val="0"/>
        <w:widowControl w:val="0"/>
        <w:tabs>
          <w:tab w:val="right" w:leader="dot" w:pos="9344"/>
        </w:tabs>
        <w:kinsoku/>
        <w:wordWrap/>
        <w:overflowPunct/>
        <w:topLinePunct w:val="0"/>
        <w:autoSpaceDE/>
        <w:autoSpaceDN/>
        <w:bidi w:val="0"/>
        <w:adjustRightInd w:val="0"/>
        <w:snapToGrid/>
        <w:spacing w:before="78" w:beforeLines="25" w:after="78" w:afterLines="25" w:line="240" w:lineRule="auto"/>
        <w:textAlignment w:val="auto"/>
        <w:rPr>
          <w:rFonts w:hint="eastAsia"/>
        </w:rPr>
      </w:pPr>
      <w:r>
        <w:rPr>
          <w:rFonts w:hint="eastAsia"/>
        </w:rPr>
        <w:fldChar w:fldCharType="begin"/>
      </w:r>
      <w:r>
        <w:rPr>
          <w:rFonts w:hint="eastAsia"/>
        </w:rPr>
        <w:instrText xml:space="preserve"> HYPERLINK \l _Toc30824 </w:instrText>
      </w:r>
      <w:r>
        <w:rPr>
          <w:rFonts w:hint="eastAsia"/>
        </w:rPr>
        <w:fldChar w:fldCharType="separate"/>
      </w:r>
      <w:r>
        <w:rPr>
          <w:rFonts w:hint="eastAsia"/>
        </w:rPr>
        <w:t>参考文献</w:t>
      </w:r>
      <w:r>
        <w:rPr>
          <w:rFonts w:hint="eastAsia"/>
        </w:rPr>
        <w:tab/>
      </w:r>
      <w:r>
        <w:rPr>
          <w:rFonts w:hint="eastAsia"/>
        </w:rPr>
        <w:fldChar w:fldCharType="begin"/>
      </w:r>
      <w:r>
        <w:rPr>
          <w:rFonts w:hint="eastAsia"/>
        </w:rPr>
        <w:instrText xml:space="preserve"> PAGEREF _Toc30824 \h </w:instrText>
      </w:r>
      <w:r>
        <w:rPr>
          <w:rFonts w:hint="eastAsia"/>
        </w:rPr>
        <w:fldChar w:fldCharType="separate"/>
      </w:r>
      <w:r>
        <w:rPr>
          <w:rFonts w:hint="eastAsia"/>
        </w:rPr>
        <w:t>10</w:t>
      </w:r>
      <w:r>
        <w:rPr>
          <w:rFonts w:hint="eastAsia"/>
        </w:rPr>
        <w:fldChar w:fldCharType="end"/>
      </w:r>
      <w:r>
        <w:rPr>
          <w:rFonts w:hint="eastAsia"/>
        </w:rPr>
        <w:fldChar w:fldCharType="end"/>
      </w:r>
    </w:p>
    <w:p w14:paraId="0509C4BD">
      <w:pPr>
        <w:pStyle w:val="97"/>
        <w:spacing w:before="78" w:beforeLines="25" w:after="78" w:afterLines="25"/>
        <w:sectPr>
          <w:headerReference r:id="rId9" w:type="default"/>
          <w:footerReference r:id="rId11" w:type="default"/>
          <w:headerReference r:id="rId10" w:type="even"/>
          <w:footerReference r:id="rId12" w:type="even"/>
          <w:pgSz w:w="11906" w:h="16838"/>
          <w:pgMar w:top="851" w:right="1134" w:bottom="1134" w:left="1418" w:header="1418" w:footer="1134" w:gutter="0"/>
          <w:pgBorders>
            <w:top w:val="none" w:sz="0" w:space="0"/>
            <w:left w:val="none" w:sz="0" w:space="0"/>
            <w:bottom w:val="none" w:sz="0" w:space="0"/>
            <w:right w:val="none" w:sz="0" w:space="0"/>
          </w:pgBorders>
          <w:pgNumType w:fmt="upperRoman" w:start="1"/>
          <w:cols w:space="425" w:num="1"/>
          <w:formProt w:val="0"/>
          <w:docGrid w:type="lines" w:linePitch="312" w:charSpace="0"/>
        </w:sectPr>
      </w:pPr>
      <w:r>
        <w:rPr>
          <w:rFonts w:hint="eastAsia" w:ascii="宋体" w:hAnsi="宋体" w:eastAsia="宋体" w:cs="宋体"/>
        </w:rPr>
        <w:fldChar w:fldCharType="end"/>
      </w:r>
    </w:p>
    <w:bookmarkEnd w:id="16"/>
    <w:p w14:paraId="62CD3FFA">
      <w:pPr>
        <w:pStyle w:val="95"/>
        <w:numPr>
          <w:ilvl w:val="0"/>
          <w:numId w:val="0"/>
        </w:numPr>
        <w:spacing w:after="468"/>
      </w:pPr>
      <w:bookmarkStart w:id="17" w:name="_Toc26944"/>
      <w:bookmarkStart w:id="18" w:name="BookMark2"/>
      <w:r>
        <w:rPr>
          <w:spacing w:val="320"/>
        </w:rPr>
        <w:t>前</w:t>
      </w:r>
      <w:r>
        <w:t>言</w:t>
      </w:r>
      <w:bookmarkEnd w:id="17"/>
    </w:p>
    <w:p w14:paraId="771C584C">
      <w:pPr>
        <w:pStyle w:val="62"/>
        <w:ind w:firstLine="420"/>
        <w:rPr>
          <w:rFonts w:hAnsi="宋体"/>
        </w:rPr>
      </w:pPr>
      <w:r>
        <w:rPr>
          <w:rFonts w:hint="eastAsia" w:hAnsi="宋体"/>
        </w:rPr>
        <w:t>本文件按照</w:t>
      </w:r>
      <w:r>
        <w:rPr>
          <w:rFonts w:hAnsi="宋体"/>
        </w:rPr>
        <w:t>GB/T 1.1—2020</w:t>
      </w:r>
      <w:r>
        <w:rPr>
          <w:rFonts w:hint="eastAsia" w:hAnsi="宋体"/>
        </w:rPr>
        <w:t>《标准化工作导则  第1部分：标准化文件的结构和起草规则》的规定起草。</w:t>
      </w:r>
    </w:p>
    <w:p w14:paraId="173CA976">
      <w:pPr>
        <w:pStyle w:val="62"/>
        <w:ind w:firstLine="420"/>
        <w:rPr>
          <w:rFonts w:hAnsi="宋体" w:cs="宋体"/>
        </w:rPr>
      </w:pPr>
      <w:r>
        <w:rPr>
          <w:rFonts w:hint="eastAsia" w:hAnsi="宋体" w:cs="宋体"/>
        </w:rPr>
        <w:t>请注意本文件的某些内容可能涉及专利。本文件的发布机构不承担识别专利的责任。</w:t>
      </w:r>
    </w:p>
    <w:p w14:paraId="0D3DD283">
      <w:pPr>
        <w:pStyle w:val="62"/>
        <w:ind w:firstLine="420"/>
        <w:rPr>
          <w:rFonts w:hAnsi="宋体"/>
        </w:rPr>
      </w:pPr>
      <w:r>
        <w:rPr>
          <w:rFonts w:hint="eastAsia" w:hAnsi="宋体"/>
        </w:rPr>
        <w:t>本文件由</w:t>
      </w:r>
      <w:r>
        <w:rPr>
          <w:rFonts w:hint="eastAsia" w:ascii="宋体"/>
          <w:color w:val="000000"/>
          <w:highlight w:val="none"/>
          <w:lang w:eastAsia="zh-CN"/>
        </w:rPr>
        <w:t>攀枝花市文化旅游产业发展中心</w:t>
      </w:r>
      <w:r>
        <w:rPr>
          <w:rFonts w:hint="eastAsia" w:hAnsi="宋体"/>
        </w:rPr>
        <w:t>提出并归口。</w:t>
      </w:r>
    </w:p>
    <w:p w14:paraId="17C19960">
      <w:pPr>
        <w:pStyle w:val="62"/>
        <w:ind w:firstLine="420"/>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本文件起草单位：</w:t>
      </w:r>
      <w:r>
        <w:rPr>
          <w:rFonts w:hint="eastAsia" w:ascii="宋体"/>
          <w:color w:val="000000"/>
          <w:highlight w:val="none"/>
          <w:lang w:eastAsia="zh-CN"/>
        </w:rPr>
        <w:t>攀枝花市文化旅游产业发展中心、</w:t>
      </w:r>
      <w:r>
        <w:rPr>
          <w:rFonts w:hint="eastAsia"/>
          <w:color w:val="000000"/>
          <w:highlight w:val="none"/>
          <w:lang w:val="en-US" w:eastAsia="zh-CN"/>
        </w:rPr>
        <w:t>XXX</w:t>
      </w:r>
      <w:r>
        <w:rPr>
          <w:rFonts w:hint="eastAsia" w:hAnsi="宋体"/>
          <w:color w:val="000000" w:themeColor="text1"/>
          <w14:textFill>
            <w14:solidFill>
              <w14:schemeClr w14:val="tx1"/>
            </w14:solidFill>
          </w14:textFill>
        </w:rPr>
        <w:t>。</w:t>
      </w:r>
    </w:p>
    <w:p w14:paraId="7925AAAC">
      <w:pPr>
        <w:pStyle w:val="62"/>
        <w:ind w:firstLine="420"/>
        <w:rPr>
          <w:rFonts w:hAnsi="宋体"/>
        </w:rPr>
      </w:pPr>
      <w:r>
        <w:rPr>
          <w:rFonts w:hint="eastAsia" w:hAnsi="宋体"/>
          <w:color w:val="000000" w:themeColor="text1"/>
          <w14:textFill>
            <w14:solidFill>
              <w14:schemeClr w14:val="tx1"/>
            </w14:solidFill>
          </w14:textFill>
        </w:rPr>
        <w:t>本文件主要起草人：。</w:t>
      </w:r>
    </w:p>
    <w:p w14:paraId="6AE540BE">
      <w:pPr>
        <w:pStyle w:val="62"/>
        <w:ind w:firstLine="420"/>
        <w:rPr>
          <w:rFonts w:hAnsi="宋体"/>
        </w:rPr>
      </w:pPr>
    </w:p>
    <w:p w14:paraId="77F1A571">
      <w:pPr>
        <w:pStyle w:val="62"/>
        <w:ind w:firstLine="420"/>
      </w:pPr>
    </w:p>
    <w:p w14:paraId="0C64D9F6">
      <w:pPr>
        <w:pStyle w:val="62"/>
        <w:ind w:firstLine="420"/>
        <w:sectPr>
          <w:headerReference r:id="rId13" w:type="default"/>
          <w:footerReference r:id="rId15" w:type="default"/>
          <w:headerReference r:id="rId14" w:type="even"/>
          <w:footerReference r:id="rId16" w:type="even"/>
          <w:pgSz w:w="11906" w:h="16838"/>
          <w:pgMar w:top="851" w:right="1134" w:bottom="1134" w:left="1418" w:header="1418" w:footer="1134" w:gutter="0"/>
          <w:pgBorders>
            <w:top w:val="none" w:sz="0" w:space="0"/>
            <w:left w:val="none" w:sz="0" w:space="0"/>
            <w:bottom w:val="none" w:sz="0" w:space="0"/>
            <w:right w:val="none" w:sz="0" w:space="0"/>
          </w:pgBorders>
          <w:pgNumType w:fmt="upperRoman"/>
          <w:cols w:space="425" w:num="1"/>
          <w:formProt w:val="0"/>
          <w:docGrid w:type="lines" w:linePitch="312" w:charSpace="0"/>
        </w:sectPr>
      </w:pPr>
    </w:p>
    <w:bookmarkEnd w:id="18"/>
    <w:p w14:paraId="140A7A3A">
      <w:pPr>
        <w:spacing w:line="20" w:lineRule="exact"/>
        <w:jc w:val="center"/>
        <w:rPr>
          <w:rFonts w:ascii="黑体" w:hAnsi="黑体" w:eastAsia="黑体"/>
          <w:sz w:val="32"/>
          <w:szCs w:val="32"/>
        </w:rPr>
      </w:pPr>
      <w:bookmarkStart w:id="19" w:name="BookMark4"/>
    </w:p>
    <w:p w14:paraId="70FFBDF6">
      <w:pPr>
        <w:spacing w:line="20" w:lineRule="exact"/>
        <w:jc w:val="center"/>
        <w:rPr>
          <w:rFonts w:ascii="黑体" w:hAnsi="黑体" w:eastAsia="黑体"/>
          <w:sz w:val="32"/>
          <w:szCs w:val="32"/>
        </w:rPr>
      </w:pPr>
    </w:p>
    <w:sdt>
      <w:sdtPr>
        <w:tag w:val="NEW_STAND_NAME"/>
        <w:id w:val="595910757"/>
        <w:lock w:val="sdtLocked"/>
        <w:placeholder>
          <w:docPart w:val="0AF6EB12892743C8BF68922404A23389"/>
        </w:placeholder>
      </w:sdtPr>
      <w:sdtContent>
        <w:p w14:paraId="1E277DBB">
          <w:pPr>
            <w:pStyle w:val="183"/>
            <w:spacing w:before="640" w:after="460" w:line="240" w:lineRule="auto"/>
          </w:pPr>
          <w:bookmarkStart w:id="20" w:name="_Toc11528"/>
          <w:bookmarkStart w:id="21" w:name="NEW_STAND_NAME"/>
          <w:r>
            <w:rPr>
              <w:rFonts w:hint="eastAsia"/>
              <w:color w:val="000000"/>
              <w:highlight w:val="none"/>
            </w:rPr>
            <w:t>康养创富联合体</w:t>
          </w:r>
          <w:bookmarkEnd w:id="20"/>
          <w:r>
            <w:rPr>
              <w:rFonts w:hint="eastAsia"/>
              <w:color w:val="000000"/>
              <w:highlight w:val="none"/>
              <w:lang w:val="en-US" w:eastAsia="zh-CN"/>
            </w:rPr>
            <w:t>统计监测指标体系</w:t>
          </w:r>
        </w:p>
      </w:sdtContent>
    </w:sdt>
    <w:bookmarkEnd w:id="21"/>
    <w:p w14:paraId="6C0F300B">
      <w:pPr>
        <w:pStyle w:val="110"/>
      </w:pPr>
      <w:bookmarkStart w:id="22" w:name="_Toc26648465"/>
      <w:bookmarkStart w:id="23" w:name="_Toc17233333"/>
      <w:bookmarkStart w:id="24" w:name="_Toc23914"/>
      <w:bookmarkStart w:id="25" w:name="_Toc26986530"/>
      <w:bookmarkStart w:id="26" w:name="_Toc26718930"/>
      <w:bookmarkStart w:id="27" w:name="_Toc17233325"/>
      <w:bookmarkStart w:id="28" w:name="_Toc26986771"/>
      <w:bookmarkStart w:id="29" w:name="_Toc24884211"/>
      <w:bookmarkStart w:id="30" w:name="_Toc97191423"/>
      <w:bookmarkStart w:id="31" w:name="_Toc24884218"/>
      <w:r>
        <w:rPr>
          <w:rFonts w:hint="eastAsia"/>
        </w:rPr>
        <w:t>范围</w:t>
      </w:r>
      <w:bookmarkEnd w:id="22"/>
      <w:bookmarkEnd w:id="23"/>
      <w:bookmarkEnd w:id="24"/>
      <w:bookmarkEnd w:id="25"/>
      <w:bookmarkEnd w:id="26"/>
      <w:bookmarkEnd w:id="27"/>
      <w:bookmarkEnd w:id="28"/>
      <w:bookmarkEnd w:id="29"/>
      <w:bookmarkEnd w:id="30"/>
      <w:bookmarkEnd w:id="31"/>
    </w:p>
    <w:p w14:paraId="69E45C6C">
      <w:pPr>
        <w:pStyle w:val="62"/>
        <w:ind w:firstLine="420"/>
        <w:rPr>
          <w:rFonts w:hint="eastAsia"/>
        </w:rPr>
      </w:pPr>
      <w:bookmarkStart w:id="32" w:name="_Toc24884219"/>
      <w:bookmarkStart w:id="33" w:name="_Toc17233326"/>
      <w:bookmarkStart w:id="34" w:name="_Toc24884212"/>
      <w:bookmarkStart w:id="35" w:name="_Toc26648466"/>
      <w:bookmarkStart w:id="36" w:name="_Toc17233334"/>
      <w:r>
        <w:rPr>
          <w:rFonts w:hint="eastAsia"/>
        </w:rPr>
        <w:t>本文件规定了攀枝花市康养创富联合体统计监测指标体系框架、指标描述及其内容、统计监测方法。</w:t>
      </w:r>
    </w:p>
    <w:p w14:paraId="79845E6A">
      <w:pPr>
        <w:pStyle w:val="62"/>
        <w:ind w:firstLine="420"/>
      </w:pPr>
      <w:r>
        <w:rPr>
          <w:rFonts w:hint="eastAsia"/>
        </w:rPr>
        <w:t>本文件适用于攀枝花市行政区域内康养创富联合体的统计监测、分析评估及决策参考。</w:t>
      </w:r>
    </w:p>
    <w:p w14:paraId="6626F48D">
      <w:pPr>
        <w:pStyle w:val="110"/>
      </w:pPr>
      <w:bookmarkStart w:id="37" w:name="_Toc26986531"/>
      <w:bookmarkStart w:id="38" w:name="_Toc97191424"/>
      <w:bookmarkStart w:id="39" w:name="_Toc26986772"/>
      <w:bookmarkStart w:id="40" w:name="_Toc26718931"/>
      <w:bookmarkStart w:id="41" w:name="_Toc28640"/>
      <w:r>
        <w:rPr>
          <w:rFonts w:hint="eastAsia"/>
        </w:rPr>
        <w:t>规范性引用文件</w:t>
      </w:r>
      <w:bookmarkEnd w:id="32"/>
      <w:bookmarkEnd w:id="33"/>
      <w:bookmarkEnd w:id="34"/>
      <w:bookmarkEnd w:id="35"/>
      <w:bookmarkEnd w:id="36"/>
      <w:bookmarkEnd w:id="37"/>
      <w:bookmarkEnd w:id="38"/>
      <w:bookmarkEnd w:id="39"/>
      <w:bookmarkEnd w:id="40"/>
      <w:bookmarkEnd w:id="41"/>
    </w:p>
    <w:sdt>
      <w:sdtPr>
        <w:rPr>
          <w:rFonts w:hint="eastAsia"/>
        </w:rPr>
        <w:id w:val="715848253"/>
        <w:placeholder>
          <w:docPart w:val="4210118AE05043DE8C8D674C47E06156"/>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7F80C2B9">
          <w:pPr>
            <w:pStyle w:val="62"/>
            <w:ind w:firstLine="420"/>
          </w:pPr>
          <w:r>
            <w:rPr>
              <w:rFonts w:hint="eastAsia" w:ascii="宋体" w:hAnsi="Times New Roman" w:eastAsia="宋体" w:cs="Times New Roman"/>
              <w:sz w:val="21"/>
              <w:lang w:val="en-US" w:eastAsia="zh-CN" w:bidi="ar-SA"/>
            </w:rPr>
            <w:t>本文件没有规范性引用文件。</w:t>
          </w:r>
        </w:p>
      </w:sdtContent>
    </w:sdt>
    <w:p w14:paraId="2F192456">
      <w:pPr>
        <w:pStyle w:val="110"/>
      </w:pPr>
      <w:bookmarkStart w:id="42" w:name="_Toc17294"/>
      <w:r>
        <w:rPr>
          <w:rFonts w:hint="eastAsia"/>
        </w:rPr>
        <w:t>术语和定义</w:t>
      </w:r>
      <w:bookmarkEnd w:id="42"/>
    </w:p>
    <w:p w14:paraId="7293B714">
      <w:pPr>
        <w:pStyle w:val="62"/>
        <w:ind w:firstLine="420"/>
      </w:pPr>
      <w:r>
        <w:rPr>
          <w:rFonts w:hint="eastAsia"/>
        </w:rPr>
        <w:t>下列术语和定义适用于本文件。</w:t>
      </w:r>
    </w:p>
    <w:p w14:paraId="27E3712E">
      <w:pPr>
        <w:pStyle w:val="111"/>
        <w:numPr>
          <w:ilvl w:val="2"/>
          <w:numId w:val="12"/>
        </w:numPr>
        <w:spacing w:before="156" w:after="156"/>
      </w:pPr>
      <w:bookmarkStart w:id="43" w:name="_Toc185514448"/>
      <w:bookmarkEnd w:id="43"/>
      <w:bookmarkStart w:id="44" w:name="_Toc18520"/>
      <w:bookmarkEnd w:id="44"/>
      <w:bookmarkStart w:id="45" w:name="_Toc21168"/>
      <w:bookmarkEnd w:id="45"/>
      <w:bookmarkStart w:id="46" w:name="_Toc31594"/>
      <w:bookmarkEnd w:id="46"/>
      <w:bookmarkStart w:id="47" w:name="_Toc180484756"/>
      <w:bookmarkEnd w:id="47"/>
      <w:bookmarkStart w:id="48" w:name="_Toc24451"/>
      <w:bookmarkEnd w:id="48"/>
      <w:bookmarkStart w:id="49" w:name="_Toc167699908"/>
      <w:bookmarkEnd w:id="49"/>
    </w:p>
    <w:p w14:paraId="5B79AF60">
      <w:pPr>
        <w:pStyle w:val="111"/>
        <w:numPr>
          <w:ilvl w:val="0"/>
          <w:numId w:val="0"/>
        </w:numPr>
        <w:spacing w:before="0" w:beforeLines="0" w:after="0" w:afterLines="0"/>
        <w:ind w:left="420"/>
        <w:rPr>
          <w:rFonts w:hint="default" w:eastAsia="黑体"/>
          <w:lang w:val="en-US" w:eastAsia="zh-CN"/>
        </w:rPr>
      </w:pPr>
      <w:bookmarkStart w:id="50" w:name="_Toc180484757"/>
      <w:bookmarkStart w:id="51" w:name="_Toc185514449"/>
      <w:bookmarkStart w:id="52" w:name="_Toc30643"/>
      <w:bookmarkStart w:id="53" w:name="_Toc24087"/>
      <w:bookmarkStart w:id="54" w:name="_Toc25157"/>
      <w:r>
        <w:rPr>
          <w:rFonts w:hint="eastAsia"/>
          <w:color w:val="000000"/>
          <w:highlight w:val="none"/>
        </w:rPr>
        <w:t>康养创富联合体统计监测指标</w:t>
      </w:r>
      <w:r>
        <w:rPr>
          <w:rFonts w:hint="eastAsia"/>
        </w:rPr>
        <w:t>　</w:t>
      </w:r>
      <w:bookmarkEnd w:id="50"/>
      <w:bookmarkEnd w:id="51"/>
      <w:r>
        <w:rPr>
          <w:rFonts w:hint="eastAsia" w:ascii="Times New Roman"/>
          <w:b/>
          <w:bCs/>
          <w:lang w:val="en-US" w:eastAsia="zh-CN"/>
        </w:rPr>
        <w:t>xx</w:t>
      </w:r>
      <w:bookmarkEnd w:id="52"/>
      <w:bookmarkEnd w:id="53"/>
      <w:bookmarkEnd w:id="54"/>
    </w:p>
    <w:p w14:paraId="6649E285">
      <w:pPr>
        <w:pStyle w:val="62"/>
        <w:ind w:firstLine="420"/>
      </w:pPr>
      <w:r>
        <w:rPr>
          <w:rFonts w:hint="eastAsia"/>
          <w:color w:val="000000"/>
          <w:highlight w:val="none"/>
        </w:rPr>
        <w:t>康养创富联合体</w:t>
      </w:r>
      <w:r>
        <w:rPr>
          <w:rFonts w:hint="eastAsia"/>
          <w:color w:val="000000"/>
          <w:highlight w:val="none"/>
          <w:lang w:val="en-US" w:eastAsia="zh-CN"/>
        </w:rPr>
        <w:t>建设过程中，从属性、时间、数量等维度量化、动态表征联合体建设运行状态和能力的数据指标</w:t>
      </w:r>
      <w:r>
        <w:rPr>
          <w:rFonts w:hint="eastAsia"/>
        </w:rPr>
        <w:t>。</w:t>
      </w:r>
    </w:p>
    <w:p w14:paraId="0D3867E4">
      <w:pPr>
        <w:pStyle w:val="110"/>
      </w:pPr>
      <w:bookmarkStart w:id="55" w:name="_Toc185514450"/>
      <w:bookmarkEnd w:id="55"/>
      <w:bookmarkStart w:id="56" w:name="_Toc167699912"/>
      <w:bookmarkEnd w:id="56"/>
      <w:bookmarkStart w:id="57" w:name="_Toc180484758"/>
      <w:bookmarkEnd w:id="57"/>
      <w:bookmarkStart w:id="58" w:name="_Toc4694"/>
      <w:bookmarkEnd w:id="58"/>
      <w:bookmarkStart w:id="59" w:name="_Toc25778"/>
      <w:r>
        <w:rPr>
          <w:rFonts w:hint="eastAsia"/>
          <w:lang w:val="en-US" w:eastAsia="zh-CN"/>
        </w:rPr>
        <w:t>基本</w:t>
      </w:r>
      <w:r>
        <w:rPr>
          <w:rFonts w:hint="eastAsia"/>
        </w:rPr>
        <w:t>原则</w:t>
      </w:r>
      <w:bookmarkEnd w:id="59"/>
    </w:p>
    <w:p w14:paraId="0E78F152">
      <w:pPr>
        <w:pStyle w:val="111"/>
        <w:numPr>
          <w:ilvl w:val="2"/>
          <w:numId w:val="12"/>
        </w:numPr>
        <w:spacing w:before="156" w:after="156"/>
      </w:pPr>
      <w:bookmarkStart w:id="60" w:name="_Toc7370"/>
      <w:r>
        <w:rPr>
          <w:rFonts w:hint="eastAsia" w:cs="Times New Roman"/>
          <w:color w:val="000000"/>
          <w:sz w:val="21"/>
          <w:szCs w:val="21"/>
          <w:highlight w:val="none"/>
          <w:lang w:val="en-US" w:eastAsia="zh-CN"/>
        </w:rPr>
        <w:t>科学性</w:t>
      </w:r>
      <w:bookmarkEnd w:id="60"/>
    </w:p>
    <w:p w14:paraId="5E6FD3EC">
      <w:pPr>
        <w:pStyle w:val="62"/>
        <w:ind w:firstLine="420"/>
        <w:rPr>
          <w:rFonts w:hint="eastAsia"/>
        </w:rPr>
      </w:pPr>
      <w:r>
        <w:rPr>
          <w:rFonts w:hint="eastAsia" w:cs="Times New Roman"/>
          <w:color w:val="000000"/>
          <w:sz w:val="21"/>
          <w:szCs w:val="24"/>
          <w:highlight w:val="none"/>
        </w:rPr>
        <w:t>指标选取应以康养产业发展规律和统计科学理论为依据，确保数据真实、准确</w:t>
      </w:r>
      <w:r>
        <w:rPr>
          <w:rFonts w:hint="eastAsia" w:cs="Times New Roman"/>
          <w:color w:val="000000"/>
          <w:sz w:val="21"/>
          <w:szCs w:val="24"/>
          <w:highlight w:val="none"/>
          <w:lang w:eastAsia="zh-CN"/>
        </w:rPr>
        <w:t>、</w:t>
      </w:r>
      <w:r>
        <w:rPr>
          <w:rFonts w:hint="eastAsia" w:cs="Times New Roman"/>
          <w:color w:val="000000"/>
          <w:sz w:val="21"/>
          <w:szCs w:val="24"/>
          <w:highlight w:val="none"/>
          <w:lang w:val="en-US" w:eastAsia="zh-CN"/>
        </w:rPr>
        <w:t>全面</w:t>
      </w:r>
      <w:r>
        <w:rPr>
          <w:rFonts w:hint="eastAsia" w:cs="Times New Roman"/>
          <w:color w:val="000000"/>
          <w:sz w:val="21"/>
          <w:szCs w:val="24"/>
          <w:highlight w:val="none"/>
        </w:rPr>
        <w:t>，客观反映康养创富联合体发展状况</w:t>
      </w:r>
      <w:r>
        <w:rPr>
          <w:rFonts w:hint="eastAsia"/>
        </w:rPr>
        <w:t>。</w:t>
      </w:r>
    </w:p>
    <w:p w14:paraId="10D72389">
      <w:pPr>
        <w:pStyle w:val="111"/>
        <w:numPr>
          <w:ilvl w:val="2"/>
          <w:numId w:val="12"/>
        </w:numPr>
        <w:spacing w:before="156" w:after="156"/>
      </w:pPr>
      <w:bookmarkStart w:id="61" w:name="_Toc22523"/>
      <w:r>
        <w:rPr>
          <w:rFonts w:hint="eastAsia"/>
          <w:lang w:val="en-US" w:eastAsia="zh-CN"/>
        </w:rPr>
        <w:t>指导性</w:t>
      </w:r>
      <w:bookmarkEnd w:id="61"/>
    </w:p>
    <w:p w14:paraId="6EDF2FE4">
      <w:pPr>
        <w:pStyle w:val="62"/>
        <w:ind w:firstLine="420"/>
      </w:pPr>
      <w:r>
        <w:rPr>
          <w:rFonts w:hint="eastAsia" w:ascii="宋体" w:hAnsi="Times New Roman" w:eastAsia="宋体" w:cs="Times New Roman"/>
          <w:color w:val="000000"/>
          <w:sz w:val="21"/>
          <w:szCs w:val="24"/>
          <w:highlight w:val="none"/>
        </w:rPr>
        <w:t>指标</w:t>
      </w:r>
      <w:r>
        <w:rPr>
          <w:rFonts w:hint="eastAsia" w:cs="Times New Roman"/>
          <w:color w:val="000000"/>
          <w:sz w:val="21"/>
          <w:szCs w:val="24"/>
          <w:highlight w:val="none"/>
          <w:lang w:val="en-US" w:eastAsia="zh-CN"/>
        </w:rPr>
        <w:t>选取</w:t>
      </w:r>
      <w:r>
        <w:rPr>
          <w:rFonts w:hint="eastAsia" w:ascii="宋体" w:hAnsi="Times New Roman" w:eastAsia="宋体" w:cs="Times New Roman"/>
          <w:color w:val="000000"/>
          <w:sz w:val="21"/>
          <w:szCs w:val="24"/>
          <w:highlight w:val="none"/>
        </w:rPr>
        <w:t>应体现共同富裕与产业高质量发展的政策导向，能够反映发展趋势，为康养创富联合体的建设与优化提供方向指引</w:t>
      </w:r>
      <w:r>
        <w:rPr>
          <w:rFonts w:hint="eastAsia"/>
        </w:rPr>
        <w:t>。</w:t>
      </w:r>
    </w:p>
    <w:p w14:paraId="15874B22">
      <w:pPr>
        <w:pStyle w:val="111"/>
        <w:numPr>
          <w:ilvl w:val="2"/>
          <w:numId w:val="12"/>
        </w:numPr>
        <w:spacing w:before="156" w:after="156"/>
      </w:pPr>
      <w:bookmarkStart w:id="62" w:name="_Toc26223"/>
      <w:r>
        <w:rPr>
          <w:rFonts w:hint="eastAsia"/>
          <w:lang w:val="en-US" w:eastAsia="zh-CN"/>
        </w:rPr>
        <w:t>系统性</w:t>
      </w:r>
      <w:bookmarkEnd w:id="62"/>
    </w:p>
    <w:p w14:paraId="071A98FB">
      <w:pPr>
        <w:pStyle w:val="62"/>
        <w:ind w:firstLine="420"/>
      </w:pPr>
      <w:r>
        <w:rPr>
          <w:rFonts w:hint="eastAsia" w:cs="Times New Roman"/>
          <w:color w:val="000000"/>
          <w:sz w:val="21"/>
          <w:szCs w:val="24"/>
          <w:highlight w:val="none"/>
          <w:lang w:val="en-US" w:eastAsia="zh-CN"/>
        </w:rPr>
        <w:t>指标选取应坚持系统观念，体现经济、政治、文化、社会、生态“五位一体”全面发展要求</w:t>
      </w:r>
      <w:r>
        <w:rPr>
          <w:rFonts w:hint="eastAsia"/>
        </w:rPr>
        <w:t>。</w:t>
      </w:r>
    </w:p>
    <w:p w14:paraId="46CF8E68">
      <w:pPr>
        <w:pStyle w:val="111"/>
        <w:numPr>
          <w:ilvl w:val="2"/>
          <w:numId w:val="12"/>
        </w:numPr>
        <w:spacing w:before="156" w:after="156"/>
      </w:pPr>
      <w:bookmarkStart w:id="63" w:name="_Toc31659"/>
      <w:r>
        <w:rPr>
          <w:rFonts w:hint="eastAsia"/>
          <w:lang w:val="en-US" w:eastAsia="zh-CN"/>
        </w:rPr>
        <w:t>可行性</w:t>
      </w:r>
      <w:bookmarkEnd w:id="63"/>
    </w:p>
    <w:p w14:paraId="0BB58294">
      <w:pPr>
        <w:pStyle w:val="62"/>
        <w:ind w:firstLine="420"/>
        <w:rPr>
          <w:rFonts w:hint="eastAsia" w:cs="Times New Roman"/>
          <w:color w:val="000000"/>
          <w:sz w:val="21"/>
          <w:szCs w:val="24"/>
          <w:highlight w:val="none"/>
        </w:rPr>
      </w:pPr>
      <w:r>
        <w:rPr>
          <w:rFonts w:hint="eastAsia" w:cs="Times New Roman"/>
          <w:color w:val="000000"/>
          <w:sz w:val="21"/>
          <w:szCs w:val="24"/>
          <w:highlight w:val="none"/>
          <w:lang w:val="en-US" w:eastAsia="zh-CN"/>
        </w:rPr>
        <w:t>指标选取应充分考虑数据的可量化性与可得性，优先采用现有统计资料。计算方法应简明易懂，便于操作执行</w:t>
      </w:r>
      <w:r>
        <w:rPr>
          <w:rFonts w:hint="eastAsia" w:cs="Times New Roman"/>
          <w:color w:val="000000"/>
          <w:sz w:val="21"/>
          <w:szCs w:val="24"/>
          <w:highlight w:val="none"/>
        </w:rPr>
        <w:t>。</w:t>
      </w:r>
    </w:p>
    <w:p w14:paraId="4C6D1DC5">
      <w:pPr>
        <w:pStyle w:val="110"/>
      </w:pPr>
      <w:bookmarkStart w:id="64" w:name="_Toc14369"/>
      <w:r>
        <w:rPr>
          <w:rFonts w:hint="eastAsia"/>
          <w:lang w:val="en-US" w:eastAsia="zh-CN"/>
        </w:rPr>
        <w:t>体系框架</w:t>
      </w:r>
      <w:bookmarkEnd w:id="64"/>
    </w:p>
    <w:p w14:paraId="58EB407B">
      <w:pPr>
        <w:pStyle w:val="111"/>
        <w:keepNext w:val="0"/>
        <w:keepLines w:val="0"/>
        <w:pageBreakBefore w:val="0"/>
        <w:widowControl/>
        <w:kinsoku/>
        <w:wordWrap/>
        <w:overflowPunct/>
        <w:topLinePunct w:val="0"/>
        <w:autoSpaceDE/>
        <w:autoSpaceDN/>
        <w:bidi w:val="0"/>
        <w:adjustRightInd/>
        <w:snapToGrid/>
        <w:spacing w:before="0" w:beforeLines="0" w:after="0" w:afterLines="0"/>
        <w:textAlignment w:val="auto"/>
        <w:rPr>
          <w:rFonts w:hint="eastAsia" w:ascii="宋体" w:hAnsi="宋体" w:eastAsia="宋体" w:cs="宋体"/>
        </w:rPr>
      </w:pPr>
      <w:bookmarkStart w:id="65" w:name="_Toc10224"/>
      <w:bookmarkStart w:id="66" w:name="_Toc5228"/>
      <w:bookmarkStart w:id="67" w:name="_Toc28995"/>
      <w:bookmarkStart w:id="68" w:name="_Hlk83885938"/>
      <w:r>
        <w:rPr>
          <w:rFonts w:hint="eastAsia" w:ascii="宋体" w:hAnsi="宋体" w:eastAsia="宋体" w:cs="宋体"/>
        </w:rPr>
        <w:t>以“</w:t>
      </w:r>
      <w:r>
        <w:rPr>
          <w:rFonts w:hint="eastAsia" w:ascii="宋体" w:hAnsi="宋体" w:eastAsia="宋体" w:cs="宋体"/>
          <w:lang w:val="en-US" w:eastAsia="zh-CN"/>
        </w:rPr>
        <w:t>联合</w:t>
      </w:r>
      <w:r>
        <w:rPr>
          <w:rFonts w:hint="eastAsia" w:ascii="宋体" w:hAnsi="宋体" w:eastAsia="宋体" w:cs="宋体"/>
        </w:rPr>
        <w:t>”和“</w:t>
      </w:r>
      <w:r>
        <w:rPr>
          <w:rFonts w:hint="eastAsia" w:ascii="宋体" w:hAnsi="宋体" w:eastAsia="宋体" w:cs="宋体"/>
          <w:lang w:val="en-US" w:eastAsia="zh-CN"/>
        </w:rPr>
        <w:t>共</w:t>
      </w:r>
      <w:r>
        <w:rPr>
          <w:rFonts w:hint="eastAsia" w:ascii="宋体" w:hAnsi="宋体" w:eastAsia="宋体" w:cs="宋体"/>
        </w:rPr>
        <w:t>富”为核心构建</w:t>
      </w:r>
      <w:r>
        <w:rPr>
          <w:rFonts w:hint="eastAsia" w:ascii="宋体" w:hAnsi="宋体" w:eastAsia="宋体" w:cs="宋体"/>
          <w:lang w:val="en-US" w:eastAsia="zh-CN"/>
        </w:rPr>
        <w:t>指标</w:t>
      </w:r>
      <w:r>
        <w:rPr>
          <w:rFonts w:hint="eastAsia" w:ascii="宋体" w:hAnsi="宋体" w:eastAsia="宋体" w:cs="宋体"/>
        </w:rPr>
        <w:t>体系，</w:t>
      </w:r>
      <w:r>
        <w:rPr>
          <w:rFonts w:hint="eastAsia" w:ascii="宋体" w:hAnsi="宋体" w:eastAsia="宋体" w:cs="宋体"/>
          <w:lang w:val="en-US" w:eastAsia="zh-CN"/>
        </w:rPr>
        <w:t>具体要求如下：</w:t>
      </w:r>
      <w:bookmarkEnd w:id="65"/>
      <w:bookmarkEnd w:id="66"/>
    </w:p>
    <w:p w14:paraId="7722CB20">
      <w:pPr>
        <w:pStyle w:val="252"/>
        <w:numPr>
          <w:ilvl w:val="0"/>
          <w:numId w:val="33"/>
        </w:numPr>
        <w:ind w:left="840" w:leftChars="200" w:hanging="420" w:hangingChars="200"/>
        <w:rPr>
          <w:rFonts w:hint="eastAsia" w:ascii="宋体" w:hAnsi="Times New Roman" w:eastAsia="宋体" w:cs="Times New Roman"/>
          <w:lang w:val="en-US" w:eastAsia="zh-CN"/>
        </w:rPr>
      </w:pPr>
      <w:r>
        <w:rPr>
          <w:rFonts w:hint="eastAsia" w:ascii="宋体" w:hAnsi="Times New Roman" w:eastAsia="宋体" w:cs="Times New Roman"/>
          <w:lang w:val="en-US" w:eastAsia="zh-CN"/>
        </w:rPr>
        <w:t>“联合”维度，通过“主体参与”“资源整合”“利益</w:t>
      </w:r>
      <w:r>
        <w:rPr>
          <w:rFonts w:hint="eastAsia" w:cs="Times New Roman"/>
          <w:lang w:val="en-US" w:eastAsia="zh-CN"/>
        </w:rPr>
        <w:t>分配</w:t>
      </w:r>
      <w:r>
        <w:rPr>
          <w:rFonts w:hint="eastAsia" w:ascii="宋体" w:hAnsi="Times New Roman" w:eastAsia="宋体" w:cs="Times New Roman"/>
          <w:lang w:val="en-US" w:eastAsia="zh-CN"/>
        </w:rPr>
        <w:t>”</w:t>
      </w:r>
      <w:r>
        <w:rPr>
          <w:rFonts w:hint="eastAsia" w:cs="Times New Roman"/>
          <w:lang w:val="en-US" w:eastAsia="zh-CN"/>
        </w:rPr>
        <w:t>3</w:t>
      </w:r>
      <w:r>
        <w:rPr>
          <w:rFonts w:hint="eastAsia" w:ascii="宋体" w:hAnsi="Times New Roman" w:eastAsia="宋体" w:cs="Times New Roman"/>
          <w:lang w:val="en-US" w:eastAsia="zh-CN"/>
        </w:rPr>
        <w:t>个一级指标，评价均衡共享水平；</w:t>
      </w:r>
    </w:p>
    <w:p w14:paraId="420CD3AB">
      <w:pPr>
        <w:pStyle w:val="252"/>
        <w:numPr>
          <w:ilvl w:val="0"/>
          <w:numId w:val="33"/>
        </w:numPr>
        <w:ind w:left="840" w:leftChars="200" w:hanging="420" w:hangingChars="200"/>
        <w:rPr>
          <w:rFonts w:hint="eastAsia" w:ascii="宋体" w:hAnsi="宋体" w:eastAsia="宋体" w:cs="宋体"/>
          <w:lang w:val="en-US" w:eastAsia="zh-CN"/>
        </w:rPr>
      </w:pPr>
      <w:r>
        <w:rPr>
          <w:rFonts w:hint="eastAsia" w:ascii="宋体" w:hAnsi="Times New Roman" w:eastAsia="宋体" w:cs="Times New Roman"/>
          <w:lang w:val="en-US" w:eastAsia="zh-CN"/>
        </w:rPr>
        <w:t>“</w:t>
      </w:r>
      <w:r>
        <w:rPr>
          <w:rFonts w:hint="eastAsia" w:cs="Times New Roman"/>
          <w:lang w:val="en-US" w:eastAsia="zh-CN"/>
        </w:rPr>
        <w:t>共</w:t>
      </w:r>
      <w:r>
        <w:rPr>
          <w:rFonts w:hint="eastAsia" w:ascii="宋体" w:hAnsi="Times New Roman" w:eastAsia="宋体" w:cs="Times New Roman"/>
          <w:lang w:val="en-US" w:eastAsia="zh-CN"/>
        </w:rPr>
        <w:t>富”维度，通过“</w:t>
      </w:r>
      <w:r>
        <w:rPr>
          <w:rFonts w:hint="eastAsia" w:cs="Times New Roman"/>
          <w:lang w:val="en-US" w:eastAsia="zh-CN"/>
        </w:rPr>
        <w:t>物质富裕</w:t>
      </w:r>
      <w:r>
        <w:rPr>
          <w:rFonts w:hint="eastAsia" w:ascii="宋体" w:hAnsi="Times New Roman" w:eastAsia="宋体" w:cs="Times New Roman"/>
          <w:lang w:val="en-US" w:eastAsia="zh-CN"/>
        </w:rPr>
        <w:t>”“</w:t>
      </w:r>
      <w:r>
        <w:rPr>
          <w:rFonts w:hint="eastAsia" w:cs="Times New Roman"/>
          <w:lang w:val="en-US" w:eastAsia="zh-CN"/>
        </w:rPr>
        <w:t>生态</w:t>
      </w:r>
      <w:r>
        <w:rPr>
          <w:rFonts w:hint="eastAsia" w:ascii="宋体" w:hAnsi="Times New Roman" w:eastAsia="宋体" w:cs="Times New Roman"/>
          <w:lang w:val="en-US" w:eastAsia="zh-CN"/>
        </w:rPr>
        <w:t>富</w:t>
      </w:r>
      <w:r>
        <w:rPr>
          <w:rFonts w:hint="eastAsia" w:cs="Times New Roman"/>
          <w:lang w:val="en-US" w:eastAsia="zh-CN"/>
        </w:rPr>
        <w:t>美</w:t>
      </w:r>
      <w:r>
        <w:rPr>
          <w:rFonts w:hint="eastAsia" w:ascii="宋体" w:hAnsi="Times New Roman" w:eastAsia="宋体" w:cs="Times New Roman"/>
          <w:lang w:val="en-US" w:eastAsia="zh-CN"/>
        </w:rPr>
        <w:t>”“</w:t>
      </w:r>
      <w:r>
        <w:rPr>
          <w:rFonts w:hint="eastAsia" w:cs="Times New Roman"/>
          <w:lang w:val="en-US" w:eastAsia="zh-CN"/>
        </w:rPr>
        <w:t>精神</w:t>
      </w:r>
      <w:r>
        <w:rPr>
          <w:rFonts w:hint="eastAsia" w:ascii="宋体" w:hAnsi="Times New Roman" w:eastAsia="宋体" w:cs="Times New Roman"/>
          <w:lang w:val="en-US" w:eastAsia="zh-CN"/>
        </w:rPr>
        <w:t>富</w:t>
      </w:r>
      <w:r>
        <w:rPr>
          <w:rFonts w:hint="eastAsia" w:cs="Times New Roman"/>
          <w:lang w:val="en-US" w:eastAsia="zh-CN"/>
        </w:rPr>
        <w:t>足</w:t>
      </w:r>
      <w:r>
        <w:rPr>
          <w:rFonts w:hint="eastAsia" w:ascii="宋体" w:hAnsi="Times New Roman" w:eastAsia="宋体" w:cs="Times New Roman"/>
          <w:lang w:val="en-US" w:eastAsia="zh-CN"/>
        </w:rPr>
        <w:t>”3个一级指标，衡量富裕程度</w:t>
      </w:r>
      <w:bookmarkStart w:id="69" w:name="_Toc30710"/>
      <w:bookmarkStart w:id="70" w:name="_Toc16268"/>
      <w:r>
        <w:rPr>
          <w:rFonts w:hint="eastAsia" w:cs="Times New Roman"/>
          <w:lang w:val="en-US" w:eastAsia="zh-CN"/>
        </w:rPr>
        <w:t>。</w:t>
      </w:r>
    </w:p>
    <w:p w14:paraId="08CE3ACF">
      <w:pPr>
        <w:pStyle w:val="111"/>
        <w:spacing w:before="0" w:beforeLines="0" w:after="0" w:afterLines="0"/>
        <w:rPr>
          <w:rFonts w:hint="eastAsia" w:ascii="宋体" w:hAnsi="宋体" w:eastAsia="宋体" w:cs="宋体"/>
          <w:lang w:val="en-US" w:eastAsia="zh-CN"/>
        </w:rPr>
      </w:pPr>
      <w:r>
        <w:rPr>
          <w:rFonts w:hint="eastAsia" w:ascii="宋体" w:hAnsi="宋体" w:eastAsia="宋体" w:cs="宋体"/>
          <w:lang w:val="en-US" w:eastAsia="zh-CN"/>
        </w:rPr>
        <w:t>康养创富联合体统计监测指标体系框架图见图1。</w:t>
      </w:r>
      <w:bookmarkEnd w:id="67"/>
      <w:bookmarkEnd w:id="69"/>
      <w:bookmarkEnd w:id="70"/>
    </w:p>
    <w:p w14:paraId="0C2A3E45">
      <w:pPr>
        <w:pStyle w:val="62"/>
        <w:jc w:val="center"/>
        <w:rPr>
          <w:rFonts w:hint="eastAsia"/>
          <w:lang w:val="en-US" w:eastAsia="zh-CN"/>
        </w:rPr>
      </w:pPr>
      <w:r>
        <w:rPr>
          <w:rFonts w:hint="eastAsia"/>
          <w:lang w:val="en-US" w:eastAsia="zh-CN"/>
        </w:rPr>
        <w:object>
          <v:shape id="_x0000_i1025" o:spt="75" type="#_x0000_t75" style="height:273.75pt;width:210pt;" o:ole="t" filled="f" o:preferrelative="t" stroked="f" coordsize="21600,21600">
            <v:path/>
            <v:fill on="f" focussize="0,0"/>
            <v:stroke on="f"/>
            <v:imagedata r:id="rId24" o:title=""/>
            <o:lock v:ext="edit" aspectratio="f"/>
            <w10:wrap type="none"/>
            <w10:anchorlock/>
          </v:shape>
          <o:OLEObject Type="Embed" ProgID="Visio.Drawing.15" ShapeID="_x0000_i1025" DrawAspect="Content" ObjectID="_1468075725" r:id="rId23">
            <o:LockedField>false</o:LockedField>
          </o:OLEObject>
        </w:object>
      </w:r>
    </w:p>
    <w:p w14:paraId="329D9FFF">
      <w:pPr>
        <w:pStyle w:val="62"/>
        <w:spacing w:before="157" w:beforeLines="50" w:after="157" w:afterLines="50"/>
        <w:jc w:val="center"/>
        <w:rPr>
          <w:rFonts w:hint="eastAsia" w:ascii="黑体" w:hAnsi="黑体" w:eastAsia="黑体" w:cs="黑体"/>
          <w:lang w:val="en-US" w:eastAsia="zh-CN"/>
        </w:rPr>
      </w:pPr>
      <w:r>
        <w:rPr>
          <w:rFonts w:hint="eastAsia" w:ascii="黑体" w:hAnsi="黑体" w:eastAsia="黑体" w:cs="黑体"/>
        </w:rPr>
        <w:t>图1 康养创富联合体统计监测指标体系框架图</w:t>
      </w:r>
    </w:p>
    <w:bookmarkEnd w:id="68"/>
    <w:p w14:paraId="5C8D4D4A">
      <w:pPr>
        <w:pStyle w:val="110"/>
      </w:pPr>
      <w:bookmarkStart w:id="71" w:name="_Toc23883"/>
      <w:bookmarkStart w:id="72" w:name="_Toc7114"/>
      <w:r>
        <w:rPr>
          <w:rFonts w:hint="eastAsia"/>
          <w:lang w:val="en-US" w:eastAsia="zh-CN"/>
        </w:rPr>
        <w:t>指标描述及其内容</w:t>
      </w:r>
      <w:bookmarkEnd w:id="71"/>
      <w:bookmarkEnd w:id="72"/>
    </w:p>
    <w:p w14:paraId="2E7C0F3F">
      <w:pPr>
        <w:pStyle w:val="111"/>
        <w:numPr>
          <w:ilvl w:val="2"/>
          <w:numId w:val="12"/>
        </w:numPr>
        <w:spacing w:before="156" w:after="156"/>
      </w:pPr>
      <w:bookmarkStart w:id="73" w:name="_Toc24040"/>
      <w:r>
        <w:rPr>
          <w:rFonts w:hint="eastAsia" w:hAnsi="Times New Roman" w:cs="Times New Roman"/>
          <w:color w:val="000000"/>
          <w:sz w:val="21"/>
          <w:szCs w:val="24"/>
          <w:highlight w:val="none"/>
          <w:lang w:val="en-US" w:eastAsia="zh-CN"/>
        </w:rPr>
        <w:t>指标项描述方法</w:t>
      </w:r>
      <w:bookmarkEnd w:id="73"/>
    </w:p>
    <w:p w14:paraId="2245C2C5">
      <w:pPr>
        <w:pStyle w:val="62"/>
        <w:ind w:firstLine="420"/>
        <w:rPr>
          <w:rFonts w:hint="eastAsia" w:hAnsi="宋体" w:cs="Times New Roman"/>
          <w:color w:val="000000"/>
          <w:sz w:val="21"/>
          <w:szCs w:val="21"/>
          <w:highlight w:val="none"/>
          <w:lang w:val="en-US" w:eastAsia="zh-CN"/>
        </w:rPr>
      </w:pPr>
      <w:r>
        <w:rPr>
          <w:rFonts w:hint="eastAsia" w:ascii="宋体" w:hAnsi="宋体" w:eastAsia="宋体" w:cs="Times New Roman"/>
          <w:color w:val="000000"/>
          <w:sz w:val="21"/>
          <w:szCs w:val="21"/>
          <w:highlight w:val="none"/>
          <w:lang w:val="en-US" w:eastAsia="zh-CN"/>
        </w:rPr>
        <w:t>每个指标项通过以下属性描述</w:t>
      </w:r>
      <w:r>
        <w:rPr>
          <w:rFonts w:hint="eastAsia" w:hAnsi="宋体" w:cs="Times New Roman"/>
          <w:color w:val="000000"/>
          <w:sz w:val="21"/>
          <w:szCs w:val="21"/>
          <w:highlight w:val="none"/>
          <w:lang w:val="en-US" w:eastAsia="zh-CN"/>
        </w:rPr>
        <w:t>：</w:t>
      </w:r>
    </w:p>
    <w:p w14:paraId="37677B61">
      <w:pPr>
        <w:pStyle w:val="252"/>
        <w:numPr>
          <w:ilvl w:val="0"/>
          <w:numId w:val="34"/>
        </w:numPr>
        <w:ind w:left="840" w:leftChars="200" w:hanging="420" w:hangingChars="200"/>
        <w:rPr>
          <w:rFonts w:hint="eastAsia" w:ascii="宋体" w:hAnsi="Times New Roman" w:eastAsia="宋体" w:cs="Times New Roman"/>
          <w:lang w:val="en-US" w:eastAsia="zh-CN"/>
        </w:rPr>
      </w:pPr>
      <w:r>
        <w:rPr>
          <w:rFonts w:hint="eastAsia" w:ascii="宋体" w:hAnsi="Times New Roman" w:eastAsia="宋体" w:cs="Times New Roman"/>
          <w:lang w:val="en-US" w:eastAsia="zh-CN"/>
        </w:rPr>
        <w:t>指标名称：指标项的中文名称；</w:t>
      </w:r>
    </w:p>
    <w:p w14:paraId="1B171665">
      <w:pPr>
        <w:pStyle w:val="252"/>
        <w:numPr>
          <w:ilvl w:val="0"/>
          <w:numId w:val="34"/>
        </w:numPr>
        <w:ind w:left="840" w:leftChars="200" w:hanging="420" w:hangingChars="200"/>
        <w:rPr>
          <w:rFonts w:hint="eastAsia" w:ascii="宋体" w:hAnsi="Times New Roman" w:eastAsia="宋体" w:cs="Times New Roman"/>
          <w:lang w:val="en-US" w:eastAsia="zh-CN"/>
        </w:rPr>
      </w:pPr>
      <w:r>
        <w:rPr>
          <w:rFonts w:hint="eastAsia" w:ascii="宋体" w:hAnsi="Times New Roman" w:eastAsia="宋体" w:cs="Times New Roman"/>
          <w:lang w:val="en-US" w:eastAsia="zh-CN"/>
        </w:rPr>
        <w:t>计量单位：指标项的计量单位；</w:t>
      </w:r>
    </w:p>
    <w:p w14:paraId="7B94AA2C">
      <w:pPr>
        <w:pStyle w:val="252"/>
        <w:numPr>
          <w:ilvl w:val="0"/>
          <w:numId w:val="34"/>
        </w:numPr>
        <w:ind w:left="840" w:leftChars="200" w:hanging="420" w:hangingChars="200"/>
        <w:rPr>
          <w:rFonts w:hint="eastAsia" w:ascii="宋体" w:hAnsi="Times New Roman" w:eastAsia="宋体" w:cs="Times New Roman"/>
          <w:lang w:val="en-US" w:eastAsia="zh-CN"/>
        </w:rPr>
      </w:pPr>
      <w:r>
        <w:rPr>
          <w:rFonts w:hint="eastAsia" w:ascii="宋体" w:hAnsi="Times New Roman" w:eastAsia="宋体" w:cs="Times New Roman"/>
          <w:lang w:val="en-US" w:eastAsia="zh-CN"/>
        </w:rPr>
        <w:t>指标释义：明确指标含义、统计口径及与共同富裕目标的关联；</w:t>
      </w:r>
    </w:p>
    <w:p w14:paraId="1E44841D">
      <w:pPr>
        <w:pStyle w:val="252"/>
        <w:numPr>
          <w:ilvl w:val="0"/>
          <w:numId w:val="34"/>
        </w:numPr>
        <w:ind w:left="840" w:leftChars="200" w:hanging="420" w:hangingChars="200"/>
        <w:rPr>
          <w:rFonts w:hint="eastAsia" w:ascii="宋体" w:hAnsi="Times New Roman" w:eastAsia="宋体" w:cs="Times New Roman"/>
          <w:lang w:val="en-US" w:eastAsia="zh-CN"/>
        </w:rPr>
      </w:pPr>
      <w:r>
        <w:rPr>
          <w:rFonts w:hint="eastAsia" w:ascii="宋体" w:hAnsi="Times New Roman" w:eastAsia="宋体" w:cs="Times New Roman"/>
          <w:lang w:val="en-US" w:eastAsia="zh-CN"/>
        </w:rPr>
        <w:t>计算方式：明确指标的具体计算公式或统计方法</w:t>
      </w:r>
    </w:p>
    <w:p w14:paraId="76E8F78D">
      <w:pPr>
        <w:pStyle w:val="252"/>
        <w:numPr>
          <w:ilvl w:val="0"/>
          <w:numId w:val="34"/>
        </w:numPr>
        <w:ind w:left="840" w:leftChars="200" w:hanging="420" w:hangingChars="200"/>
        <w:rPr>
          <w:rFonts w:hint="eastAsia" w:ascii="宋体" w:hAnsi="Times New Roman" w:eastAsia="宋体" w:cs="Times New Roman"/>
          <w:lang w:val="en-US" w:eastAsia="zh-CN"/>
        </w:rPr>
      </w:pPr>
      <w:r>
        <w:rPr>
          <w:rFonts w:hint="eastAsia" w:ascii="宋体" w:hAnsi="Times New Roman" w:eastAsia="宋体" w:cs="Times New Roman"/>
          <w:lang w:val="en-US" w:eastAsia="zh-CN"/>
        </w:rPr>
        <w:t>数据来源：规定数据报送部门或采集渠道；</w:t>
      </w:r>
    </w:p>
    <w:p w14:paraId="76649A8D">
      <w:pPr>
        <w:pStyle w:val="252"/>
        <w:numPr>
          <w:ilvl w:val="0"/>
          <w:numId w:val="34"/>
        </w:numPr>
        <w:ind w:left="840" w:leftChars="200" w:hanging="420" w:hangingChars="200"/>
        <w:rPr>
          <w:rFonts w:hint="eastAsia" w:ascii="宋体" w:hAnsi="Times New Roman" w:eastAsia="宋体" w:cs="Times New Roman"/>
          <w:lang w:val="en-US" w:eastAsia="zh-CN"/>
        </w:rPr>
      </w:pPr>
      <w:r>
        <w:rPr>
          <w:rFonts w:hint="eastAsia" w:cs="Times New Roman"/>
          <w:lang w:val="en-US" w:eastAsia="zh-CN"/>
        </w:rPr>
        <w:t>监测频次：规定指标的监测周期；</w:t>
      </w:r>
    </w:p>
    <w:p w14:paraId="7614766F">
      <w:pPr>
        <w:pStyle w:val="252"/>
        <w:numPr>
          <w:ilvl w:val="0"/>
          <w:numId w:val="34"/>
        </w:numPr>
        <w:ind w:left="840" w:leftChars="200" w:hanging="420" w:hangingChars="200"/>
        <w:rPr>
          <w:rFonts w:hint="eastAsia" w:ascii="宋体" w:hAnsi="Times New Roman" w:eastAsia="宋体" w:cs="Times New Roman"/>
          <w:lang w:val="en-US" w:eastAsia="zh-CN"/>
        </w:rPr>
      </w:pPr>
      <w:r>
        <w:rPr>
          <w:rFonts w:hint="eastAsia" w:ascii="宋体" w:hAnsi="Times New Roman" w:eastAsia="宋体" w:cs="Times New Roman"/>
          <w:lang w:val="en-US" w:eastAsia="zh-CN"/>
        </w:rPr>
        <w:t>权重分值：反映指标在体系中的重要程度。</w:t>
      </w:r>
    </w:p>
    <w:p w14:paraId="0A107870">
      <w:pPr>
        <w:pStyle w:val="111"/>
        <w:numPr>
          <w:ilvl w:val="2"/>
          <w:numId w:val="12"/>
        </w:numPr>
        <w:spacing w:before="156" w:after="156"/>
      </w:pPr>
      <w:bookmarkStart w:id="74" w:name="_Toc1005"/>
      <w:r>
        <w:rPr>
          <w:rFonts w:hint="eastAsia"/>
          <w:lang w:val="en-US" w:eastAsia="zh-CN"/>
        </w:rPr>
        <w:t>指标体系内容</w:t>
      </w:r>
      <w:bookmarkEnd w:id="74"/>
    </w:p>
    <w:p w14:paraId="6B479354">
      <w:pPr>
        <w:pStyle w:val="62"/>
        <w:ind w:firstLine="420"/>
        <w:rPr>
          <w:rFonts w:hint="eastAsia"/>
        </w:rPr>
        <w:sectPr>
          <w:headerReference r:id="rId17" w:type="default"/>
          <w:footerReference r:id="rId19" w:type="default"/>
          <w:headerReference r:id="rId18" w:type="even"/>
          <w:footerReference r:id="rId20" w:type="even"/>
          <w:pgSz w:w="11906" w:h="16838"/>
          <w:pgMar w:top="851" w:right="1134" w:bottom="1134" w:left="1418" w:header="1418" w:footer="1134" w:gutter="0"/>
          <w:pgBorders>
            <w:top w:val="none" w:sz="0" w:space="0"/>
            <w:left w:val="none" w:sz="0" w:space="0"/>
            <w:bottom w:val="none" w:sz="0" w:space="0"/>
            <w:right w:val="none" w:sz="0" w:space="0"/>
          </w:pgBorders>
          <w:pgNumType w:start="1"/>
          <w:cols w:space="425" w:num="1"/>
          <w:formProt w:val="0"/>
          <w:docGrid w:type="lines" w:linePitch="312" w:charSpace="0"/>
        </w:sectPr>
      </w:pPr>
      <w:r>
        <w:rPr>
          <w:rFonts w:hint="eastAsia" w:hAnsi="Times New Roman" w:cs="Times New Roman"/>
          <w:color w:val="000000"/>
          <w:sz w:val="21"/>
          <w:szCs w:val="24"/>
          <w:highlight w:val="none"/>
          <w:lang w:val="en-US" w:eastAsia="zh-CN"/>
        </w:rPr>
        <w:t>康养创富联合体统计监测指标体系见表1</w:t>
      </w:r>
      <w:r>
        <w:rPr>
          <w:rFonts w:hint="eastAsia"/>
        </w:rPr>
        <w:t>。</w:t>
      </w:r>
      <w:bookmarkStart w:id="90" w:name="_GoBack"/>
      <w:bookmarkEnd w:id="90"/>
    </w:p>
    <w:p w14:paraId="269D43F1">
      <w:pPr>
        <w:keepNext w:val="0"/>
        <w:keepLines w:val="0"/>
        <w:pageBreakBefore w:val="0"/>
        <w:widowControl w:val="0"/>
        <w:kinsoku/>
        <w:wordWrap/>
        <w:overflowPunct/>
        <w:topLinePunct w:val="0"/>
        <w:autoSpaceDE/>
        <w:autoSpaceDN/>
        <w:bidi w:val="0"/>
        <w:adjustRightInd w:val="0"/>
        <w:snapToGrid/>
        <w:spacing w:before="156" w:beforeLines="50" w:after="156" w:afterLines="50" w:line="240" w:lineRule="auto"/>
        <w:jc w:val="center"/>
        <w:textAlignment w:val="auto"/>
        <w:rPr>
          <w:rFonts w:hint="eastAsia" w:ascii="宋体" w:hAnsi="宋体" w:eastAsia="宋体" w:cs="宋体"/>
          <w:szCs w:val="21"/>
          <w:lang w:eastAsia="zh-CN"/>
        </w:rPr>
      </w:pPr>
      <w:r>
        <w:rPr>
          <w:rFonts w:hint="eastAsia" w:ascii="黑体" w:hAnsi="黑体" w:eastAsia="黑体"/>
          <w:szCs w:val="21"/>
        </w:rPr>
        <w:t>表1 康养创富联合体统计监测指标体系内容</w:t>
      </w:r>
    </w:p>
    <w:tbl>
      <w:tblPr>
        <w:tblStyle w:val="31"/>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3"/>
        <w:gridCol w:w="910"/>
        <w:gridCol w:w="910"/>
        <w:gridCol w:w="1374"/>
        <w:gridCol w:w="1860"/>
        <w:gridCol w:w="696"/>
        <w:gridCol w:w="5434"/>
        <w:gridCol w:w="1055"/>
        <w:gridCol w:w="1055"/>
        <w:gridCol w:w="1136"/>
      </w:tblGrid>
      <w:tr w14:paraId="72A31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210" w:type="pct"/>
            <w:vMerge w:val="restart"/>
            <w:tcBorders>
              <w:top w:val="single" w:color="auto" w:sz="12" w:space="0"/>
              <w:left w:val="single" w:color="auto" w:sz="12" w:space="0"/>
            </w:tcBorders>
            <w:shd w:val="clear" w:color="auto" w:fill="auto"/>
            <w:noWrap w:val="0"/>
            <w:vAlign w:val="center"/>
          </w:tcPr>
          <w:p w14:paraId="3B574FF2">
            <w:pPr>
              <w:keepNext w:val="0"/>
              <w:keepLines w:val="0"/>
              <w:pageBreakBefore w:val="0"/>
              <w:widowControl w:val="0"/>
              <w:numPr>
                <w:ilvl w:val="0"/>
                <w:numId w:val="0"/>
              </w:numPr>
              <w:suppressLineNumbers w:val="0"/>
              <w:tabs>
                <w:tab w:val="left" w:pos="0"/>
              </w:tabs>
              <w:kinsoku/>
              <w:wordWrap/>
              <w:overflowPunct/>
              <w:topLinePunct w:val="0"/>
              <w:autoSpaceDE/>
              <w:autoSpaceDN/>
              <w:bidi w:val="0"/>
              <w:snapToGrid/>
              <w:spacing w:beforeAutospacing="0" w:afterAutospacing="0" w:line="240" w:lineRule="atLeast"/>
              <w:ind w:left="0" w:leftChars="0" w:right="0" w:rightChars="0"/>
              <w:jc w:val="center"/>
              <w:textAlignment w:val="auto"/>
              <w:outlineLvl w:val="2"/>
              <w:rPr>
                <w:rFonts w:hint="default" w:ascii="宋体" w:hAnsi="宋体" w:eastAsia="宋体" w:cs="宋体"/>
                <w:color w:val="000000"/>
                <w:sz w:val="18"/>
                <w:szCs w:val="18"/>
                <w:highlight w:val="none"/>
                <w:lang w:val="en-US" w:eastAsia="zh-CN" w:bidi="ar-SA"/>
              </w:rPr>
            </w:pPr>
            <w:r>
              <w:rPr>
                <w:rFonts w:hint="eastAsia" w:ascii="宋体" w:hAnsi="宋体" w:cs="宋体"/>
                <w:color w:val="000000"/>
                <w:sz w:val="18"/>
                <w:szCs w:val="18"/>
                <w:highlight w:val="none"/>
                <w:lang w:val="en-US" w:eastAsia="zh-CN" w:bidi="ar-SA"/>
              </w:rPr>
              <w:t>序号</w:t>
            </w:r>
          </w:p>
        </w:tc>
        <w:tc>
          <w:tcPr>
            <w:tcW w:w="1677" w:type="pct"/>
            <w:gridSpan w:val="4"/>
            <w:tcBorders>
              <w:top w:val="single" w:color="auto" w:sz="12" w:space="0"/>
              <w:right w:val="single" w:color="auto" w:sz="4" w:space="0"/>
            </w:tcBorders>
            <w:shd w:val="clear" w:color="auto" w:fill="auto"/>
            <w:noWrap w:val="0"/>
            <w:vAlign w:val="top"/>
          </w:tcPr>
          <w:p w14:paraId="3F4D41E9">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tLeast"/>
              <w:ind w:left="0" w:right="0"/>
              <w:jc w:val="center"/>
              <w:textAlignment w:val="auto"/>
              <w:rPr>
                <w:rFonts w:hint="eastAsia" w:ascii="宋体" w:hAnsi="宋体" w:eastAsia="宋体" w:cs="宋体"/>
                <w:color w:val="000000" w:themeColor="text1"/>
                <w:sz w:val="18"/>
                <w:szCs w:val="18"/>
                <w:highlight w:val="none"/>
                <w:lang w:val="en-US" w:eastAsia="zh-CN"/>
                <w14:textFill>
                  <w14:solidFill>
                    <w14:schemeClr w14:val="tx1"/>
                  </w14:solidFill>
                </w14:textFill>
              </w:rPr>
            </w:pPr>
            <w:r>
              <w:rPr>
                <w:rFonts w:hint="eastAsia" w:ascii="宋体" w:hAnsi="宋体" w:cs="宋体"/>
                <w:color w:val="000000" w:themeColor="text1"/>
                <w:sz w:val="18"/>
                <w:szCs w:val="18"/>
                <w:highlight w:val="none"/>
                <w:lang w:val="en-US" w:eastAsia="zh-CN"/>
                <w14:textFill>
                  <w14:solidFill>
                    <w14:schemeClr w14:val="tx1"/>
                  </w14:solidFill>
                </w14:textFill>
              </w:rPr>
              <w:t>指标名称</w:t>
            </w:r>
          </w:p>
        </w:tc>
        <w:tc>
          <w:tcPr>
            <w:tcW w:w="231" w:type="pct"/>
            <w:vMerge w:val="restart"/>
            <w:tcBorders>
              <w:top w:val="single" w:color="auto" w:sz="12" w:space="0"/>
              <w:left w:val="single" w:color="auto" w:sz="4" w:space="0"/>
              <w:bottom w:val="single" w:color="auto" w:sz="12" w:space="0"/>
              <w:right w:val="single" w:color="auto" w:sz="4" w:space="0"/>
            </w:tcBorders>
            <w:shd w:val="clear" w:color="auto" w:fill="auto"/>
            <w:noWrap w:val="0"/>
            <w:vAlign w:val="center"/>
          </w:tcPr>
          <w:p w14:paraId="7DA691A1">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tLeast"/>
              <w:ind w:left="0" w:right="0"/>
              <w:jc w:val="center"/>
              <w:textAlignment w:val="auto"/>
              <w:rPr>
                <w:rFonts w:hint="eastAsia" w:ascii="宋体" w:hAnsi="宋体" w:eastAsia="宋体" w:cs="宋体"/>
                <w:color w:val="000000" w:themeColor="text1"/>
                <w:sz w:val="18"/>
                <w:szCs w:val="18"/>
                <w:lang w:val="en-US" w:eastAsia="zh-CN"/>
                <w14:textFill>
                  <w14:solidFill>
                    <w14:schemeClr w14:val="tx1"/>
                  </w14:solidFill>
                </w14:textFill>
              </w:rPr>
            </w:pPr>
            <w:r>
              <w:rPr>
                <w:rFonts w:hint="eastAsia" w:ascii="宋体" w:hAnsi="宋体" w:cs="宋体"/>
                <w:color w:val="000000" w:themeColor="text1"/>
                <w:sz w:val="18"/>
                <w:szCs w:val="18"/>
                <w:lang w:val="en-US" w:eastAsia="zh-CN"/>
                <w14:textFill>
                  <w14:solidFill>
                    <w14:schemeClr w14:val="tx1"/>
                  </w14:solidFill>
                </w14:textFill>
              </w:rPr>
              <w:t>计量单位</w:t>
            </w:r>
          </w:p>
        </w:tc>
        <w:tc>
          <w:tcPr>
            <w:tcW w:w="1803" w:type="pct"/>
            <w:vMerge w:val="restart"/>
            <w:tcBorders>
              <w:top w:val="single" w:color="auto" w:sz="12" w:space="0"/>
              <w:left w:val="single" w:color="auto" w:sz="4" w:space="0"/>
              <w:bottom w:val="single" w:color="auto" w:sz="12" w:space="0"/>
              <w:right w:val="single" w:color="auto" w:sz="4" w:space="0"/>
            </w:tcBorders>
            <w:shd w:val="clear" w:color="auto" w:fill="auto"/>
            <w:noWrap w:val="0"/>
            <w:vAlign w:val="center"/>
          </w:tcPr>
          <w:p w14:paraId="7A8A293E">
            <w:pPr>
              <w:keepNext w:val="0"/>
              <w:keepLines w:val="0"/>
              <w:pageBreakBefore w:val="0"/>
              <w:widowControl w:val="0"/>
              <w:numPr>
                <w:ilvl w:val="0"/>
                <w:numId w:val="0"/>
              </w:numPr>
              <w:suppressLineNumbers w:val="0"/>
              <w:kinsoku/>
              <w:wordWrap/>
              <w:overflowPunct/>
              <w:topLinePunct w:val="0"/>
              <w:autoSpaceDE/>
              <w:autoSpaceDN/>
              <w:bidi w:val="0"/>
              <w:snapToGrid/>
              <w:spacing w:beforeAutospacing="0" w:afterAutospacing="0" w:line="240" w:lineRule="atLeast"/>
              <w:ind w:left="0" w:leftChars="0" w:right="0" w:rightChars="0" w:firstLine="0" w:firstLineChars="0"/>
              <w:jc w:val="center"/>
              <w:textAlignment w:val="auto"/>
              <w:outlineLvl w:val="2"/>
              <w:rPr>
                <w:rFonts w:hint="eastAsia" w:ascii="宋体" w:hAnsi="宋体" w:eastAsia="宋体" w:cs="宋体"/>
                <w:color w:val="000000" w:themeColor="text1"/>
                <w:sz w:val="18"/>
                <w:szCs w:val="18"/>
                <w:lang w:val="en-US" w:eastAsia="zh-CN"/>
                <w14:textFill>
                  <w14:solidFill>
                    <w14:schemeClr w14:val="tx1"/>
                  </w14:solidFill>
                </w14:textFill>
              </w:rPr>
            </w:pPr>
            <w:r>
              <w:rPr>
                <w:rFonts w:hint="eastAsia" w:ascii="宋体" w:hAnsi="宋体" w:eastAsia="宋体" w:cs="宋体"/>
                <w:color w:val="000000"/>
                <w:sz w:val="18"/>
                <w:szCs w:val="18"/>
                <w:highlight w:val="none"/>
                <w:lang w:val="en-US" w:eastAsia="zh-CN" w:bidi="ar-SA"/>
              </w:rPr>
              <w:t>指</w:t>
            </w:r>
            <w:r>
              <w:rPr>
                <w:rFonts w:hint="eastAsia" w:ascii="宋体" w:hAnsi="宋体" w:cs="宋体"/>
                <w:color w:val="000000"/>
                <w:sz w:val="18"/>
                <w:szCs w:val="18"/>
                <w:highlight w:val="none"/>
                <w:lang w:val="en-US" w:eastAsia="zh-CN" w:bidi="ar-SA"/>
              </w:rPr>
              <w:t>标</w:t>
            </w:r>
            <w:r>
              <w:rPr>
                <w:rFonts w:hint="eastAsia" w:ascii="宋体" w:hAnsi="宋体" w:eastAsia="宋体" w:cs="宋体"/>
                <w:color w:val="000000"/>
                <w:sz w:val="18"/>
                <w:szCs w:val="18"/>
                <w:highlight w:val="none"/>
                <w:lang w:val="en-US" w:eastAsia="zh-CN" w:bidi="ar-SA"/>
              </w:rPr>
              <w:t>释义</w:t>
            </w:r>
          </w:p>
        </w:tc>
        <w:tc>
          <w:tcPr>
            <w:tcW w:w="350" w:type="pct"/>
            <w:vMerge w:val="restart"/>
            <w:tcBorders>
              <w:top w:val="single" w:color="auto" w:sz="12" w:space="0"/>
              <w:left w:val="single" w:color="auto" w:sz="4" w:space="0"/>
              <w:right w:val="single" w:color="auto" w:sz="4" w:space="0"/>
            </w:tcBorders>
            <w:shd w:val="clear" w:color="auto" w:fill="auto"/>
            <w:noWrap w:val="0"/>
            <w:vAlign w:val="center"/>
          </w:tcPr>
          <w:p w14:paraId="13A26072">
            <w:pPr>
              <w:keepNext w:val="0"/>
              <w:keepLines w:val="0"/>
              <w:pageBreakBefore w:val="0"/>
              <w:widowControl w:val="0"/>
              <w:numPr>
                <w:ilvl w:val="0"/>
                <w:numId w:val="0"/>
              </w:numPr>
              <w:suppressLineNumbers w:val="0"/>
              <w:kinsoku/>
              <w:wordWrap/>
              <w:overflowPunct/>
              <w:topLinePunct w:val="0"/>
              <w:autoSpaceDE/>
              <w:autoSpaceDN/>
              <w:bidi w:val="0"/>
              <w:snapToGrid/>
              <w:spacing w:beforeAutospacing="0" w:afterAutospacing="0" w:line="240" w:lineRule="atLeast"/>
              <w:ind w:left="0" w:leftChars="0" w:right="0" w:rightChars="0" w:firstLine="0" w:firstLineChars="0"/>
              <w:jc w:val="center"/>
              <w:textAlignment w:val="auto"/>
              <w:outlineLvl w:val="2"/>
              <w:rPr>
                <w:rFonts w:hint="default" w:ascii="宋体" w:hAnsi="宋体" w:eastAsia="宋体" w:cs="宋体"/>
                <w:color w:val="000000"/>
                <w:sz w:val="18"/>
                <w:szCs w:val="18"/>
                <w:highlight w:val="none"/>
                <w:lang w:val="en-US" w:eastAsia="zh-CN" w:bidi="ar-SA"/>
              </w:rPr>
            </w:pPr>
            <w:r>
              <w:rPr>
                <w:rFonts w:hint="eastAsia" w:ascii="宋体" w:hAnsi="宋体" w:cs="宋体"/>
                <w:color w:val="000000"/>
                <w:sz w:val="18"/>
                <w:szCs w:val="18"/>
                <w:highlight w:val="none"/>
                <w:lang w:val="en-US" w:eastAsia="zh-CN" w:bidi="ar-SA"/>
              </w:rPr>
              <w:t>计算方式</w:t>
            </w:r>
          </w:p>
        </w:tc>
        <w:tc>
          <w:tcPr>
            <w:tcW w:w="350" w:type="pct"/>
            <w:vMerge w:val="restart"/>
            <w:tcBorders>
              <w:top w:val="single" w:color="auto" w:sz="12" w:space="0"/>
              <w:left w:val="single" w:color="auto" w:sz="4" w:space="0"/>
              <w:bottom w:val="single" w:color="auto" w:sz="12" w:space="0"/>
              <w:right w:val="single" w:color="auto" w:sz="4" w:space="0"/>
            </w:tcBorders>
            <w:shd w:val="clear" w:color="auto" w:fill="auto"/>
            <w:noWrap w:val="0"/>
            <w:vAlign w:val="center"/>
          </w:tcPr>
          <w:p w14:paraId="346B245F">
            <w:pPr>
              <w:keepNext w:val="0"/>
              <w:keepLines w:val="0"/>
              <w:pageBreakBefore w:val="0"/>
              <w:widowControl w:val="0"/>
              <w:numPr>
                <w:ilvl w:val="0"/>
                <w:numId w:val="0"/>
              </w:numPr>
              <w:suppressLineNumbers w:val="0"/>
              <w:kinsoku/>
              <w:wordWrap/>
              <w:overflowPunct/>
              <w:topLinePunct w:val="0"/>
              <w:autoSpaceDE/>
              <w:autoSpaceDN/>
              <w:bidi w:val="0"/>
              <w:snapToGrid/>
              <w:spacing w:beforeAutospacing="0" w:afterAutospacing="0" w:line="240" w:lineRule="atLeast"/>
              <w:ind w:left="0" w:leftChars="0" w:right="0" w:rightChars="0" w:firstLine="0" w:firstLineChars="0"/>
              <w:jc w:val="center"/>
              <w:textAlignment w:val="auto"/>
              <w:outlineLvl w:val="2"/>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highlight w:val="none"/>
                <w:lang w:val="en-US" w:eastAsia="zh-CN" w:bidi="ar-SA"/>
              </w:rPr>
              <w:t>数据来源</w:t>
            </w:r>
          </w:p>
        </w:tc>
        <w:tc>
          <w:tcPr>
            <w:tcW w:w="377" w:type="pct"/>
            <w:vMerge w:val="restart"/>
            <w:tcBorders>
              <w:top w:val="single" w:color="auto" w:sz="12" w:space="0"/>
              <w:left w:val="single" w:color="auto" w:sz="4" w:space="0"/>
              <w:bottom w:val="single" w:color="auto" w:sz="12" w:space="0"/>
              <w:right w:val="single" w:color="auto" w:sz="12" w:space="0"/>
            </w:tcBorders>
            <w:shd w:val="clear" w:color="auto" w:fill="auto"/>
            <w:noWrap w:val="0"/>
            <w:vAlign w:val="center"/>
          </w:tcPr>
          <w:p w14:paraId="653D5661">
            <w:pPr>
              <w:keepNext w:val="0"/>
              <w:keepLines w:val="0"/>
              <w:pageBreakBefore w:val="0"/>
              <w:widowControl w:val="0"/>
              <w:numPr>
                <w:ilvl w:val="0"/>
                <w:numId w:val="0"/>
              </w:numPr>
              <w:suppressLineNumbers w:val="0"/>
              <w:kinsoku/>
              <w:wordWrap/>
              <w:overflowPunct/>
              <w:topLinePunct w:val="0"/>
              <w:autoSpaceDE/>
              <w:autoSpaceDN/>
              <w:bidi w:val="0"/>
              <w:snapToGrid/>
              <w:spacing w:beforeAutospacing="0" w:afterAutospacing="0" w:line="240" w:lineRule="atLeast"/>
              <w:ind w:left="0" w:leftChars="0" w:right="0" w:rightChars="0" w:firstLine="0" w:firstLineChars="0"/>
              <w:jc w:val="center"/>
              <w:textAlignment w:val="auto"/>
              <w:outlineLvl w:val="2"/>
              <w:rPr>
                <w:rFonts w:hint="default" w:ascii="宋体" w:hAnsi="宋体" w:eastAsia="宋体" w:cs="宋体"/>
                <w:color w:val="000000"/>
                <w:sz w:val="18"/>
                <w:szCs w:val="18"/>
                <w:highlight w:val="none"/>
                <w:lang w:val="en-US" w:eastAsia="zh-CN"/>
              </w:rPr>
            </w:pPr>
            <w:r>
              <w:rPr>
                <w:rFonts w:hint="eastAsia" w:ascii="宋体" w:hAnsi="宋体" w:eastAsia="宋体" w:cs="宋体"/>
                <w:color w:val="000000"/>
                <w:sz w:val="18"/>
                <w:szCs w:val="18"/>
                <w:highlight w:val="none"/>
                <w:lang w:val="en-US" w:eastAsia="zh-CN" w:bidi="ar-SA"/>
              </w:rPr>
              <w:t>监测频次</w:t>
            </w:r>
          </w:p>
        </w:tc>
      </w:tr>
      <w:tr w14:paraId="708B2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210" w:type="pct"/>
            <w:vMerge w:val="continue"/>
            <w:tcBorders>
              <w:left w:val="single" w:color="auto" w:sz="12" w:space="0"/>
              <w:bottom w:val="single" w:color="auto" w:sz="12" w:space="0"/>
            </w:tcBorders>
            <w:shd w:val="clear" w:color="auto" w:fill="auto"/>
            <w:noWrap w:val="0"/>
            <w:vAlign w:val="center"/>
          </w:tcPr>
          <w:p w14:paraId="15FBEBB3">
            <w:pPr>
              <w:keepNext w:val="0"/>
              <w:keepLines w:val="0"/>
              <w:pageBreakBefore w:val="0"/>
              <w:widowControl w:val="0"/>
              <w:numPr>
                <w:ilvl w:val="0"/>
                <w:numId w:val="0"/>
              </w:numPr>
              <w:suppressLineNumbers w:val="0"/>
              <w:tabs>
                <w:tab w:val="left" w:pos="0"/>
              </w:tabs>
              <w:kinsoku/>
              <w:wordWrap/>
              <w:overflowPunct/>
              <w:topLinePunct w:val="0"/>
              <w:autoSpaceDE/>
              <w:autoSpaceDN/>
              <w:bidi w:val="0"/>
              <w:snapToGrid/>
              <w:spacing w:beforeAutospacing="0" w:afterAutospacing="0" w:line="240" w:lineRule="atLeast"/>
              <w:ind w:left="0" w:leftChars="0" w:right="0" w:rightChars="0"/>
              <w:jc w:val="center"/>
              <w:textAlignment w:val="auto"/>
              <w:outlineLvl w:val="2"/>
              <w:rPr>
                <w:rFonts w:hint="eastAsia" w:ascii="宋体" w:hAnsi="宋体" w:eastAsia="宋体" w:cs="宋体"/>
                <w:color w:val="000000"/>
                <w:sz w:val="18"/>
                <w:szCs w:val="18"/>
                <w:highlight w:val="none"/>
                <w:lang w:val="en-US" w:eastAsia="zh-CN" w:bidi="ar-SA"/>
              </w:rPr>
            </w:pPr>
          </w:p>
        </w:tc>
        <w:tc>
          <w:tcPr>
            <w:tcW w:w="302" w:type="pct"/>
            <w:tcBorders>
              <w:bottom w:val="single" w:color="auto" w:sz="12" w:space="0"/>
            </w:tcBorders>
            <w:shd w:val="clear" w:color="auto" w:fill="auto"/>
            <w:noWrap w:val="0"/>
            <w:vAlign w:val="top"/>
          </w:tcPr>
          <w:p w14:paraId="39717544">
            <w:pPr>
              <w:keepNext w:val="0"/>
              <w:keepLines w:val="0"/>
              <w:pageBreakBefore w:val="0"/>
              <w:widowControl w:val="0"/>
              <w:numPr>
                <w:ilvl w:val="0"/>
                <w:numId w:val="0"/>
              </w:numPr>
              <w:suppressLineNumbers w:val="0"/>
              <w:kinsoku/>
              <w:wordWrap/>
              <w:overflowPunct/>
              <w:topLinePunct w:val="0"/>
              <w:autoSpaceDE/>
              <w:autoSpaceDN/>
              <w:bidi w:val="0"/>
              <w:adjustRightInd w:val="0"/>
              <w:snapToGrid/>
              <w:spacing w:beforeAutospacing="0" w:afterAutospacing="0" w:line="240" w:lineRule="atLeast"/>
              <w:ind w:left="0" w:right="0"/>
              <w:jc w:val="center"/>
              <w:textAlignment w:val="auto"/>
              <w:outlineLvl w:val="2"/>
              <w:rPr>
                <w:rFonts w:hint="eastAsia" w:ascii="宋体" w:hAnsi="宋体" w:eastAsia="宋体" w:cs="宋体"/>
                <w:color w:val="000000"/>
                <w:sz w:val="18"/>
                <w:szCs w:val="18"/>
                <w:highlight w:val="none"/>
                <w:lang w:val="en-US" w:eastAsia="zh-CN" w:bidi="ar-SA"/>
              </w:rPr>
            </w:pPr>
            <w:r>
              <w:rPr>
                <w:rFonts w:hint="eastAsia" w:ascii="宋体" w:hAnsi="宋体" w:cs="宋体"/>
                <w:color w:val="000000"/>
                <w:sz w:val="18"/>
                <w:szCs w:val="18"/>
                <w:highlight w:val="none"/>
                <w:lang w:val="en-US" w:eastAsia="zh-CN" w:bidi="ar-SA"/>
              </w:rPr>
              <w:t>一</w:t>
            </w:r>
            <w:r>
              <w:rPr>
                <w:rFonts w:hint="eastAsia" w:ascii="宋体" w:hAnsi="宋体" w:eastAsia="宋体" w:cs="宋体"/>
                <w:color w:val="000000"/>
                <w:sz w:val="18"/>
                <w:szCs w:val="18"/>
                <w:highlight w:val="none"/>
                <w:lang w:val="en-US" w:eastAsia="zh-CN" w:bidi="ar-SA"/>
              </w:rPr>
              <w:t>级</w:t>
            </w:r>
          </w:p>
          <w:p w14:paraId="6FFEE684">
            <w:pPr>
              <w:keepNext w:val="0"/>
              <w:keepLines w:val="0"/>
              <w:pageBreakBefore w:val="0"/>
              <w:widowControl w:val="0"/>
              <w:numPr>
                <w:ilvl w:val="0"/>
                <w:numId w:val="0"/>
              </w:numPr>
              <w:suppressLineNumbers w:val="0"/>
              <w:kinsoku/>
              <w:wordWrap/>
              <w:overflowPunct/>
              <w:topLinePunct w:val="0"/>
              <w:autoSpaceDE/>
              <w:autoSpaceDN/>
              <w:bidi w:val="0"/>
              <w:adjustRightInd w:val="0"/>
              <w:snapToGrid/>
              <w:spacing w:beforeAutospacing="0" w:afterAutospacing="0" w:line="240" w:lineRule="atLeast"/>
              <w:ind w:left="0" w:right="0"/>
              <w:jc w:val="center"/>
              <w:textAlignment w:val="auto"/>
              <w:outlineLvl w:val="2"/>
              <w:rPr>
                <w:rFonts w:hint="eastAsia" w:ascii="宋体" w:hAnsi="宋体" w:eastAsia="宋体" w:cs="宋体"/>
                <w:color w:val="000000"/>
                <w:sz w:val="18"/>
                <w:szCs w:val="18"/>
                <w:highlight w:val="none"/>
                <w:lang w:val="en-US" w:eastAsia="zh-CN" w:bidi="ar-SA"/>
              </w:rPr>
            </w:pPr>
            <w:r>
              <w:rPr>
                <w:rFonts w:hint="eastAsia" w:ascii="宋体" w:hAnsi="宋体" w:eastAsia="宋体" w:cs="宋体"/>
                <w:color w:val="000000"/>
                <w:sz w:val="18"/>
                <w:szCs w:val="18"/>
                <w:highlight w:val="none"/>
                <w:lang w:val="en-US" w:eastAsia="zh-CN" w:bidi="ar-SA"/>
              </w:rPr>
              <w:t>指标</w:t>
            </w:r>
            <w:r>
              <w:rPr>
                <w:rFonts w:hint="eastAsia" w:ascii="宋体" w:hAnsi="宋体" w:cs="宋体"/>
                <w:color w:val="000000"/>
                <w:sz w:val="18"/>
                <w:szCs w:val="18"/>
                <w:highlight w:val="none"/>
                <w:lang w:val="en-US" w:eastAsia="zh-CN" w:bidi="ar-SA"/>
              </w:rPr>
              <w:t xml:space="preserve"> （权重）</w:t>
            </w:r>
          </w:p>
        </w:tc>
        <w:tc>
          <w:tcPr>
            <w:tcW w:w="302" w:type="pct"/>
            <w:tcBorders>
              <w:bottom w:val="single" w:color="auto" w:sz="12" w:space="0"/>
            </w:tcBorders>
            <w:shd w:val="clear" w:color="auto" w:fill="auto"/>
            <w:noWrap w:val="0"/>
            <w:vAlign w:val="center"/>
          </w:tcPr>
          <w:p w14:paraId="24180216">
            <w:pPr>
              <w:keepNext w:val="0"/>
              <w:keepLines w:val="0"/>
              <w:pageBreakBefore w:val="0"/>
              <w:widowControl w:val="0"/>
              <w:numPr>
                <w:ilvl w:val="0"/>
                <w:numId w:val="0"/>
              </w:numPr>
              <w:suppressLineNumbers w:val="0"/>
              <w:kinsoku/>
              <w:wordWrap/>
              <w:overflowPunct/>
              <w:topLinePunct w:val="0"/>
              <w:autoSpaceDE/>
              <w:autoSpaceDN/>
              <w:bidi w:val="0"/>
              <w:snapToGrid/>
              <w:spacing w:beforeAutospacing="0" w:afterAutospacing="0" w:line="240" w:lineRule="atLeast"/>
              <w:ind w:left="0" w:right="0"/>
              <w:jc w:val="center"/>
              <w:textAlignment w:val="auto"/>
              <w:outlineLvl w:val="2"/>
              <w:rPr>
                <w:rFonts w:hint="eastAsia" w:ascii="宋体" w:hAnsi="宋体" w:eastAsia="宋体" w:cs="宋体"/>
                <w:color w:val="000000"/>
                <w:sz w:val="18"/>
                <w:szCs w:val="18"/>
                <w:highlight w:val="none"/>
                <w:lang w:val="en-US" w:eastAsia="zh-CN" w:bidi="ar-SA"/>
              </w:rPr>
            </w:pPr>
            <w:r>
              <w:rPr>
                <w:rFonts w:hint="eastAsia" w:ascii="宋体" w:hAnsi="宋体" w:eastAsia="宋体" w:cs="宋体"/>
                <w:color w:val="000000"/>
                <w:sz w:val="18"/>
                <w:szCs w:val="18"/>
                <w:highlight w:val="none"/>
                <w:lang w:val="en-US" w:eastAsia="zh-CN" w:bidi="ar-SA"/>
              </w:rPr>
              <w:t>二级</w:t>
            </w:r>
          </w:p>
          <w:p w14:paraId="1359BB14">
            <w:pPr>
              <w:keepNext w:val="0"/>
              <w:keepLines w:val="0"/>
              <w:pageBreakBefore w:val="0"/>
              <w:widowControl w:val="0"/>
              <w:numPr>
                <w:ilvl w:val="0"/>
                <w:numId w:val="0"/>
              </w:numPr>
              <w:suppressLineNumbers w:val="0"/>
              <w:kinsoku/>
              <w:wordWrap/>
              <w:overflowPunct/>
              <w:topLinePunct w:val="0"/>
              <w:autoSpaceDE/>
              <w:autoSpaceDN/>
              <w:bidi w:val="0"/>
              <w:snapToGrid/>
              <w:spacing w:beforeAutospacing="0" w:afterAutospacing="0" w:line="240" w:lineRule="atLeast"/>
              <w:ind w:left="0" w:right="0"/>
              <w:jc w:val="center"/>
              <w:textAlignment w:val="auto"/>
              <w:outlineLvl w:val="2"/>
              <w:rPr>
                <w:rFonts w:hint="eastAsia" w:ascii="宋体" w:hAnsi="宋体" w:eastAsia="宋体" w:cs="宋体"/>
                <w:color w:val="000000"/>
                <w:sz w:val="18"/>
                <w:szCs w:val="18"/>
                <w:highlight w:val="none"/>
                <w:lang w:val="en-US" w:eastAsia="zh-CN" w:bidi="ar-SA"/>
              </w:rPr>
            </w:pPr>
            <w:r>
              <w:rPr>
                <w:rFonts w:hint="eastAsia" w:ascii="宋体" w:hAnsi="宋体" w:eastAsia="宋体" w:cs="宋体"/>
                <w:color w:val="000000"/>
                <w:sz w:val="18"/>
                <w:szCs w:val="18"/>
                <w:highlight w:val="none"/>
                <w:lang w:val="en-US" w:eastAsia="zh-CN" w:bidi="ar-SA"/>
              </w:rPr>
              <w:t>指标</w:t>
            </w:r>
          </w:p>
          <w:p w14:paraId="72C27A23">
            <w:pPr>
              <w:keepNext w:val="0"/>
              <w:keepLines w:val="0"/>
              <w:pageBreakBefore w:val="0"/>
              <w:widowControl w:val="0"/>
              <w:suppressLineNumbers w:val="0"/>
              <w:tabs>
                <w:tab w:val="center" w:pos="4201"/>
                <w:tab w:val="right" w:leader="dot" w:pos="9298"/>
              </w:tabs>
              <w:kinsoku/>
              <w:wordWrap/>
              <w:overflowPunct/>
              <w:topLinePunct w:val="0"/>
              <w:autoSpaceDE/>
              <w:autoSpaceDN/>
              <w:bidi w:val="0"/>
              <w:snapToGrid/>
              <w:spacing w:beforeAutospacing="0" w:afterAutospacing="0" w:line="240" w:lineRule="atLeast"/>
              <w:ind w:left="0" w:leftChars="0" w:right="0" w:rightChars="0" w:firstLine="0" w:firstLineChars="0"/>
              <w:jc w:val="center"/>
              <w:textAlignment w:val="auto"/>
              <w:rPr>
                <w:rFonts w:hint="eastAsia" w:ascii="宋体" w:hAnsi="宋体" w:cs="宋体"/>
                <w:color w:val="000000"/>
                <w:sz w:val="18"/>
                <w:szCs w:val="18"/>
                <w:highlight w:val="none"/>
                <w:lang w:val="en-US" w:eastAsia="zh-CN" w:bidi="ar-SA"/>
              </w:rPr>
            </w:pPr>
            <w:r>
              <w:rPr>
                <w:rFonts w:hint="eastAsia" w:ascii="宋体" w:hAnsi="宋体" w:eastAsia="宋体" w:cs="宋体"/>
                <w:color w:val="000000"/>
                <w:sz w:val="18"/>
                <w:szCs w:val="18"/>
                <w:highlight w:val="none"/>
                <w:lang w:val="en-US" w:eastAsia="zh-CN" w:bidi="ar-SA"/>
              </w:rPr>
              <w:t>(权重）</w:t>
            </w:r>
          </w:p>
        </w:tc>
        <w:tc>
          <w:tcPr>
            <w:tcW w:w="456" w:type="pct"/>
            <w:tcBorders>
              <w:bottom w:val="single" w:color="auto" w:sz="12" w:space="0"/>
            </w:tcBorders>
            <w:shd w:val="clear" w:color="auto" w:fill="auto"/>
            <w:noWrap w:val="0"/>
            <w:vAlign w:val="top"/>
          </w:tcPr>
          <w:p w14:paraId="33CD9B2D">
            <w:pPr>
              <w:keepNext w:val="0"/>
              <w:keepLines w:val="0"/>
              <w:pageBreakBefore w:val="0"/>
              <w:widowControl w:val="0"/>
              <w:numPr>
                <w:ilvl w:val="0"/>
                <w:numId w:val="0"/>
              </w:numPr>
              <w:suppressLineNumbers w:val="0"/>
              <w:kinsoku/>
              <w:wordWrap/>
              <w:overflowPunct/>
              <w:topLinePunct w:val="0"/>
              <w:autoSpaceDE/>
              <w:autoSpaceDN/>
              <w:bidi w:val="0"/>
              <w:snapToGrid/>
              <w:spacing w:beforeAutospacing="0" w:afterAutospacing="0" w:line="240" w:lineRule="atLeast"/>
              <w:ind w:left="0" w:leftChars="0" w:right="0" w:rightChars="0" w:firstLine="0" w:firstLineChars="0"/>
              <w:jc w:val="center"/>
              <w:textAlignment w:val="auto"/>
              <w:outlineLvl w:val="2"/>
              <w:rPr>
                <w:rFonts w:hint="eastAsia" w:ascii="宋体" w:hAnsi="宋体" w:eastAsia="宋体" w:cs="宋体"/>
                <w:color w:val="000000"/>
                <w:sz w:val="18"/>
                <w:szCs w:val="18"/>
                <w:highlight w:val="none"/>
                <w:lang w:val="en-US" w:eastAsia="zh-CN" w:bidi="ar-SA"/>
              </w:rPr>
            </w:pPr>
            <w:r>
              <w:rPr>
                <w:rFonts w:hint="eastAsia" w:ascii="宋体" w:hAnsi="宋体" w:eastAsia="宋体" w:cs="宋体"/>
                <w:color w:val="000000"/>
                <w:sz w:val="18"/>
                <w:szCs w:val="18"/>
                <w:highlight w:val="none"/>
                <w:lang w:val="en-US" w:eastAsia="zh-CN" w:bidi="ar-SA"/>
              </w:rPr>
              <w:t>三级指标</w:t>
            </w:r>
          </w:p>
          <w:p w14:paraId="3B7D3032">
            <w:pPr>
              <w:keepNext w:val="0"/>
              <w:keepLines w:val="0"/>
              <w:pageBreakBefore w:val="0"/>
              <w:widowControl w:val="0"/>
              <w:numPr>
                <w:ilvl w:val="0"/>
                <w:numId w:val="0"/>
              </w:numPr>
              <w:suppressLineNumbers w:val="0"/>
              <w:kinsoku/>
              <w:wordWrap/>
              <w:overflowPunct/>
              <w:topLinePunct w:val="0"/>
              <w:autoSpaceDE/>
              <w:autoSpaceDN/>
              <w:bidi w:val="0"/>
              <w:snapToGrid/>
              <w:spacing w:beforeAutospacing="0" w:afterAutospacing="0" w:line="240" w:lineRule="atLeast"/>
              <w:ind w:left="0" w:leftChars="0" w:right="0" w:rightChars="0" w:firstLine="0" w:firstLineChars="0"/>
              <w:jc w:val="center"/>
              <w:textAlignment w:val="auto"/>
              <w:outlineLvl w:val="2"/>
              <w:rPr>
                <w:rFonts w:hint="eastAsia" w:ascii="宋体" w:hAnsi="宋体" w:cs="宋体"/>
                <w:color w:val="000000"/>
                <w:sz w:val="18"/>
                <w:szCs w:val="18"/>
                <w:highlight w:val="none"/>
                <w:lang w:val="en-US" w:eastAsia="zh-CN" w:bidi="ar-SA"/>
              </w:rPr>
            </w:pPr>
            <w:r>
              <w:rPr>
                <w:rFonts w:hint="eastAsia" w:ascii="宋体" w:hAnsi="宋体" w:eastAsia="宋体" w:cs="宋体"/>
                <w:color w:val="000000"/>
                <w:sz w:val="18"/>
                <w:szCs w:val="18"/>
                <w:highlight w:val="none"/>
                <w:lang w:val="en-US" w:eastAsia="zh-CN" w:bidi="ar-SA"/>
              </w:rPr>
              <w:t>(权重）</w:t>
            </w:r>
          </w:p>
        </w:tc>
        <w:tc>
          <w:tcPr>
            <w:tcW w:w="617" w:type="pct"/>
            <w:tcBorders>
              <w:bottom w:val="single" w:color="auto" w:sz="12" w:space="0"/>
              <w:right w:val="single" w:color="auto" w:sz="4" w:space="0"/>
            </w:tcBorders>
            <w:shd w:val="clear" w:color="auto" w:fill="auto"/>
            <w:noWrap w:val="0"/>
            <w:vAlign w:val="top"/>
          </w:tcPr>
          <w:p w14:paraId="67F4041C">
            <w:pPr>
              <w:keepNext w:val="0"/>
              <w:keepLines w:val="0"/>
              <w:pageBreakBefore w:val="0"/>
              <w:widowControl w:val="0"/>
              <w:numPr>
                <w:ilvl w:val="0"/>
                <w:numId w:val="0"/>
              </w:numPr>
              <w:suppressLineNumbers w:val="0"/>
              <w:kinsoku/>
              <w:wordWrap/>
              <w:overflowPunct/>
              <w:topLinePunct w:val="0"/>
              <w:autoSpaceDE/>
              <w:autoSpaceDN/>
              <w:bidi w:val="0"/>
              <w:snapToGrid/>
              <w:spacing w:beforeAutospacing="0" w:afterAutospacing="0" w:line="240" w:lineRule="atLeast"/>
              <w:ind w:left="0" w:leftChars="0" w:right="0" w:rightChars="0" w:firstLine="0" w:firstLineChars="0"/>
              <w:jc w:val="center"/>
              <w:textAlignment w:val="auto"/>
              <w:outlineLvl w:val="2"/>
              <w:rPr>
                <w:rFonts w:hint="eastAsia" w:ascii="宋体" w:hAnsi="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sz w:val="18"/>
                <w:szCs w:val="18"/>
                <w:highlight w:val="none"/>
                <w:lang w:val="en-US" w:eastAsia="zh-CN" w:bidi="ar-SA"/>
              </w:rPr>
              <w:t>四级指标(权重）</w:t>
            </w:r>
          </w:p>
        </w:tc>
        <w:tc>
          <w:tcPr>
            <w:tcW w:w="231" w:type="pct"/>
            <w:vMerge w:val="continue"/>
            <w:tcBorders>
              <w:top w:val="single" w:color="auto" w:sz="12" w:space="0"/>
              <w:left w:val="single" w:color="auto" w:sz="4" w:space="0"/>
              <w:bottom w:val="single" w:color="auto" w:sz="12" w:space="0"/>
              <w:right w:val="single" w:color="auto" w:sz="4" w:space="0"/>
            </w:tcBorders>
            <w:shd w:val="clear" w:color="auto" w:fill="auto"/>
            <w:noWrap w:val="0"/>
            <w:vAlign w:val="center"/>
          </w:tcPr>
          <w:p w14:paraId="1F7218E0">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tLeast"/>
              <w:ind w:left="0" w:right="0"/>
              <w:jc w:val="center"/>
              <w:textAlignment w:val="auto"/>
              <w:rPr>
                <w:rFonts w:hint="eastAsia" w:ascii="宋体" w:hAnsi="宋体" w:eastAsia="宋体" w:cs="宋体"/>
                <w:color w:val="000000" w:themeColor="text1"/>
                <w:sz w:val="18"/>
                <w:szCs w:val="18"/>
                <w14:textFill>
                  <w14:solidFill>
                    <w14:schemeClr w14:val="tx1"/>
                  </w14:solidFill>
                </w14:textFill>
              </w:rPr>
            </w:pPr>
          </w:p>
        </w:tc>
        <w:tc>
          <w:tcPr>
            <w:tcW w:w="1803" w:type="pct"/>
            <w:vMerge w:val="continue"/>
            <w:tcBorders>
              <w:top w:val="single" w:color="auto" w:sz="12" w:space="0"/>
              <w:left w:val="single" w:color="auto" w:sz="4" w:space="0"/>
              <w:bottom w:val="single" w:color="auto" w:sz="12" w:space="0"/>
              <w:right w:val="single" w:color="auto" w:sz="4" w:space="0"/>
            </w:tcBorders>
            <w:shd w:val="clear" w:color="auto" w:fill="auto"/>
            <w:noWrap w:val="0"/>
            <w:vAlign w:val="center"/>
          </w:tcPr>
          <w:p w14:paraId="461E39DD">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tLeast"/>
              <w:ind w:left="0" w:right="0"/>
              <w:textAlignment w:val="auto"/>
              <w:rPr>
                <w:rFonts w:hint="eastAsia" w:ascii="宋体" w:hAnsi="宋体" w:eastAsia="宋体" w:cs="宋体"/>
                <w:color w:val="000000" w:themeColor="text1"/>
                <w:sz w:val="18"/>
                <w:szCs w:val="18"/>
                <w:lang w:val="en-US" w:eastAsia="zh-CN"/>
                <w14:textFill>
                  <w14:solidFill>
                    <w14:schemeClr w14:val="tx1"/>
                  </w14:solidFill>
                </w14:textFill>
              </w:rPr>
            </w:pPr>
          </w:p>
        </w:tc>
        <w:tc>
          <w:tcPr>
            <w:tcW w:w="350" w:type="pct"/>
            <w:vMerge w:val="continue"/>
            <w:tcBorders>
              <w:left w:val="single" w:color="auto" w:sz="4" w:space="0"/>
              <w:bottom w:val="single" w:color="auto" w:sz="12" w:space="0"/>
              <w:right w:val="single" w:color="auto" w:sz="4" w:space="0"/>
            </w:tcBorders>
            <w:shd w:val="clear" w:color="auto" w:fill="auto"/>
            <w:noWrap w:val="0"/>
            <w:vAlign w:val="center"/>
          </w:tcPr>
          <w:p w14:paraId="3B85553A">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tLeast"/>
              <w:ind w:left="0" w:right="0"/>
              <w:textAlignment w:val="auto"/>
              <w:rPr>
                <w:rFonts w:hint="eastAsia" w:ascii="宋体" w:hAnsi="宋体" w:eastAsia="宋体" w:cs="宋体"/>
                <w:color w:val="000000" w:themeColor="text1"/>
                <w:sz w:val="18"/>
                <w:szCs w:val="18"/>
                <w:lang w:val="en-US" w:eastAsia="zh-CN"/>
                <w14:textFill>
                  <w14:solidFill>
                    <w14:schemeClr w14:val="tx1"/>
                  </w14:solidFill>
                </w14:textFill>
              </w:rPr>
            </w:pPr>
          </w:p>
        </w:tc>
        <w:tc>
          <w:tcPr>
            <w:tcW w:w="350" w:type="pct"/>
            <w:vMerge w:val="continue"/>
            <w:tcBorders>
              <w:top w:val="single" w:color="auto" w:sz="12" w:space="0"/>
              <w:left w:val="single" w:color="auto" w:sz="4" w:space="0"/>
              <w:bottom w:val="single" w:color="auto" w:sz="12" w:space="0"/>
              <w:right w:val="single" w:color="auto" w:sz="4" w:space="0"/>
            </w:tcBorders>
            <w:shd w:val="clear" w:color="auto" w:fill="auto"/>
            <w:noWrap w:val="0"/>
            <w:vAlign w:val="center"/>
          </w:tcPr>
          <w:p w14:paraId="138CF279">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tLeast"/>
              <w:ind w:left="0" w:right="0"/>
              <w:jc w:val="center"/>
              <w:textAlignment w:val="auto"/>
              <w:rPr>
                <w:rFonts w:hint="eastAsia" w:ascii="宋体" w:hAnsi="宋体" w:eastAsia="宋体" w:cs="宋体"/>
                <w:color w:val="000000"/>
                <w:sz w:val="18"/>
                <w:szCs w:val="18"/>
                <w:lang w:val="en-US" w:eastAsia="zh-CN"/>
              </w:rPr>
            </w:pPr>
          </w:p>
        </w:tc>
        <w:tc>
          <w:tcPr>
            <w:tcW w:w="377" w:type="pct"/>
            <w:vMerge w:val="continue"/>
            <w:tcBorders>
              <w:top w:val="single" w:color="auto" w:sz="12" w:space="0"/>
              <w:left w:val="single" w:color="auto" w:sz="4" w:space="0"/>
              <w:bottom w:val="single" w:color="auto" w:sz="12" w:space="0"/>
              <w:right w:val="single" w:color="auto" w:sz="12" w:space="0"/>
            </w:tcBorders>
            <w:shd w:val="clear" w:color="auto" w:fill="auto"/>
            <w:noWrap w:val="0"/>
            <w:vAlign w:val="center"/>
          </w:tcPr>
          <w:p w14:paraId="33EF4A28">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tLeast"/>
              <w:ind w:left="0" w:right="0"/>
              <w:jc w:val="center"/>
              <w:textAlignment w:val="auto"/>
              <w:rPr>
                <w:rFonts w:hint="default" w:ascii="宋体" w:hAnsi="宋体" w:eastAsia="宋体" w:cs="宋体"/>
                <w:color w:val="000000"/>
                <w:sz w:val="18"/>
                <w:szCs w:val="18"/>
                <w:highlight w:val="none"/>
                <w:lang w:val="en-US" w:eastAsia="zh-CN"/>
              </w:rPr>
            </w:pPr>
          </w:p>
        </w:tc>
      </w:tr>
      <w:tr w14:paraId="44D19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10" w:type="pct"/>
            <w:tcBorders>
              <w:top w:val="single" w:color="auto" w:sz="12" w:space="0"/>
              <w:left w:val="single" w:color="auto" w:sz="12" w:space="0"/>
            </w:tcBorders>
            <w:shd w:val="clear" w:color="auto" w:fill="auto"/>
            <w:noWrap w:val="0"/>
            <w:vAlign w:val="center"/>
          </w:tcPr>
          <w:p w14:paraId="35B2723F">
            <w:pPr>
              <w:keepNext w:val="0"/>
              <w:keepLines w:val="0"/>
              <w:pageBreakBefore w:val="0"/>
              <w:widowControl w:val="0"/>
              <w:numPr>
                <w:ilvl w:val="0"/>
                <w:numId w:val="35"/>
              </w:numPr>
              <w:suppressLineNumbers w:val="0"/>
              <w:kinsoku/>
              <w:wordWrap/>
              <w:overflowPunct/>
              <w:topLinePunct w:val="0"/>
              <w:autoSpaceDE/>
              <w:autoSpaceDN/>
              <w:bidi w:val="0"/>
              <w:snapToGrid/>
              <w:spacing w:beforeAutospacing="0" w:afterAutospacing="0" w:line="240" w:lineRule="atLeast"/>
              <w:ind w:right="0"/>
              <w:jc w:val="center"/>
              <w:textAlignment w:val="auto"/>
              <w:outlineLvl w:val="2"/>
              <w:rPr>
                <w:rFonts w:hint="eastAsia" w:ascii="宋体" w:hAnsi="宋体" w:eastAsia="宋体" w:cs="宋体"/>
                <w:color w:val="000000"/>
                <w:sz w:val="18"/>
                <w:szCs w:val="18"/>
                <w:highlight w:val="none"/>
                <w:lang w:val="en-US" w:eastAsia="zh-CN" w:bidi="ar-SA"/>
              </w:rPr>
            </w:pPr>
          </w:p>
        </w:tc>
        <w:tc>
          <w:tcPr>
            <w:tcW w:w="302" w:type="pct"/>
            <w:vMerge w:val="restart"/>
            <w:tcBorders>
              <w:top w:val="single" w:color="auto" w:sz="12" w:space="0"/>
            </w:tcBorders>
            <w:shd w:val="clear" w:color="auto" w:fill="auto"/>
            <w:noWrap w:val="0"/>
            <w:vAlign w:val="top"/>
          </w:tcPr>
          <w:p w14:paraId="4DF87BE4">
            <w:pPr>
              <w:keepNext w:val="0"/>
              <w:keepLines w:val="0"/>
              <w:pageBreakBefore w:val="0"/>
              <w:widowControl w:val="0"/>
              <w:numPr>
                <w:ilvl w:val="0"/>
                <w:numId w:val="0"/>
              </w:numPr>
              <w:suppressLineNumbers w:val="0"/>
              <w:kinsoku/>
              <w:wordWrap/>
              <w:overflowPunct/>
              <w:topLinePunct w:val="0"/>
              <w:autoSpaceDE/>
              <w:autoSpaceDN/>
              <w:bidi w:val="0"/>
              <w:snapToGrid/>
              <w:spacing w:beforeAutospacing="0" w:afterAutospacing="0" w:line="240" w:lineRule="atLeast"/>
              <w:ind w:left="0" w:right="0"/>
              <w:textAlignment w:val="auto"/>
              <w:outlineLvl w:val="2"/>
              <w:rPr>
                <w:rFonts w:hint="eastAsia" w:ascii="宋体" w:hAnsi="宋体" w:eastAsia="宋体" w:cs="宋体"/>
                <w:color w:val="000000"/>
                <w:sz w:val="18"/>
                <w:szCs w:val="18"/>
                <w:highlight w:val="none"/>
                <w:lang w:val="en-US" w:eastAsia="zh-CN" w:bidi="ar-SA"/>
              </w:rPr>
            </w:pPr>
          </w:p>
          <w:p w14:paraId="621D36B3">
            <w:pPr>
              <w:keepNext w:val="0"/>
              <w:keepLines w:val="0"/>
              <w:pageBreakBefore w:val="0"/>
              <w:widowControl w:val="0"/>
              <w:numPr>
                <w:ilvl w:val="0"/>
                <w:numId w:val="0"/>
              </w:numPr>
              <w:suppressLineNumbers w:val="0"/>
              <w:kinsoku/>
              <w:wordWrap/>
              <w:overflowPunct/>
              <w:topLinePunct w:val="0"/>
              <w:autoSpaceDE/>
              <w:autoSpaceDN/>
              <w:bidi w:val="0"/>
              <w:snapToGrid/>
              <w:spacing w:beforeAutospacing="0" w:afterAutospacing="0" w:line="240" w:lineRule="atLeast"/>
              <w:ind w:left="0" w:right="0"/>
              <w:textAlignment w:val="auto"/>
              <w:outlineLvl w:val="2"/>
              <w:rPr>
                <w:rFonts w:hint="eastAsia" w:ascii="宋体" w:hAnsi="宋体" w:eastAsia="宋体" w:cs="宋体"/>
                <w:color w:val="000000"/>
                <w:sz w:val="18"/>
                <w:szCs w:val="18"/>
                <w:highlight w:val="none"/>
                <w:lang w:val="en-US" w:eastAsia="zh-CN" w:bidi="ar-SA"/>
              </w:rPr>
            </w:pPr>
          </w:p>
          <w:p w14:paraId="1F3CA8A7">
            <w:pPr>
              <w:keepNext w:val="0"/>
              <w:keepLines w:val="0"/>
              <w:pageBreakBefore w:val="0"/>
              <w:widowControl w:val="0"/>
              <w:numPr>
                <w:ilvl w:val="0"/>
                <w:numId w:val="0"/>
              </w:numPr>
              <w:suppressLineNumbers w:val="0"/>
              <w:kinsoku/>
              <w:wordWrap/>
              <w:overflowPunct/>
              <w:topLinePunct w:val="0"/>
              <w:autoSpaceDE/>
              <w:autoSpaceDN/>
              <w:bidi w:val="0"/>
              <w:snapToGrid/>
              <w:spacing w:beforeAutospacing="0" w:afterAutospacing="0" w:line="240" w:lineRule="atLeast"/>
              <w:ind w:left="0" w:right="0"/>
              <w:textAlignment w:val="auto"/>
              <w:outlineLvl w:val="2"/>
              <w:rPr>
                <w:rFonts w:hint="eastAsia" w:ascii="宋体" w:hAnsi="宋体" w:eastAsia="宋体" w:cs="宋体"/>
                <w:color w:val="000000"/>
                <w:sz w:val="18"/>
                <w:szCs w:val="18"/>
                <w:highlight w:val="none"/>
                <w:lang w:val="en-US" w:eastAsia="zh-CN" w:bidi="ar-SA"/>
              </w:rPr>
            </w:pPr>
          </w:p>
          <w:p w14:paraId="0E94C84F">
            <w:pPr>
              <w:keepNext w:val="0"/>
              <w:keepLines w:val="0"/>
              <w:pageBreakBefore w:val="0"/>
              <w:widowControl w:val="0"/>
              <w:numPr>
                <w:ilvl w:val="0"/>
                <w:numId w:val="0"/>
              </w:numPr>
              <w:suppressLineNumbers w:val="0"/>
              <w:kinsoku/>
              <w:wordWrap/>
              <w:overflowPunct/>
              <w:topLinePunct w:val="0"/>
              <w:autoSpaceDE/>
              <w:autoSpaceDN/>
              <w:bidi w:val="0"/>
              <w:snapToGrid/>
              <w:spacing w:beforeAutospacing="0" w:afterAutospacing="0" w:line="240" w:lineRule="atLeast"/>
              <w:ind w:left="0" w:right="0"/>
              <w:textAlignment w:val="auto"/>
              <w:outlineLvl w:val="2"/>
              <w:rPr>
                <w:rFonts w:hint="eastAsia" w:ascii="宋体" w:hAnsi="宋体" w:eastAsia="宋体" w:cs="宋体"/>
                <w:color w:val="000000"/>
                <w:sz w:val="18"/>
                <w:szCs w:val="18"/>
                <w:highlight w:val="none"/>
                <w:lang w:val="en-US" w:eastAsia="zh-CN" w:bidi="ar-SA"/>
              </w:rPr>
            </w:pPr>
          </w:p>
          <w:p w14:paraId="220803E3">
            <w:pPr>
              <w:keepNext w:val="0"/>
              <w:keepLines w:val="0"/>
              <w:pageBreakBefore w:val="0"/>
              <w:widowControl w:val="0"/>
              <w:numPr>
                <w:ilvl w:val="0"/>
                <w:numId w:val="0"/>
              </w:numPr>
              <w:suppressLineNumbers w:val="0"/>
              <w:kinsoku/>
              <w:wordWrap/>
              <w:overflowPunct/>
              <w:topLinePunct w:val="0"/>
              <w:autoSpaceDE/>
              <w:autoSpaceDN/>
              <w:bidi w:val="0"/>
              <w:snapToGrid/>
              <w:spacing w:beforeAutospacing="0" w:afterAutospacing="0" w:line="240" w:lineRule="atLeast"/>
              <w:ind w:left="0" w:right="0"/>
              <w:textAlignment w:val="auto"/>
              <w:outlineLvl w:val="2"/>
              <w:rPr>
                <w:rFonts w:hint="eastAsia" w:ascii="宋体" w:hAnsi="宋体" w:eastAsia="宋体" w:cs="宋体"/>
                <w:color w:val="000000"/>
                <w:sz w:val="18"/>
                <w:szCs w:val="18"/>
                <w:highlight w:val="none"/>
                <w:lang w:val="en-US" w:eastAsia="zh-CN" w:bidi="ar-SA"/>
              </w:rPr>
            </w:pPr>
          </w:p>
          <w:p w14:paraId="46EB8B4A">
            <w:pPr>
              <w:keepNext w:val="0"/>
              <w:keepLines w:val="0"/>
              <w:pageBreakBefore w:val="0"/>
              <w:widowControl w:val="0"/>
              <w:numPr>
                <w:ilvl w:val="0"/>
                <w:numId w:val="0"/>
              </w:numPr>
              <w:suppressLineNumbers w:val="0"/>
              <w:kinsoku/>
              <w:wordWrap/>
              <w:overflowPunct/>
              <w:topLinePunct w:val="0"/>
              <w:autoSpaceDE/>
              <w:autoSpaceDN/>
              <w:bidi w:val="0"/>
              <w:snapToGrid/>
              <w:spacing w:beforeAutospacing="0" w:afterAutospacing="0" w:line="240" w:lineRule="atLeast"/>
              <w:ind w:left="0" w:right="0"/>
              <w:textAlignment w:val="auto"/>
              <w:outlineLvl w:val="2"/>
              <w:rPr>
                <w:rFonts w:hint="eastAsia" w:ascii="宋体" w:hAnsi="宋体" w:eastAsia="宋体" w:cs="宋体"/>
                <w:color w:val="000000"/>
                <w:sz w:val="18"/>
                <w:szCs w:val="18"/>
                <w:highlight w:val="none"/>
                <w:lang w:val="en-US" w:eastAsia="zh-CN" w:bidi="ar-SA"/>
              </w:rPr>
            </w:pPr>
          </w:p>
          <w:p w14:paraId="00C51F32">
            <w:pPr>
              <w:keepNext w:val="0"/>
              <w:keepLines w:val="0"/>
              <w:pageBreakBefore w:val="0"/>
              <w:widowControl w:val="0"/>
              <w:numPr>
                <w:ilvl w:val="0"/>
                <w:numId w:val="0"/>
              </w:numPr>
              <w:suppressLineNumbers w:val="0"/>
              <w:kinsoku/>
              <w:wordWrap/>
              <w:overflowPunct/>
              <w:topLinePunct w:val="0"/>
              <w:autoSpaceDE/>
              <w:autoSpaceDN/>
              <w:bidi w:val="0"/>
              <w:snapToGrid/>
              <w:spacing w:beforeAutospacing="0" w:afterAutospacing="0" w:line="240" w:lineRule="atLeast"/>
              <w:ind w:left="0" w:right="0"/>
              <w:textAlignment w:val="auto"/>
              <w:outlineLvl w:val="2"/>
              <w:rPr>
                <w:rFonts w:hint="eastAsia" w:ascii="宋体" w:hAnsi="宋体" w:eastAsia="宋体" w:cs="宋体"/>
                <w:color w:val="000000"/>
                <w:sz w:val="18"/>
                <w:szCs w:val="18"/>
                <w:highlight w:val="none"/>
                <w:lang w:val="en-US" w:eastAsia="zh-CN" w:bidi="ar-SA"/>
              </w:rPr>
            </w:pPr>
          </w:p>
          <w:p w14:paraId="782222F2">
            <w:pPr>
              <w:keepNext w:val="0"/>
              <w:keepLines w:val="0"/>
              <w:pageBreakBefore w:val="0"/>
              <w:widowControl w:val="0"/>
              <w:numPr>
                <w:ilvl w:val="0"/>
                <w:numId w:val="0"/>
              </w:numPr>
              <w:suppressLineNumbers w:val="0"/>
              <w:kinsoku/>
              <w:wordWrap/>
              <w:overflowPunct/>
              <w:topLinePunct w:val="0"/>
              <w:autoSpaceDE/>
              <w:autoSpaceDN/>
              <w:bidi w:val="0"/>
              <w:snapToGrid/>
              <w:spacing w:beforeAutospacing="0" w:afterAutospacing="0" w:line="240" w:lineRule="atLeast"/>
              <w:ind w:left="0" w:right="0"/>
              <w:jc w:val="center"/>
              <w:textAlignment w:val="auto"/>
              <w:outlineLvl w:val="2"/>
              <w:rPr>
                <w:rFonts w:hint="eastAsia" w:ascii="宋体" w:hAnsi="宋体" w:eastAsia="宋体" w:cs="宋体"/>
                <w:color w:val="000000"/>
                <w:sz w:val="18"/>
                <w:szCs w:val="18"/>
                <w:highlight w:val="none"/>
                <w:lang w:val="en-US" w:eastAsia="zh-CN" w:bidi="ar-SA"/>
              </w:rPr>
            </w:pPr>
            <w:r>
              <w:rPr>
                <w:rFonts w:hint="eastAsia" w:ascii="宋体" w:hAnsi="宋体" w:eastAsia="宋体" w:cs="宋体"/>
                <w:color w:val="000000"/>
                <w:sz w:val="18"/>
                <w:szCs w:val="18"/>
                <w:highlight w:val="none"/>
                <w:lang w:val="en-US" w:eastAsia="zh-CN" w:bidi="ar-SA"/>
              </w:rPr>
              <w:t>联合（0.4）</w:t>
            </w:r>
          </w:p>
        </w:tc>
        <w:tc>
          <w:tcPr>
            <w:tcW w:w="302" w:type="pct"/>
            <w:vMerge w:val="restart"/>
            <w:tcBorders>
              <w:top w:val="single" w:color="auto" w:sz="12" w:space="0"/>
            </w:tcBorders>
            <w:shd w:val="clear" w:color="auto" w:fill="auto"/>
            <w:noWrap w:val="0"/>
            <w:vAlign w:val="center"/>
          </w:tcPr>
          <w:p w14:paraId="5DBA982A">
            <w:pPr>
              <w:keepNext w:val="0"/>
              <w:keepLines w:val="0"/>
              <w:pageBreakBefore w:val="0"/>
              <w:widowControl w:val="0"/>
              <w:numPr>
                <w:ilvl w:val="0"/>
                <w:numId w:val="0"/>
              </w:numPr>
              <w:suppressLineNumbers w:val="0"/>
              <w:kinsoku/>
              <w:wordWrap/>
              <w:overflowPunct/>
              <w:topLinePunct w:val="0"/>
              <w:autoSpaceDE/>
              <w:autoSpaceDN/>
              <w:bidi w:val="0"/>
              <w:snapToGrid/>
              <w:spacing w:beforeAutospacing="0" w:afterAutospacing="0" w:line="240" w:lineRule="atLeast"/>
              <w:ind w:left="0" w:leftChars="0" w:right="0" w:rightChars="0" w:firstLine="0" w:firstLineChars="0"/>
              <w:jc w:val="center"/>
              <w:textAlignment w:val="auto"/>
              <w:outlineLvl w:val="2"/>
              <w:rPr>
                <w:rFonts w:hint="eastAsia" w:ascii="宋体" w:hAnsi="宋体" w:cs="宋体"/>
                <w:color w:val="000000"/>
                <w:sz w:val="18"/>
                <w:szCs w:val="18"/>
                <w:highlight w:val="none"/>
                <w:lang w:val="en-US" w:eastAsia="zh-CN" w:bidi="ar-SA"/>
              </w:rPr>
            </w:pPr>
            <w:r>
              <w:rPr>
                <w:rFonts w:hint="eastAsia" w:ascii="宋体" w:hAnsi="宋体" w:cs="宋体"/>
                <w:color w:val="000000"/>
                <w:sz w:val="18"/>
                <w:szCs w:val="18"/>
                <w:highlight w:val="none"/>
                <w:lang w:val="en-US" w:eastAsia="zh-CN" w:bidi="ar-SA"/>
              </w:rPr>
              <w:t>主体</w:t>
            </w:r>
          </w:p>
          <w:p w14:paraId="40176F6A">
            <w:pPr>
              <w:keepNext w:val="0"/>
              <w:keepLines w:val="0"/>
              <w:pageBreakBefore w:val="0"/>
              <w:widowControl w:val="0"/>
              <w:numPr>
                <w:ilvl w:val="0"/>
                <w:numId w:val="0"/>
              </w:numPr>
              <w:suppressLineNumbers w:val="0"/>
              <w:kinsoku/>
              <w:wordWrap/>
              <w:overflowPunct/>
              <w:topLinePunct w:val="0"/>
              <w:autoSpaceDE/>
              <w:autoSpaceDN/>
              <w:bidi w:val="0"/>
              <w:snapToGrid/>
              <w:spacing w:beforeAutospacing="0" w:afterAutospacing="0" w:line="240" w:lineRule="atLeast"/>
              <w:ind w:left="0" w:leftChars="0" w:right="0" w:rightChars="0" w:firstLine="0" w:firstLineChars="0"/>
              <w:jc w:val="center"/>
              <w:textAlignment w:val="auto"/>
              <w:outlineLvl w:val="2"/>
              <w:rPr>
                <w:rFonts w:hint="default" w:ascii="宋体" w:hAnsi="宋体" w:eastAsia="宋体" w:cs="宋体"/>
                <w:color w:val="000000"/>
                <w:kern w:val="2"/>
                <w:sz w:val="18"/>
                <w:szCs w:val="18"/>
                <w:highlight w:val="none"/>
                <w:lang w:val="en-US" w:eastAsia="zh-CN" w:bidi="ar-SA"/>
              </w:rPr>
            </w:pPr>
            <w:r>
              <w:rPr>
                <w:rFonts w:hint="eastAsia" w:ascii="宋体" w:hAnsi="宋体" w:cs="宋体"/>
                <w:color w:val="000000"/>
                <w:sz w:val="18"/>
                <w:szCs w:val="18"/>
                <w:highlight w:val="none"/>
                <w:lang w:val="en-US" w:eastAsia="zh-CN" w:bidi="ar-SA"/>
              </w:rPr>
              <w:t>参与（0.3）</w:t>
            </w:r>
          </w:p>
          <w:p w14:paraId="55ED2E43">
            <w:pPr>
              <w:keepNext w:val="0"/>
              <w:keepLines w:val="0"/>
              <w:pageBreakBefore w:val="0"/>
              <w:widowControl w:val="0"/>
              <w:numPr>
                <w:ilvl w:val="0"/>
                <w:numId w:val="0"/>
              </w:numPr>
              <w:suppressLineNumbers w:val="0"/>
              <w:kinsoku/>
              <w:wordWrap/>
              <w:overflowPunct/>
              <w:topLinePunct w:val="0"/>
              <w:autoSpaceDE/>
              <w:autoSpaceDN/>
              <w:bidi w:val="0"/>
              <w:snapToGrid/>
              <w:spacing w:beforeAutospacing="0" w:afterAutospacing="0" w:line="240" w:lineRule="atLeast"/>
              <w:ind w:left="0" w:leftChars="0" w:right="0" w:rightChars="0" w:firstLine="0" w:firstLineChars="0"/>
              <w:jc w:val="center"/>
              <w:textAlignment w:val="auto"/>
              <w:outlineLvl w:val="2"/>
              <w:rPr>
                <w:rFonts w:hint="default" w:ascii="宋体" w:hAnsi="宋体" w:eastAsia="宋体" w:cs="宋体"/>
                <w:color w:val="000000"/>
                <w:kern w:val="2"/>
                <w:sz w:val="18"/>
                <w:szCs w:val="18"/>
                <w:highlight w:val="none"/>
                <w:lang w:val="en-US" w:eastAsia="zh-CN" w:bidi="ar-SA"/>
              </w:rPr>
            </w:pPr>
          </w:p>
          <w:p w14:paraId="24E6846A">
            <w:pPr>
              <w:keepNext w:val="0"/>
              <w:keepLines w:val="0"/>
              <w:pageBreakBefore w:val="0"/>
              <w:widowControl w:val="0"/>
              <w:numPr>
                <w:ilvl w:val="0"/>
                <w:numId w:val="0"/>
              </w:numPr>
              <w:suppressLineNumbers w:val="0"/>
              <w:kinsoku/>
              <w:wordWrap/>
              <w:overflowPunct/>
              <w:topLinePunct w:val="0"/>
              <w:autoSpaceDE/>
              <w:autoSpaceDN/>
              <w:bidi w:val="0"/>
              <w:snapToGrid/>
              <w:spacing w:beforeAutospacing="0" w:afterAutospacing="0" w:line="240" w:lineRule="atLeast"/>
              <w:ind w:left="0" w:right="0"/>
              <w:jc w:val="center"/>
              <w:textAlignment w:val="auto"/>
              <w:outlineLvl w:val="2"/>
              <w:rPr>
                <w:rFonts w:hint="default" w:ascii="宋体" w:hAnsi="宋体" w:cs="宋体"/>
                <w:color w:val="000000"/>
                <w:sz w:val="18"/>
                <w:szCs w:val="18"/>
                <w:highlight w:val="none"/>
                <w:lang w:val="en-US" w:eastAsia="zh-CN" w:bidi="ar-SA"/>
              </w:rPr>
            </w:pPr>
          </w:p>
        </w:tc>
        <w:tc>
          <w:tcPr>
            <w:tcW w:w="456" w:type="pct"/>
            <w:tcBorders>
              <w:top w:val="single" w:color="auto" w:sz="12" w:space="0"/>
            </w:tcBorders>
            <w:shd w:val="clear" w:color="auto" w:fill="auto"/>
            <w:noWrap w:val="0"/>
            <w:vAlign w:val="center"/>
          </w:tcPr>
          <w:p w14:paraId="6124B8A1">
            <w:pPr>
              <w:pStyle w:val="239"/>
              <w:keepNext w:val="0"/>
              <w:keepLines w:val="0"/>
              <w:pageBreakBefore w:val="0"/>
              <w:widowControl/>
              <w:suppressLineNumbers w:val="0"/>
              <w:kinsoku/>
              <w:wordWrap/>
              <w:overflowPunct/>
              <w:topLinePunct w:val="0"/>
              <w:autoSpaceDE/>
              <w:autoSpaceDN/>
              <w:bidi w:val="0"/>
              <w:snapToGrid/>
              <w:spacing w:before="0" w:beforeLines="0" w:beforeAutospacing="0" w:after="0" w:afterLines="0" w:afterAutospacing="0" w:line="240" w:lineRule="atLeast"/>
              <w:ind w:left="0" w:leftChars="0" w:right="0" w:rightChars="0" w:firstLine="0" w:firstLineChars="0"/>
              <w:jc w:val="center"/>
              <w:textAlignment w:val="auto"/>
              <w:outlineLvl w:val="2"/>
              <w:rPr>
                <w:rFonts w:hint="eastAsia" w:ascii="宋体" w:hAnsi="宋体" w:eastAsia="宋体" w:cs="宋体"/>
                <w:color w:val="000000"/>
                <w:sz w:val="18"/>
                <w:szCs w:val="18"/>
                <w:highlight w:val="none"/>
                <w:lang w:val="en-US" w:eastAsia="zh-CN" w:bidi="ar-SA"/>
              </w:rPr>
            </w:pPr>
            <w:r>
              <w:rPr>
                <w:rFonts w:hint="eastAsia" w:ascii="宋体" w:hAnsi="宋体" w:eastAsia="宋体" w:cs="宋体"/>
                <w:color w:val="000000" w:themeColor="text1"/>
                <w:sz w:val="18"/>
                <w:szCs w:val="18"/>
                <w14:textFill>
                  <w14:solidFill>
                    <w14:schemeClr w14:val="tx1"/>
                  </w14:solidFill>
                </w14:textFill>
              </w:rPr>
              <w:t>地方政府平台公司参与率</w:t>
            </w:r>
            <w:r>
              <w:rPr>
                <w:rFonts w:hint="eastAsia" w:ascii="宋体" w:hAnsi="宋体" w:eastAsia="宋体" w:cs="宋体"/>
                <w:color w:val="000000" w:themeColor="text1"/>
                <w:sz w:val="18"/>
                <w:szCs w:val="18"/>
                <w:lang w:eastAsia="zh-CN"/>
                <w14:textFill>
                  <w14:solidFill>
                    <w14:schemeClr w14:val="tx1"/>
                  </w14:solidFill>
                </w14:textFill>
              </w:rPr>
              <w:t>（</w:t>
            </w:r>
            <w:r>
              <w:rPr>
                <w:rFonts w:hint="eastAsia" w:ascii="宋体" w:hAnsi="宋体" w:eastAsia="宋体" w:cs="宋体"/>
                <w:color w:val="000000" w:themeColor="text1"/>
                <w:sz w:val="18"/>
                <w:szCs w:val="18"/>
                <w:lang w:val="en-US" w:eastAsia="zh-CN"/>
                <w14:textFill>
                  <w14:solidFill>
                    <w14:schemeClr w14:val="tx1"/>
                  </w14:solidFill>
                </w14:textFill>
              </w:rPr>
              <w:t>0.25</w:t>
            </w:r>
            <w:r>
              <w:rPr>
                <w:rFonts w:hint="eastAsia" w:ascii="宋体" w:hAnsi="宋体" w:eastAsia="宋体" w:cs="宋体"/>
                <w:color w:val="000000" w:themeColor="text1"/>
                <w:sz w:val="18"/>
                <w:szCs w:val="18"/>
                <w:lang w:eastAsia="zh-CN"/>
                <w14:textFill>
                  <w14:solidFill>
                    <w14:schemeClr w14:val="tx1"/>
                  </w14:solidFill>
                </w14:textFill>
              </w:rPr>
              <w:t>）</w:t>
            </w:r>
          </w:p>
        </w:tc>
        <w:tc>
          <w:tcPr>
            <w:tcW w:w="617" w:type="pct"/>
            <w:tcBorders>
              <w:top w:val="single" w:color="auto" w:sz="12" w:space="0"/>
              <w:right w:val="single" w:color="auto" w:sz="4" w:space="0"/>
            </w:tcBorders>
            <w:shd w:val="clear" w:color="auto" w:fill="auto"/>
            <w:noWrap w:val="0"/>
            <w:vAlign w:val="center"/>
          </w:tcPr>
          <w:p w14:paraId="7C41D62E">
            <w:pPr>
              <w:keepNext w:val="0"/>
              <w:keepLines w:val="0"/>
              <w:pageBreakBefore w:val="0"/>
              <w:suppressLineNumbers w:val="0"/>
              <w:kinsoku/>
              <w:wordWrap/>
              <w:overflowPunct/>
              <w:topLinePunct w:val="0"/>
              <w:autoSpaceDE/>
              <w:autoSpaceDN/>
              <w:bidi w:val="0"/>
              <w:adjustRightInd/>
              <w:snapToGrid/>
              <w:spacing w:beforeAutospacing="0" w:afterAutospacing="0" w:line="240" w:lineRule="atLeast"/>
              <w:ind w:left="0" w:leftChars="0" w:right="0" w:rightChars="0"/>
              <w:textAlignment w:val="auto"/>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地方政府平台公司</w:t>
            </w:r>
          </w:p>
          <w:p w14:paraId="0EAB2D1E">
            <w:pPr>
              <w:keepNext w:val="0"/>
              <w:keepLines w:val="0"/>
              <w:pageBreakBefore w:val="0"/>
              <w:suppressLineNumbers w:val="0"/>
              <w:kinsoku/>
              <w:wordWrap/>
              <w:overflowPunct/>
              <w:topLinePunct w:val="0"/>
              <w:autoSpaceDE/>
              <w:autoSpaceDN/>
              <w:bidi w:val="0"/>
              <w:adjustRightInd/>
              <w:snapToGrid/>
              <w:spacing w:beforeAutospacing="0" w:afterAutospacing="0" w:line="240" w:lineRule="atLeast"/>
              <w:ind w:left="0" w:leftChars="0" w:right="0" w:rightChars="0"/>
              <w:textAlignment w:val="auto"/>
              <w:rPr>
                <w:rFonts w:hint="eastAsia" w:ascii="宋体" w:hAnsi="宋体" w:cs="宋体"/>
                <w:color w:val="000000" w:themeColor="text1"/>
                <w:sz w:val="18"/>
                <w:szCs w:val="18"/>
                <w:highlight w:val="none"/>
                <w:lang w:val="en-US" w:eastAsia="zh-CN"/>
                <w14:textFill>
                  <w14:solidFill>
                    <w14:schemeClr w14:val="tx1"/>
                  </w14:solidFill>
                </w14:textFill>
              </w:rPr>
            </w:pPr>
            <w:r>
              <w:rPr>
                <w:rFonts w:hint="eastAsia" w:ascii="宋体" w:hAnsi="宋体" w:cs="宋体"/>
                <w:color w:val="000000" w:themeColor="text1"/>
                <w:sz w:val="18"/>
                <w:szCs w:val="18"/>
                <w:lang w:val="en-US" w:eastAsia="zh-CN"/>
                <w14:textFill>
                  <w14:solidFill>
                    <w14:schemeClr w14:val="tx1"/>
                  </w14:solidFill>
                </w14:textFill>
              </w:rPr>
              <w:t>投入占比</w:t>
            </w:r>
          </w:p>
        </w:tc>
        <w:tc>
          <w:tcPr>
            <w:tcW w:w="231" w:type="pct"/>
            <w:tcBorders>
              <w:top w:val="single" w:color="auto" w:sz="12" w:space="0"/>
              <w:left w:val="single" w:color="auto" w:sz="4" w:space="0"/>
              <w:right w:val="single" w:color="auto" w:sz="4" w:space="0"/>
            </w:tcBorders>
            <w:shd w:val="clear" w:color="auto" w:fill="auto"/>
            <w:noWrap w:val="0"/>
            <w:vAlign w:val="center"/>
          </w:tcPr>
          <w:p w14:paraId="35248312">
            <w:pPr>
              <w:keepNext w:val="0"/>
              <w:keepLines w:val="0"/>
              <w:pageBreakBefore w:val="0"/>
              <w:suppressLineNumbers w:val="0"/>
              <w:kinsoku/>
              <w:wordWrap/>
              <w:overflowPunct/>
              <w:topLinePunct w:val="0"/>
              <w:autoSpaceDE/>
              <w:autoSpaceDN/>
              <w:bidi w:val="0"/>
              <w:adjustRightInd/>
              <w:snapToGrid/>
              <w:spacing w:beforeAutospacing="0" w:afterAutospacing="0" w:line="240" w:lineRule="atLeast"/>
              <w:ind w:left="0" w:leftChars="0" w:right="0" w:rightChars="0"/>
              <w:jc w:val="center"/>
              <w:textAlignment w:val="auto"/>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w:t>
            </w:r>
          </w:p>
        </w:tc>
        <w:tc>
          <w:tcPr>
            <w:tcW w:w="1803" w:type="pct"/>
            <w:tcBorders>
              <w:top w:val="single" w:color="auto" w:sz="12" w:space="0"/>
              <w:left w:val="single" w:color="auto" w:sz="4" w:space="0"/>
              <w:right w:val="single" w:color="auto" w:sz="4" w:space="0"/>
            </w:tcBorders>
            <w:shd w:val="clear" w:color="auto" w:fill="auto"/>
            <w:noWrap w:val="0"/>
            <w:vAlign w:val="center"/>
          </w:tcPr>
          <w:p w14:paraId="42FD6BA1">
            <w:pPr>
              <w:keepNext w:val="0"/>
              <w:keepLines w:val="0"/>
              <w:pageBreakBefore w:val="0"/>
              <w:suppressLineNumbers w:val="0"/>
              <w:kinsoku/>
              <w:wordWrap/>
              <w:overflowPunct/>
              <w:topLinePunct w:val="0"/>
              <w:autoSpaceDE/>
              <w:autoSpaceDN/>
              <w:bidi w:val="0"/>
              <w:adjustRightInd/>
              <w:snapToGrid/>
              <w:spacing w:beforeAutospacing="0" w:afterAutospacing="0" w:line="240" w:lineRule="atLeast"/>
              <w:ind w:left="0" w:leftChars="0" w:right="0" w:rightChars="0"/>
              <w:textAlignment w:val="auto"/>
              <w:rPr>
                <w:rFonts w:hint="eastAsia" w:ascii="宋体" w:hAnsi="宋体" w:eastAsia="宋体" w:cs="宋体"/>
                <w:color w:val="000000" w:themeColor="text1"/>
                <w:sz w:val="18"/>
                <w:szCs w:val="18"/>
                <w:lang w:val="en-US" w:eastAsia="zh-CN"/>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地方政府平台公司</w:t>
            </w:r>
            <w:r>
              <w:rPr>
                <w:rFonts w:hint="eastAsia" w:ascii="宋体" w:hAnsi="宋体" w:eastAsia="宋体" w:cs="宋体"/>
                <w:color w:val="000000" w:themeColor="text1"/>
                <w:sz w:val="18"/>
                <w:szCs w:val="18"/>
                <w:lang w:val="en-US" w:eastAsia="zh-CN"/>
                <w14:textFill>
                  <w14:solidFill>
                    <w14:schemeClr w14:val="tx1"/>
                  </w14:solidFill>
                </w14:textFill>
              </w:rPr>
              <w:t>投入（含资金、技术、管理等折算价值）占康养创富联合体总投入的比例，反映地方政府平台公司参与深度</w:t>
            </w:r>
            <w:r>
              <w:rPr>
                <w:rFonts w:hint="eastAsia" w:ascii="宋体" w:hAnsi="宋体" w:cs="宋体"/>
                <w:color w:val="000000" w:themeColor="text1"/>
                <w:sz w:val="18"/>
                <w:szCs w:val="18"/>
                <w:lang w:val="en-US" w:eastAsia="zh-CN"/>
                <w14:textFill>
                  <w14:solidFill>
                    <w14:schemeClr w14:val="tx1"/>
                  </w14:solidFill>
                </w14:textFill>
              </w:rPr>
              <w:t>。</w:t>
            </w:r>
            <w:r>
              <w:rPr>
                <w:rFonts w:hint="eastAsia" w:ascii="宋体" w:hAnsi="宋体" w:eastAsia="宋体" w:cs="宋体"/>
                <w:color w:val="000000" w:themeColor="text1"/>
                <w:sz w:val="18"/>
                <w:szCs w:val="18"/>
                <w:lang w:val="en-US" w:eastAsia="zh-CN"/>
                <w14:textFill>
                  <w14:solidFill>
                    <w14:schemeClr w14:val="tx1"/>
                  </w14:solidFill>
                </w14:textFill>
              </w:rPr>
              <w:t>（评分标准：</w:t>
            </w:r>
            <w:r>
              <w:rPr>
                <w:rFonts w:hint="eastAsia" w:ascii="宋体" w:hAnsi="宋体" w:cs="宋体"/>
                <w:color w:val="000000" w:themeColor="text1"/>
                <w:sz w:val="18"/>
                <w:szCs w:val="18"/>
                <w:lang w:val="en-US" w:eastAsia="zh-CN"/>
                <w14:textFill>
                  <w14:solidFill>
                    <w14:schemeClr w14:val="tx1"/>
                  </w14:solidFill>
                </w14:textFill>
              </w:rPr>
              <w:t>占比＜</w:t>
            </w:r>
            <w:r>
              <w:rPr>
                <w:rFonts w:hint="eastAsia" w:ascii="宋体" w:hAnsi="宋体" w:eastAsia="宋体" w:cs="宋体"/>
                <w:color w:val="000000" w:themeColor="text1"/>
                <w:sz w:val="18"/>
                <w:szCs w:val="18"/>
                <w:lang w:val="en-US" w:eastAsia="zh-CN"/>
                <w14:textFill>
                  <w14:solidFill>
                    <w14:schemeClr w14:val="tx1"/>
                  </w14:solidFill>
                </w14:textFill>
              </w:rPr>
              <w:t>10%得60分；10%</w:t>
            </w:r>
            <w:r>
              <w:rPr>
                <w:rFonts w:hint="eastAsia" w:ascii="宋体" w:hAnsi="宋体" w:cs="宋体"/>
                <w:color w:val="000000" w:themeColor="text1"/>
                <w:sz w:val="18"/>
                <w:szCs w:val="18"/>
                <w:lang w:val="en-US" w:eastAsia="zh-CN"/>
                <w14:textFill>
                  <w14:solidFill>
                    <w14:schemeClr w14:val="tx1"/>
                  </w14:solidFill>
                </w14:textFill>
              </w:rPr>
              <w:t>≤占比＜</w:t>
            </w:r>
            <w:r>
              <w:rPr>
                <w:rFonts w:hint="eastAsia" w:ascii="宋体" w:hAnsi="宋体" w:eastAsia="宋体" w:cs="宋体"/>
                <w:color w:val="000000" w:themeColor="text1"/>
                <w:sz w:val="18"/>
                <w:szCs w:val="18"/>
                <w:lang w:val="en-US" w:eastAsia="zh-CN"/>
                <w14:textFill>
                  <w14:solidFill>
                    <w14:schemeClr w14:val="tx1"/>
                  </w14:solidFill>
                </w14:textFill>
              </w:rPr>
              <w:t>20%得80分；占比</w:t>
            </w:r>
            <w:r>
              <w:rPr>
                <w:rFonts w:hint="eastAsia" w:ascii="宋体" w:hAnsi="宋体" w:cs="宋体"/>
                <w:color w:val="000000" w:themeColor="text1"/>
                <w:sz w:val="18"/>
                <w:szCs w:val="18"/>
                <w:lang w:val="en-US" w:eastAsia="zh-CN"/>
                <w14:textFill>
                  <w14:solidFill>
                    <w14:schemeClr w14:val="tx1"/>
                  </w14:solidFill>
                </w14:textFill>
              </w:rPr>
              <w:t>≥</w:t>
            </w:r>
            <w:r>
              <w:rPr>
                <w:rFonts w:hint="eastAsia" w:ascii="宋体" w:hAnsi="宋体" w:eastAsia="宋体" w:cs="宋体"/>
                <w:color w:val="000000" w:themeColor="text1"/>
                <w:sz w:val="18"/>
                <w:szCs w:val="18"/>
                <w:lang w:val="en-US" w:eastAsia="zh-CN"/>
                <w14:textFill>
                  <w14:solidFill>
                    <w14:schemeClr w14:val="tx1"/>
                  </w14:solidFill>
                </w14:textFill>
              </w:rPr>
              <w:t>20%得100分）</w:t>
            </w:r>
          </w:p>
          <w:p w14:paraId="628F3049">
            <w:pPr>
              <w:keepNext w:val="0"/>
              <w:keepLines w:val="0"/>
              <w:pageBreakBefore w:val="0"/>
              <w:suppressLineNumbers w:val="0"/>
              <w:kinsoku/>
              <w:wordWrap/>
              <w:overflowPunct/>
              <w:topLinePunct w:val="0"/>
              <w:autoSpaceDE/>
              <w:autoSpaceDN/>
              <w:bidi w:val="0"/>
              <w:adjustRightInd/>
              <w:snapToGrid/>
              <w:spacing w:beforeAutospacing="0" w:afterAutospacing="0" w:line="240" w:lineRule="atLeast"/>
              <w:ind w:left="0" w:leftChars="0" w:right="0" w:rightChars="0"/>
              <w:textAlignment w:val="auto"/>
              <w:rPr>
                <w:rFonts w:hint="eastAsia" w:ascii="宋体" w:hAnsi="宋体" w:eastAsia="宋体" w:cs="宋体"/>
                <w:color w:val="000000" w:themeColor="text1"/>
                <w:sz w:val="18"/>
                <w:szCs w:val="18"/>
                <w:lang w:val="en-US" w:eastAsia="zh-CN"/>
                <w14:textFill>
                  <w14:solidFill>
                    <w14:schemeClr w14:val="tx1"/>
                  </w14:solidFill>
                </w14:textFill>
              </w:rPr>
            </w:pPr>
          </w:p>
        </w:tc>
        <w:tc>
          <w:tcPr>
            <w:tcW w:w="350" w:type="pct"/>
            <w:tcBorders>
              <w:top w:val="single" w:color="auto" w:sz="12" w:space="0"/>
              <w:left w:val="single" w:color="auto" w:sz="4" w:space="0"/>
              <w:right w:val="single" w:color="auto" w:sz="4" w:space="0"/>
            </w:tcBorders>
            <w:shd w:val="clear" w:color="auto" w:fill="auto"/>
            <w:noWrap w:val="0"/>
            <w:vAlign w:val="center"/>
          </w:tcPr>
          <w:p w14:paraId="0BAE82DB">
            <w:pPr>
              <w:keepNext w:val="0"/>
              <w:keepLines w:val="0"/>
              <w:pageBreakBefore w:val="0"/>
              <w:suppressLineNumbers w:val="0"/>
              <w:kinsoku/>
              <w:wordWrap/>
              <w:overflowPunct/>
              <w:topLinePunct w:val="0"/>
              <w:autoSpaceDE/>
              <w:autoSpaceDN/>
              <w:bidi w:val="0"/>
              <w:adjustRightInd/>
              <w:snapToGrid/>
              <w:spacing w:beforeAutospacing="0" w:afterAutospacing="0" w:line="240" w:lineRule="atLeast"/>
              <w:ind w:left="0" w:leftChars="0" w:right="0" w:rightChars="0"/>
              <w:textAlignment w:val="auto"/>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b w:val="0"/>
                <w:bCs w:val="0"/>
                <w:color w:val="000000" w:themeColor="text1"/>
                <w:kern w:val="2"/>
                <w:sz w:val="18"/>
                <w:szCs w:val="18"/>
                <w:lang w:val="en-US" w:eastAsia="zh-CN" w:bidi="ar"/>
                <w14:textFill>
                  <w14:solidFill>
                    <w14:schemeClr w14:val="tx1"/>
                  </w14:solidFill>
                </w14:textFill>
              </w:rPr>
              <w:t>（地方政府平台公司投入总额/联合体总投入）× 100%</w:t>
            </w:r>
          </w:p>
        </w:tc>
        <w:tc>
          <w:tcPr>
            <w:tcW w:w="350" w:type="pct"/>
            <w:tcBorders>
              <w:top w:val="single" w:color="auto" w:sz="12" w:space="0"/>
              <w:left w:val="single" w:color="auto" w:sz="4" w:space="0"/>
              <w:right w:val="single" w:color="auto" w:sz="4" w:space="0"/>
            </w:tcBorders>
            <w:shd w:val="clear" w:color="auto" w:fill="auto"/>
            <w:noWrap w:val="0"/>
            <w:vAlign w:val="center"/>
          </w:tcPr>
          <w:p w14:paraId="171B0B13">
            <w:pPr>
              <w:keepNext w:val="0"/>
              <w:keepLines w:val="0"/>
              <w:pageBreakBefore w:val="0"/>
              <w:suppressLineNumbers w:val="0"/>
              <w:kinsoku/>
              <w:wordWrap/>
              <w:overflowPunct/>
              <w:topLinePunct w:val="0"/>
              <w:autoSpaceDE/>
              <w:autoSpaceDN/>
              <w:bidi w:val="0"/>
              <w:adjustRightInd/>
              <w:snapToGrid/>
              <w:spacing w:beforeAutospacing="0" w:afterAutospacing="0" w:line="240" w:lineRule="atLeast"/>
              <w:ind w:left="0" w:leftChars="0" w:right="0" w:rightChars="0"/>
              <w:jc w:val="center"/>
              <w:textAlignment w:val="auto"/>
              <w:rPr>
                <w:rFonts w:hint="default" w:ascii="宋体" w:hAnsi="宋体" w:eastAsia="宋体" w:cs="宋体"/>
                <w:color w:val="000000"/>
                <w:kern w:val="2"/>
                <w:sz w:val="18"/>
                <w:szCs w:val="18"/>
                <w:lang w:val="en-US" w:eastAsia="zh-CN" w:bidi="ar-SA"/>
              </w:rPr>
            </w:pPr>
            <w:r>
              <w:rPr>
                <w:rFonts w:hint="eastAsia" w:ascii="宋体" w:hAnsi="宋体" w:cs="宋体"/>
                <w:color w:val="000000" w:themeColor="text1"/>
                <w:sz w:val="18"/>
                <w:szCs w:val="18"/>
                <w:lang w:val="en-US" w:eastAsia="zh-CN"/>
                <w14:textFill>
                  <w14:solidFill>
                    <w14:schemeClr w14:val="tx1"/>
                  </w14:solidFill>
                </w14:textFill>
              </w:rPr>
              <w:t>创富工作形成数据</w:t>
            </w:r>
          </w:p>
        </w:tc>
        <w:tc>
          <w:tcPr>
            <w:tcW w:w="377" w:type="pct"/>
            <w:vMerge w:val="restart"/>
            <w:tcBorders>
              <w:top w:val="single" w:color="auto" w:sz="12" w:space="0"/>
              <w:left w:val="single" w:color="auto" w:sz="4" w:space="0"/>
              <w:right w:val="single" w:color="auto" w:sz="12" w:space="0"/>
            </w:tcBorders>
            <w:shd w:val="clear" w:color="auto" w:fill="auto"/>
            <w:noWrap w:val="0"/>
            <w:vAlign w:val="center"/>
          </w:tcPr>
          <w:p w14:paraId="27EDEB72">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tLeast"/>
              <w:ind w:left="0" w:right="0"/>
              <w:jc w:val="center"/>
              <w:textAlignment w:val="auto"/>
              <w:rPr>
                <w:rFonts w:hint="eastAsia" w:ascii="宋体" w:hAnsi="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每年</w:t>
            </w:r>
          </w:p>
          <w:p w14:paraId="5CB173E1">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tLeast"/>
              <w:ind w:left="0" w:leftChars="0" w:right="0" w:rightChars="0"/>
              <w:jc w:val="center"/>
              <w:textAlignment w:val="auto"/>
              <w:rPr>
                <w:rFonts w:hint="default" w:ascii="宋体" w:hAnsi="宋体" w:eastAsia="宋体" w:cs="宋体"/>
                <w:color w:val="000000"/>
                <w:kern w:val="2"/>
                <w:sz w:val="18"/>
                <w:szCs w:val="18"/>
                <w:highlight w:val="none"/>
                <w:lang w:val="en-US" w:eastAsia="zh-CN" w:bidi="ar-SA"/>
              </w:rPr>
            </w:pPr>
            <w:r>
              <w:rPr>
                <w:rFonts w:hint="eastAsia" w:ascii="宋体" w:hAnsi="宋体" w:cs="宋体"/>
                <w:color w:val="000000"/>
                <w:sz w:val="18"/>
                <w:szCs w:val="18"/>
                <w:highlight w:val="none"/>
                <w:lang w:val="en-US" w:eastAsia="zh-CN"/>
              </w:rPr>
              <w:t>1次</w:t>
            </w:r>
          </w:p>
          <w:p w14:paraId="6C76298E">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tLeast"/>
              <w:ind w:left="0" w:right="0"/>
              <w:jc w:val="center"/>
              <w:textAlignment w:val="auto"/>
              <w:rPr>
                <w:rFonts w:hint="default" w:ascii="宋体" w:hAnsi="宋体" w:eastAsia="宋体" w:cs="宋体"/>
                <w:color w:val="000000"/>
                <w:sz w:val="18"/>
                <w:szCs w:val="18"/>
                <w:highlight w:val="none"/>
                <w:lang w:val="en-US" w:eastAsia="zh-CN"/>
              </w:rPr>
            </w:pPr>
          </w:p>
        </w:tc>
      </w:tr>
      <w:tr w14:paraId="04A5F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210" w:type="pct"/>
            <w:tcBorders>
              <w:left w:val="single" w:color="auto" w:sz="12" w:space="0"/>
            </w:tcBorders>
            <w:shd w:val="clear" w:color="auto" w:fill="auto"/>
            <w:noWrap w:val="0"/>
            <w:vAlign w:val="center"/>
          </w:tcPr>
          <w:p w14:paraId="7D38EDDB">
            <w:pPr>
              <w:keepNext w:val="0"/>
              <w:keepLines w:val="0"/>
              <w:pageBreakBefore w:val="0"/>
              <w:widowControl w:val="0"/>
              <w:numPr>
                <w:ilvl w:val="0"/>
                <w:numId w:val="35"/>
              </w:numPr>
              <w:suppressLineNumbers w:val="0"/>
              <w:kinsoku/>
              <w:wordWrap/>
              <w:overflowPunct/>
              <w:topLinePunct w:val="0"/>
              <w:autoSpaceDE/>
              <w:autoSpaceDN/>
              <w:bidi w:val="0"/>
              <w:snapToGrid/>
              <w:spacing w:beforeAutospacing="0" w:afterAutospacing="0" w:line="240" w:lineRule="atLeast"/>
              <w:ind w:right="0"/>
              <w:jc w:val="center"/>
              <w:textAlignment w:val="auto"/>
              <w:outlineLvl w:val="2"/>
              <w:rPr>
                <w:rFonts w:hint="eastAsia" w:ascii="宋体" w:hAnsi="宋体" w:eastAsia="宋体" w:cs="宋体"/>
                <w:color w:val="000000"/>
                <w:sz w:val="18"/>
                <w:szCs w:val="18"/>
                <w:highlight w:val="none"/>
                <w:lang w:val="en-US" w:eastAsia="zh-CN" w:bidi="ar-SA"/>
              </w:rPr>
            </w:pPr>
          </w:p>
        </w:tc>
        <w:tc>
          <w:tcPr>
            <w:tcW w:w="302" w:type="pct"/>
            <w:vMerge w:val="continue"/>
            <w:shd w:val="clear" w:color="auto" w:fill="auto"/>
            <w:noWrap w:val="0"/>
            <w:vAlign w:val="top"/>
          </w:tcPr>
          <w:p w14:paraId="0EE32293">
            <w:pPr>
              <w:keepNext w:val="0"/>
              <w:keepLines w:val="0"/>
              <w:pageBreakBefore w:val="0"/>
              <w:widowControl w:val="0"/>
              <w:numPr>
                <w:ilvl w:val="0"/>
                <w:numId w:val="0"/>
              </w:numPr>
              <w:suppressLineNumbers w:val="0"/>
              <w:kinsoku/>
              <w:wordWrap/>
              <w:overflowPunct/>
              <w:topLinePunct w:val="0"/>
              <w:autoSpaceDE/>
              <w:autoSpaceDN/>
              <w:bidi w:val="0"/>
              <w:snapToGrid/>
              <w:spacing w:beforeAutospacing="0" w:afterAutospacing="0" w:line="240" w:lineRule="atLeast"/>
              <w:ind w:left="0" w:right="0"/>
              <w:textAlignment w:val="auto"/>
              <w:outlineLvl w:val="2"/>
              <w:rPr>
                <w:rFonts w:hint="eastAsia" w:ascii="宋体" w:hAnsi="宋体" w:eastAsia="宋体" w:cs="宋体"/>
                <w:color w:val="000000"/>
                <w:sz w:val="18"/>
                <w:szCs w:val="18"/>
                <w:highlight w:val="none"/>
                <w:lang w:val="en-US" w:eastAsia="zh-CN" w:bidi="ar-SA"/>
              </w:rPr>
            </w:pPr>
          </w:p>
        </w:tc>
        <w:tc>
          <w:tcPr>
            <w:tcW w:w="302" w:type="pct"/>
            <w:vMerge w:val="continue"/>
            <w:shd w:val="clear" w:color="auto" w:fill="auto"/>
            <w:noWrap w:val="0"/>
            <w:vAlign w:val="center"/>
          </w:tcPr>
          <w:p w14:paraId="065E2058">
            <w:pPr>
              <w:keepNext w:val="0"/>
              <w:keepLines w:val="0"/>
              <w:pageBreakBefore w:val="0"/>
              <w:widowControl w:val="0"/>
              <w:numPr>
                <w:ilvl w:val="0"/>
                <w:numId w:val="0"/>
              </w:numPr>
              <w:suppressLineNumbers w:val="0"/>
              <w:kinsoku/>
              <w:wordWrap/>
              <w:overflowPunct/>
              <w:topLinePunct w:val="0"/>
              <w:autoSpaceDE/>
              <w:autoSpaceDN/>
              <w:bidi w:val="0"/>
              <w:snapToGrid/>
              <w:spacing w:beforeAutospacing="0" w:afterAutospacing="0" w:line="240" w:lineRule="atLeast"/>
              <w:ind w:left="0" w:right="0"/>
              <w:jc w:val="center"/>
              <w:textAlignment w:val="auto"/>
              <w:outlineLvl w:val="2"/>
              <w:rPr>
                <w:rFonts w:hint="default" w:ascii="宋体" w:hAnsi="宋体" w:cs="宋体"/>
                <w:color w:val="000000"/>
                <w:sz w:val="18"/>
                <w:szCs w:val="18"/>
                <w:highlight w:val="none"/>
                <w:lang w:val="en-US" w:eastAsia="zh-CN" w:bidi="ar-SA"/>
              </w:rPr>
            </w:pPr>
          </w:p>
        </w:tc>
        <w:tc>
          <w:tcPr>
            <w:tcW w:w="456" w:type="pct"/>
            <w:shd w:val="clear" w:color="auto" w:fill="auto"/>
            <w:noWrap w:val="0"/>
            <w:vAlign w:val="center"/>
          </w:tcPr>
          <w:p w14:paraId="3643D3F8">
            <w:pPr>
              <w:pStyle w:val="239"/>
              <w:keepNext w:val="0"/>
              <w:keepLines w:val="0"/>
              <w:pageBreakBefore w:val="0"/>
              <w:widowControl/>
              <w:suppressLineNumbers w:val="0"/>
              <w:kinsoku/>
              <w:wordWrap/>
              <w:overflowPunct/>
              <w:topLinePunct w:val="0"/>
              <w:autoSpaceDE/>
              <w:autoSpaceDN/>
              <w:bidi w:val="0"/>
              <w:snapToGrid/>
              <w:spacing w:before="0" w:beforeLines="0" w:beforeAutospacing="0" w:after="0" w:afterLines="0" w:afterAutospacing="0" w:line="240" w:lineRule="atLeast"/>
              <w:ind w:left="0" w:leftChars="0" w:right="0" w:rightChars="0" w:firstLine="0" w:firstLineChars="0"/>
              <w:jc w:val="center"/>
              <w:textAlignment w:val="auto"/>
              <w:outlineLvl w:val="2"/>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社会资本</w:t>
            </w:r>
          </w:p>
          <w:p w14:paraId="5114EB4B">
            <w:pPr>
              <w:pStyle w:val="239"/>
              <w:keepNext w:val="0"/>
              <w:keepLines w:val="0"/>
              <w:pageBreakBefore w:val="0"/>
              <w:widowControl/>
              <w:suppressLineNumbers w:val="0"/>
              <w:kinsoku/>
              <w:wordWrap/>
              <w:overflowPunct/>
              <w:topLinePunct w:val="0"/>
              <w:autoSpaceDE/>
              <w:autoSpaceDN/>
              <w:bidi w:val="0"/>
              <w:snapToGrid/>
              <w:spacing w:before="0" w:beforeLines="0" w:beforeAutospacing="0" w:after="0" w:afterLines="0" w:afterAutospacing="0" w:line="240" w:lineRule="atLeast"/>
              <w:ind w:left="0" w:leftChars="0" w:right="0" w:rightChars="0" w:firstLine="0" w:firstLineChars="0"/>
              <w:jc w:val="center"/>
              <w:textAlignment w:val="auto"/>
              <w:outlineLvl w:val="2"/>
              <w:rPr>
                <w:rFonts w:hint="eastAsia" w:ascii="宋体" w:hAnsi="宋体" w:cs="宋体"/>
                <w:color w:val="000000"/>
                <w:sz w:val="18"/>
                <w:szCs w:val="18"/>
                <w:highlight w:val="none"/>
                <w:lang w:val="en-US" w:eastAsia="zh-CN" w:bidi="ar-SA"/>
              </w:rPr>
            </w:pPr>
            <w:r>
              <w:rPr>
                <w:rFonts w:hint="eastAsia" w:ascii="宋体" w:hAnsi="宋体" w:eastAsia="宋体" w:cs="宋体"/>
                <w:color w:val="000000" w:themeColor="text1"/>
                <w:sz w:val="18"/>
                <w:szCs w:val="18"/>
                <w14:textFill>
                  <w14:solidFill>
                    <w14:schemeClr w14:val="tx1"/>
                  </w14:solidFill>
                </w14:textFill>
              </w:rPr>
              <w:t>参与率</w:t>
            </w:r>
            <w:r>
              <w:rPr>
                <w:rFonts w:hint="eastAsia" w:ascii="宋体" w:hAnsi="宋体" w:eastAsia="宋体" w:cs="宋体"/>
                <w:color w:val="000000" w:themeColor="text1"/>
                <w:sz w:val="18"/>
                <w:szCs w:val="18"/>
                <w:lang w:eastAsia="zh-CN"/>
                <w14:textFill>
                  <w14:solidFill>
                    <w14:schemeClr w14:val="tx1"/>
                  </w14:solidFill>
                </w14:textFill>
              </w:rPr>
              <w:t>（</w:t>
            </w:r>
            <w:r>
              <w:rPr>
                <w:rFonts w:hint="eastAsia" w:ascii="宋体" w:hAnsi="宋体" w:eastAsia="宋体" w:cs="宋体"/>
                <w:color w:val="000000" w:themeColor="text1"/>
                <w:sz w:val="18"/>
                <w:szCs w:val="18"/>
                <w:lang w:val="en-US" w:eastAsia="zh-CN"/>
                <w14:textFill>
                  <w14:solidFill>
                    <w14:schemeClr w14:val="tx1"/>
                  </w14:solidFill>
                </w14:textFill>
              </w:rPr>
              <w:t>0.25</w:t>
            </w:r>
            <w:r>
              <w:rPr>
                <w:rFonts w:hint="eastAsia" w:ascii="宋体" w:hAnsi="宋体" w:eastAsia="宋体" w:cs="宋体"/>
                <w:color w:val="000000" w:themeColor="text1"/>
                <w:sz w:val="18"/>
                <w:szCs w:val="18"/>
                <w:lang w:eastAsia="zh-CN"/>
                <w14:textFill>
                  <w14:solidFill>
                    <w14:schemeClr w14:val="tx1"/>
                  </w14:solidFill>
                </w14:textFill>
              </w:rPr>
              <w:t>）</w:t>
            </w:r>
          </w:p>
        </w:tc>
        <w:tc>
          <w:tcPr>
            <w:tcW w:w="617" w:type="pct"/>
            <w:tcBorders>
              <w:right w:val="single" w:color="auto" w:sz="4" w:space="0"/>
            </w:tcBorders>
            <w:shd w:val="clear" w:color="auto" w:fill="auto"/>
            <w:noWrap w:val="0"/>
            <w:vAlign w:val="center"/>
          </w:tcPr>
          <w:p w14:paraId="586BB8B8">
            <w:pPr>
              <w:keepNext w:val="0"/>
              <w:keepLines w:val="0"/>
              <w:pageBreakBefore w:val="0"/>
              <w:suppressLineNumbers w:val="0"/>
              <w:kinsoku/>
              <w:wordWrap/>
              <w:overflowPunct/>
              <w:topLinePunct w:val="0"/>
              <w:autoSpaceDE/>
              <w:autoSpaceDN/>
              <w:bidi w:val="0"/>
              <w:adjustRightInd/>
              <w:snapToGrid/>
              <w:spacing w:beforeAutospacing="0" w:afterAutospacing="0" w:line="240" w:lineRule="atLeast"/>
              <w:ind w:left="0" w:leftChars="0" w:right="0" w:rightChars="0"/>
              <w:textAlignment w:val="auto"/>
              <w:rPr>
                <w:rFonts w:hint="eastAsia" w:ascii="宋体" w:hAnsi="宋体" w:cs="宋体"/>
                <w:color w:val="000000" w:themeColor="text1"/>
                <w:sz w:val="18"/>
                <w:szCs w:val="18"/>
                <w:highlight w:val="none"/>
                <w:lang w:val="en-US" w:eastAsia="zh-CN"/>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社会资本投入占比</w:t>
            </w:r>
          </w:p>
        </w:tc>
        <w:tc>
          <w:tcPr>
            <w:tcW w:w="231" w:type="pct"/>
            <w:tcBorders>
              <w:left w:val="single" w:color="auto" w:sz="4" w:space="0"/>
              <w:right w:val="single" w:color="auto" w:sz="4" w:space="0"/>
            </w:tcBorders>
            <w:shd w:val="clear" w:color="auto" w:fill="auto"/>
            <w:noWrap w:val="0"/>
            <w:vAlign w:val="center"/>
          </w:tcPr>
          <w:p w14:paraId="669E0473">
            <w:pPr>
              <w:keepNext w:val="0"/>
              <w:keepLines w:val="0"/>
              <w:pageBreakBefore w:val="0"/>
              <w:suppressLineNumbers w:val="0"/>
              <w:kinsoku/>
              <w:wordWrap/>
              <w:overflowPunct/>
              <w:topLinePunct w:val="0"/>
              <w:autoSpaceDE/>
              <w:autoSpaceDN/>
              <w:bidi w:val="0"/>
              <w:adjustRightInd/>
              <w:snapToGrid/>
              <w:spacing w:beforeAutospacing="0" w:afterAutospacing="0" w:line="240" w:lineRule="atLeast"/>
              <w:ind w:left="0" w:leftChars="0" w:right="0" w:rightChars="0"/>
              <w:jc w:val="center"/>
              <w:textAlignment w:val="auto"/>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w:t>
            </w:r>
          </w:p>
        </w:tc>
        <w:tc>
          <w:tcPr>
            <w:tcW w:w="1803" w:type="pct"/>
            <w:tcBorders>
              <w:left w:val="single" w:color="auto" w:sz="4" w:space="0"/>
              <w:right w:val="single" w:color="auto" w:sz="4" w:space="0"/>
            </w:tcBorders>
            <w:shd w:val="clear" w:color="auto" w:fill="auto"/>
            <w:noWrap w:val="0"/>
            <w:vAlign w:val="center"/>
          </w:tcPr>
          <w:p w14:paraId="22845527">
            <w:pPr>
              <w:keepNext w:val="0"/>
              <w:keepLines w:val="0"/>
              <w:pageBreakBefore w:val="0"/>
              <w:suppressLineNumbers w:val="0"/>
              <w:kinsoku/>
              <w:wordWrap/>
              <w:overflowPunct/>
              <w:topLinePunct w:val="0"/>
              <w:autoSpaceDE/>
              <w:autoSpaceDN/>
              <w:bidi w:val="0"/>
              <w:adjustRightInd/>
              <w:snapToGrid/>
              <w:spacing w:beforeAutospacing="0" w:afterAutospacing="0" w:line="240" w:lineRule="atLeast"/>
              <w:ind w:left="0" w:leftChars="0" w:right="0" w:rightChars="0"/>
              <w:textAlignment w:val="auto"/>
              <w:rPr>
                <w:rFonts w:hint="eastAsia" w:ascii="宋体" w:hAnsi="宋体" w:eastAsia="宋体" w:cs="宋体"/>
                <w:color w:val="000000" w:themeColor="text1"/>
                <w:sz w:val="18"/>
                <w:szCs w:val="18"/>
                <w:lang w:val="en-US" w:eastAsia="zh-CN"/>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社会资本投入</w:t>
            </w:r>
            <w:r>
              <w:rPr>
                <w:rFonts w:hint="eastAsia" w:ascii="宋体" w:hAnsi="宋体" w:cs="宋体"/>
                <w:color w:val="000000" w:themeColor="text1"/>
                <w:sz w:val="18"/>
                <w:szCs w:val="18"/>
                <w:lang w:eastAsia="zh-CN"/>
                <w14:textFill>
                  <w14:solidFill>
                    <w14:schemeClr w14:val="tx1"/>
                  </w14:solidFill>
                </w14:textFill>
              </w:rPr>
              <w:t>（含资金、技术、管理等折算价值）</w:t>
            </w:r>
            <w:r>
              <w:rPr>
                <w:rFonts w:hint="eastAsia" w:ascii="宋体" w:hAnsi="宋体" w:eastAsia="宋体" w:cs="宋体"/>
                <w:color w:val="000000" w:themeColor="text1"/>
                <w:sz w:val="18"/>
                <w:szCs w:val="18"/>
                <w14:textFill>
                  <w14:solidFill>
                    <w14:schemeClr w14:val="tx1"/>
                  </w14:solidFill>
                </w14:textFill>
              </w:rPr>
              <w:t>占康养</w:t>
            </w:r>
            <w:r>
              <w:rPr>
                <w:rFonts w:hint="eastAsia" w:ascii="宋体" w:hAnsi="宋体" w:cs="宋体"/>
                <w:color w:val="000000" w:themeColor="text1"/>
                <w:sz w:val="18"/>
                <w:szCs w:val="18"/>
                <w:lang w:val="en-US" w:eastAsia="zh-CN"/>
                <w14:textFill>
                  <w14:solidFill>
                    <w14:schemeClr w14:val="tx1"/>
                  </w14:solidFill>
                </w14:textFill>
              </w:rPr>
              <w:t>创富联合体</w:t>
            </w:r>
            <w:r>
              <w:rPr>
                <w:rFonts w:hint="eastAsia" w:ascii="宋体" w:hAnsi="宋体" w:eastAsia="宋体" w:cs="宋体"/>
                <w:color w:val="000000" w:themeColor="text1"/>
                <w:sz w:val="18"/>
                <w:szCs w:val="18"/>
                <w14:textFill>
                  <w14:solidFill>
                    <w14:schemeClr w14:val="tx1"/>
                  </w14:solidFill>
                </w14:textFill>
              </w:rPr>
              <w:t>总投入的比例，反映社会资本参与深度</w:t>
            </w:r>
            <w:r>
              <w:rPr>
                <w:rFonts w:hint="eastAsia" w:ascii="宋体" w:hAnsi="宋体" w:eastAsia="宋体" w:cs="宋体"/>
                <w:color w:val="000000" w:themeColor="text1"/>
                <w:sz w:val="18"/>
                <w:szCs w:val="18"/>
                <w:lang w:eastAsia="zh-CN"/>
                <w14:textFill>
                  <w14:solidFill>
                    <w14:schemeClr w14:val="tx1"/>
                  </w14:solidFill>
                </w14:textFill>
              </w:rPr>
              <w:t>（</w:t>
            </w:r>
            <w:r>
              <w:rPr>
                <w:rFonts w:hint="eastAsia" w:ascii="宋体" w:hAnsi="宋体" w:eastAsia="宋体" w:cs="宋体"/>
                <w:color w:val="000000" w:themeColor="text1"/>
                <w:sz w:val="18"/>
                <w:szCs w:val="18"/>
                <w:lang w:val="en-US" w:eastAsia="zh-CN"/>
                <w14:textFill>
                  <w14:solidFill>
                    <w14:schemeClr w14:val="tx1"/>
                  </w14:solidFill>
                </w14:textFill>
              </w:rPr>
              <w:t>统计范围为联合体内主要营收企业，不包括小微企业和个体工商户</w:t>
            </w:r>
            <w:r>
              <w:rPr>
                <w:rFonts w:hint="eastAsia" w:ascii="宋体" w:hAnsi="宋体" w:eastAsia="宋体" w:cs="宋体"/>
                <w:color w:val="000000" w:themeColor="text1"/>
                <w:sz w:val="18"/>
                <w:szCs w:val="18"/>
                <w:lang w:eastAsia="zh-CN"/>
                <w14:textFill>
                  <w14:solidFill>
                    <w14:schemeClr w14:val="tx1"/>
                  </w14:solidFill>
                </w14:textFill>
              </w:rPr>
              <w:t>）</w:t>
            </w:r>
            <w:r>
              <w:rPr>
                <w:rFonts w:hint="eastAsia" w:ascii="宋体" w:hAnsi="宋体" w:cs="宋体"/>
                <w:color w:val="000000" w:themeColor="text1"/>
                <w:sz w:val="18"/>
                <w:szCs w:val="18"/>
                <w:lang w:eastAsia="zh-CN"/>
                <w14:textFill>
                  <w14:solidFill>
                    <w14:schemeClr w14:val="tx1"/>
                  </w14:solidFill>
                </w14:textFill>
              </w:rPr>
              <w:t>。</w:t>
            </w:r>
            <w:r>
              <w:rPr>
                <w:rFonts w:hint="eastAsia" w:ascii="宋体" w:hAnsi="宋体" w:eastAsia="宋体" w:cs="宋体"/>
                <w:color w:val="000000" w:themeColor="text1"/>
                <w:sz w:val="18"/>
                <w:szCs w:val="18"/>
                <w:lang w:val="en-US" w:eastAsia="zh-CN"/>
                <w14:textFill>
                  <w14:solidFill>
                    <w14:schemeClr w14:val="tx1"/>
                  </w14:solidFill>
                </w14:textFill>
              </w:rPr>
              <w:t>（评分标准：占比＜</w:t>
            </w:r>
            <w:r>
              <w:rPr>
                <w:rFonts w:hint="eastAsia" w:ascii="宋体" w:hAnsi="宋体" w:cs="宋体"/>
                <w:color w:val="000000" w:themeColor="text1"/>
                <w:sz w:val="18"/>
                <w:szCs w:val="18"/>
                <w:lang w:val="en-US" w:eastAsia="zh-CN"/>
                <w14:textFill>
                  <w14:solidFill>
                    <w14:schemeClr w14:val="tx1"/>
                  </w14:solidFill>
                </w14:textFill>
              </w:rPr>
              <w:t>3</w:t>
            </w:r>
            <w:r>
              <w:rPr>
                <w:rFonts w:hint="eastAsia" w:ascii="宋体" w:hAnsi="宋体" w:eastAsia="宋体" w:cs="宋体"/>
                <w:color w:val="000000" w:themeColor="text1"/>
                <w:sz w:val="18"/>
                <w:szCs w:val="18"/>
                <w:lang w:val="en-US" w:eastAsia="zh-CN"/>
                <w14:textFill>
                  <w14:solidFill>
                    <w14:schemeClr w14:val="tx1"/>
                  </w14:solidFill>
                </w14:textFill>
              </w:rPr>
              <w:t>0%得60分；</w:t>
            </w:r>
            <w:r>
              <w:rPr>
                <w:rFonts w:hint="eastAsia" w:ascii="宋体" w:hAnsi="宋体" w:cs="宋体"/>
                <w:color w:val="000000" w:themeColor="text1"/>
                <w:sz w:val="18"/>
                <w:szCs w:val="18"/>
                <w:lang w:val="en-US" w:eastAsia="zh-CN"/>
                <w14:textFill>
                  <w14:solidFill>
                    <w14:schemeClr w14:val="tx1"/>
                  </w14:solidFill>
                </w14:textFill>
              </w:rPr>
              <w:t>3</w:t>
            </w:r>
            <w:r>
              <w:rPr>
                <w:rFonts w:hint="eastAsia" w:ascii="宋体" w:hAnsi="宋体" w:eastAsia="宋体" w:cs="宋体"/>
                <w:color w:val="000000" w:themeColor="text1"/>
                <w:sz w:val="18"/>
                <w:szCs w:val="18"/>
                <w:lang w:val="en-US" w:eastAsia="zh-CN"/>
                <w14:textFill>
                  <w14:solidFill>
                    <w14:schemeClr w14:val="tx1"/>
                  </w14:solidFill>
                </w14:textFill>
              </w:rPr>
              <w:t>0%≤占比＜</w:t>
            </w:r>
            <w:r>
              <w:rPr>
                <w:rFonts w:hint="eastAsia" w:ascii="宋体" w:hAnsi="宋体" w:cs="宋体"/>
                <w:color w:val="000000" w:themeColor="text1"/>
                <w:sz w:val="18"/>
                <w:szCs w:val="18"/>
                <w:lang w:val="en-US" w:eastAsia="zh-CN"/>
                <w14:textFill>
                  <w14:solidFill>
                    <w14:schemeClr w14:val="tx1"/>
                  </w14:solidFill>
                </w14:textFill>
              </w:rPr>
              <w:t>5</w:t>
            </w:r>
            <w:r>
              <w:rPr>
                <w:rFonts w:hint="eastAsia" w:ascii="宋体" w:hAnsi="宋体" w:eastAsia="宋体" w:cs="宋体"/>
                <w:color w:val="000000" w:themeColor="text1"/>
                <w:sz w:val="18"/>
                <w:szCs w:val="18"/>
                <w:lang w:val="en-US" w:eastAsia="zh-CN"/>
                <w14:textFill>
                  <w14:solidFill>
                    <w14:schemeClr w14:val="tx1"/>
                  </w14:solidFill>
                </w14:textFill>
              </w:rPr>
              <w:t>0%得80分；占比</w:t>
            </w:r>
            <w:r>
              <w:rPr>
                <w:rFonts w:hint="eastAsia" w:ascii="宋体" w:hAnsi="宋体" w:cs="宋体"/>
                <w:color w:val="000000" w:themeColor="text1"/>
                <w:sz w:val="18"/>
                <w:szCs w:val="18"/>
                <w:lang w:val="en-US" w:eastAsia="zh-CN"/>
                <w14:textFill>
                  <w14:solidFill>
                    <w14:schemeClr w14:val="tx1"/>
                  </w14:solidFill>
                </w14:textFill>
              </w:rPr>
              <w:t>≥5</w:t>
            </w:r>
            <w:r>
              <w:rPr>
                <w:rFonts w:hint="eastAsia" w:ascii="宋体" w:hAnsi="宋体" w:eastAsia="宋体" w:cs="宋体"/>
                <w:color w:val="000000" w:themeColor="text1"/>
                <w:sz w:val="18"/>
                <w:szCs w:val="18"/>
                <w:lang w:val="en-US" w:eastAsia="zh-CN"/>
                <w14:textFill>
                  <w14:solidFill>
                    <w14:schemeClr w14:val="tx1"/>
                  </w14:solidFill>
                </w14:textFill>
              </w:rPr>
              <w:t>0%得100分）</w:t>
            </w:r>
          </w:p>
        </w:tc>
        <w:tc>
          <w:tcPr>
            <w:tcW w:w="350" w:type="pct"/>
            <w:tcBorders>
              <w:left w:val="single" w:color="auto" w:sz="4" w:space="0"/>
              <w:right w:val="single" w:color="auto" w:sz="4" w:space="0"/>
            </w:tcBorders>
            <w:shd w:val="clear" w:color="auto" w:fill="auto"/>
            <w:noWrap w:val="0"/>
            <w:vAlign w:val="center"/>
          </w:tcPr>
          <w:p w14:paraId="67CD9AE5">
            <w:pPr>
              <w:keepNext w:val="0"/>
              <w:keepLines w:val="0"/>
              <w:pageBreakBefore w:val="0"/>
              <w:suppressLineNumbers w:val="0"/>
              <w:kinsoku/>
              <w:wordWrap/>
              <w:overflowPunct/>
              <w:topLinePunct w:val="0"/>
              <w:autoSpaceDE/>
              <w:autoSpaceDN/>
              <w:bidi w:val="0"/>
              <w:adjustRightInd/>
              <w:snapToGrid/>
              <w:spacing w:beforeAutospacing="0" w:afterAutospacing="0" w:line="240" w:lineRule="atLeast"/>
              <w:ind w:left="0" w:leftChars="0" w:right="0" w:rightChars="0"/>
              <w:textAlignment w:val="auto"/>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b w:val="0"/>
                <w:bCs w:val="0"/>
                <w:color w:val="000000" w:themeColor="text1"/>
                <w:kern w:val="2"/>
                <w:sz w:val="18"/>
                <w:szCs w:val="18"/>
                <w:lang w:val="en-US" w:eastAsia="zh-CN" w:bidi="ar"/>
                <w14:textFill>
                  <w14:solidFill>
                    <w14:schemeClr w14:val="tx1"/>
                  </w14:solidFill>
                </w14:textFill>
              </w:rPr>
              <w:t>（社会资本投入总额/联合体总投入）× 100%</w:t>
            </w:r>
          </w:p>
        </w:tc>
        <w:tc>
          <w:tcPr>
            <w:tcW w:w="350" w:type="pct"/>
            <w:tcBorders>
              <w:left w:val="single" w:color="auto" w:sz="4" w:space="0"/>
              <w:right w:val="single" w:color="auto" w:sz="4" w:space="0"/>
            </w:tcBorders>
            <w:shd w:val="clear" w:color="auto" w:fill="auto"/>
            <w:noWrap w:val="0"/>
            <w:vAlign w:val="center"/>
          </w:tcPr>
          <w:p w14:paraId="126ABD04">
            <w:pPr>
              <w:keepNext w:val="0"/>
              <w:keepLines w:val="0"/>
              <w:pageBreakBefore w:val="0"/>
              <w:suppressLineNumbers w:val="0"/>
              <w:kinsoku/>
              <w:wordWrap/>
              <w:overflowPunct/>
              <w:topLinePunct w:val="0"/>
              <w:autoSpaceDE/>
              <w:autoSpaceDN/>
              <w:bidi w:val="0"/>
              <w:adjustRightInd/>
              <w:snapToGrid/>
              <w:spacing w:beforeAutospacing="0" w:afterAutospacing="0" w:line="240" w:lineRule="atLeast"/>
              <w:ind w:left="0" w:leftChars="0" w:right="0" w:rightChars="0"/>
              <w:jc w:val="center"/>
              <w:textAlignment w:val="auto"/>
              <w:rPr>
                <w:rFonts w:hint="eastAsia" w:ascii="宋体" w:hAnsi="宋体" w:eastAsia="宋体" w:cs="宋体"/>
                <w:color w:val="000000"/>
                <w:kern w:val="2"/>
                <w:sz w:val="18"/>
                <w:szCs w:val="18"/>
                <w:lang w:val="en-US" w:eastAsia="zh-CN" w:bidi="ar-SA"/>
              </w:rPr>
            </w:pPr>
            <w:r>
              <w:rPr>
                <w:rFonts w:hint="eastAsia" w:ascii="宋体" w:hAnsi="宋体" w:cs="宋体"/>
                <w:color w:val="000000" w:themeColor="text1"/>
                <w:sz w:val="18"/>
                <w:szCs w:val="18"/>
                <w:lang w:val="en-US" w:eastAsia="zh-CN"/>
                <w14:textFill>
                  <w14:solidFill>
                    <w14:schemeClr w14:val="tx1"/>
                  </w14:solidFill>
                </w14:textFill>
              </w:rPr>
              <w:t>创富工作形成数据</w:t>
            </w:r>
          </w:p>
        </w:tc>
        <w:tc>
          <w:tcPr>
            <w:tcW w:w="377" w:type="pct"/>
            <w:vMerge w:val="continue"/>
            <w:tcBorders>
              <w:left w:val="single" w:color="auto" w:sz="4" w:space="0"/>
              <w:right w:val="single" w:color="auto" w:sz="12" w:space="0"/>
            </w:tcBorders>
            <w:shd w:val="clear" w:color="auto" w:fill="auto"/>
            <w:noWrap w:val="0"/>
            <w:vAlign w:val="center"/>
          </w:tcPr>
          <w:p w14:paraId="346A70D9">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tLeast"/>
              <w:ind w:left="0" w:right="0"/>
              <w:jc w:val="center"/>
              <w:textAlignment w:val="auto"/>
              <w:rPr>
                <w:rFonts w:hint="default" w:ascii="宋体" w:hAnsi="宋体" w:eastAsia="宋体" w:cs="宋体"/>
                <w:color w:val="000000"/>
                <w:sz w:val="18"/>
                <w:szCs w:val="18"/>
                <w:highlight w:val="none"/>
                <w:lang w:val="en-US" w:eastAsia="zh-CN"/>
              </w:rPr>
            </w:pPr>
          </w:p>
        </w:tc>
      </w:tr>
      <w:tr w14:paraId="7780C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10" w:type="pct"/>
            <w:tcBorders>
              <w:left w:val="single" w:color="auto" w:sz="12" w:space="0"/>
              <w:bottom w:val="single" w:color="auto" w:sz="12" w:space="0"/>
            </w:tcBorders>
            <w:shd w:val="clear" w:color="auto" w:fill="auto"/>
            <w:noWrap w:val="0"/>
            <w:vAlign w:val="center"/>
          </w:tcPr>
          <w:p w14:paraId="341A19C2">
            <w:pPr>
              <w:keepNext w:val="0"/>
              <w:keepLines w:val="0"/>
              <w:pageBreakBefore w:val="0"/>
              <w:widowControl w:val="0"/>
              <w:numPr>
                <w:ilvl w:val="0"/>
                <w:numId w:val="35"/>
              </w:numPr>
              <w:suppressLineNumbers w:val="0"/>
              <w:kinsoku/>
              <w:wordWrap/>
              <w:overflowPunct/>
              <w:topLinePunct w:val="0"/>
              <w:autoSpaceDE/>
              <w:autoSpaceDN/>
              <w:bidi w:val="0"/>
              <w:snapToGrid/>
              <w:spacing w:beforeAutospacing="0" w:afterAutospacing="0" w:line="240" w:lineRule="atLeast"/>
              <w:ind w:right="0"/>
              <w:jc w:val="center"/>
              <w:textAlignment w:val="auto"/>
              <w:outlineLvl w:val="2"/>
              <w:rPr>
                <w:rFonts w:hint="eastAsia" w:ascii="宋体" w:hAnsi="宋体" w:eastAsia="宋体" w:cs="宋体"/>
                <w:color w:val="000000"/>
                <w:sz w:val="18"/>
                <w:szCs w:val="18"/>
                <w:highlight w:val="none"/>
                <w:lang w:val="en-US" w:eastAsia="zh-CN" w:bidi="ar-SA"/>
              </w:rPr>
            </w:pPr>
          </w:p>
        </w:tc>
        <w:tc>
          <w:tcPr>
            <w:tcW w:w="302" w:type="pct"/>
            <w:vMerge w:val="continue"/>
            <w:tcBorders>
              <w:bottom w:val="single" w:color="auto" w:sz="12" w:space="0"/>
            </w:tcBorders>
            <w:shd w:val="clear" w:color="auto" w:fill="auto"/>
            <w:noWrap w:val="0"/>
            <w:vAlign w:val="top"/>
          </w:tcPr>
          <w:p w14:paraId="19372CB4">
            <w:pPr>
              <w:keepNext w:val="0"/>
              <w:keepLines w:val="0"/>
              <w:pageBreakBefore w:val="0"/>
              <w:widowControl w:val="0"/>
              <w:numPr>
                <w:ilvl w:val="0"/>
                <w:numId w:val="0"/>
              </w:numPr>
              <w:suppressLineNumbers w:val="0"/>
              <w:kinsoku/>
              <w:wordWrap/>
              <w:overflowPunct/>
              <w:topLinePunct w:val="0"/>
              <w:autoSpaceDE/>
              <w:autoSpaceDN/>
              <w:bidi w:val="0"/>
              <w:snapToGrid/>
              <w:spacing w:beforeAutospacing="0" w:afterAutospacing="0" w:line="240" w:lineRule="atLeast"/>
              <w:ind w:left="0" w:right="0"/>
              <w:textAlignment w:val="auto"/>
              <w:outlineLvl w:val="2"/>
              <w:rPr>
                <w:rFonts w:hint="eastAsia" w:ascii="宋体" w:hAnsi="宋体" w:eastAsia="宋体" w:cs="宋体"/>
                <w:color w:val="000000"/>
                <w:sz w:val="18"/>
                <w:szCs w:val="18"/>
                <w:highlight w:val="none"/>
                <w:lang w:val="en-US" w:eastAsia="zh-CN" w:bidi="ar-SA"/>
              </w:rPr>
            </w:pPr>
          </w:p>
        </w:tc>
        <w:tc>
          <w:tcPr>
            <w:tcW w:w="302" w:type="pct"/>
            <w:vMerge w:val="continue"/>
            <w:tcBorders>
              <w:bottom w:val="single" w:color="auto" w:sz="12" w:space="0"/>
            </w:tcBorders>
            <w:shd w:val="clear" w:color="auto" w:fill="auto"/>
            <w:noWrap w:val="0"/>
            <w:vAlign w:val="center"/>
          </w:tcPr>
          <w:p w14:paraId="12A290EC">
            <w:pPr>
              <w:keepNext w:val="0"/>
              <w:keepLines w:val="0"/>
              <w:pageBreakBefore w:val="0"/>
              <w:widowControl w:val="0"/>
              <w:numPr>
                <w:ilvl w:val="0"/>
                <w:numId w:val="0"/>
              </w:numPr>
              <w:suppressLineNumbers w:val="0"/>
              <w:kinsoku/>
              <w:wordWrap/>
              <w:overflowPunct/>
              <w:topLinePunct w:val="0"/>
              <w:autoSpaceDE/>
              <w:autoSpaceDN/>
              <w:bidi w:val="0"/>
              <w:snapToGrid/>
              <w:spacing w:beforeAutospacing="0" w:afterAutospacing="0" w:line="240" w:lineRule="atLeast"/>
              <w:ind w:left="0" w:right="0"/>
              <w:jc w:val="center"/>
              <w:textAlignment w:val="auto"/>
              <w:outlineLvl w:val="2"/>
              <w:rPr>
                <w:rFonts w:hint="eastAsia" w:ascii="宋体" w:hAnsi="宋体" w:cs="宋体"/>
                <w:color w:val="000000"/>
                <w:sz w:val="18"/>
                <w:szCs w:val="18"/>
                <w:highlight w:val="none"/>
                <w:lang w:val="en-US" w:eastAsia="zh-CN" w:bidi="ar-SA"/>
              </w:rPr>
            </w:pPr>
          </w:p>
        </w:tc>
        <w:tc>
          <w:tcPr>
            <w:tcW w:w="456" w:type="pct"/>
            <w:tcBorders>
              <w:bottom w:val="single" w:color="auto" w:sz="12" w:space="0"/>
            </w:tcBorders>
            <w:shd w:val="clear" w:color="auto" w:fill="auto"/>
            <w:noWrap w:val="0"/>
            <w:vAlign w:val="center"/>
          </w:tcPr>
          <w:p w14:paraId="54921463">
            <w:pPr>
              <w:keepNext w:val="0"/>
              <w:keepLines w:val="0"/>
              <w:pageBreakBefore w:val="0"/>
              <w:numPr>
                <w:ilvl w:val="0"/>
                <w:numId w:val="0"/>
              </w:numPr>
              <w:suppressLineNumbers w:val="0"/>
              <w:kinsoku/>
              <w:wordWrap/>
              <w:overflowPunct/>
              <w:topLinePunct w:val="0"/>
              <w:autoSpaceDE/>
              <w:autoSpaceDN/>
              <w:bidi w:val="0"/>
              <w:snapToGrid/>
              <w:spacing w:beforeAutospacing="0" w:afterAutospacing="0" w:line="240" w:lineRule="atLeast"/>
              <w:ind w:left="0" w:leftChars="0" w:right="0" w:rightChars="0" w:firstLine="0" w:firstLineChars="0"/>
              <w:jc w:val="center"/>
              <w:textAlignment w:val="auto"/>
              <w:outlineLvl w:val="2"/>
              <w:rPr>
                <w:rFonts w:hint="eastAsia" w:ascii="宋体" w:hAnsi="宋体" w:eastAsia="宋体" w:cs="宋体"/>
                <w:color w:val="000000" w:themeColor="text1"/>
                <w:sz w:val="18"/>
                <w:szCs w:val="18"/>
                <w:highlight w:val="none"/>
                <w:lang w:val="en-US" w:eastAsia="zh-CN" w:bidi="ar-SA"/>
                <w14:textFill>
                  <w14:solidFill>
                    <w14:schemeClr w14:val="tx1"/>
                  </w14:solidFill>
                </w14:textFill>
              </w:rPr>
            </w:pPr>
            <w:r>
              <w:rPr>
                <w:rFonts w:hint="eastAsia" w:ascii="宋体" w:hAnsi="宋体" w:eastAsia="宋体" w:cs="宋体"/>
                <w:color w:val="000000" w:themeColor="text1"/>
                <w:sz w:val="18"/>
                <w:szCs w:val="18"/>
                <w:highlight w:val="none"/>
                <w:lang w:val="en-US" w:eastAsia="zh-CN" w:bidi="ar-SA"/>
                <w14:textFill>
                  <w14:solidFill>
                    <w14:schemeClr w14:val="tx1"/>
                  </w14:solidFill>
                </w14:textFill>
              </w:rPr>
              <w:t>集体经济</w:t>
            </w:r>
          </w:p>
          <w:p w14:paraId="2BE79D73">
            <w:pPr>
              <w:keepNext w:val="0"/>
              <w:keepLines w:val="0"/>
              <w:pageBreakBefore w:val="0"/>
              <w:numPr>
                <w:ilvl w:val="0"/>
                <w:numId w:val="0"/>
              </w:numPr>
              <w:suppressLineNumbers w:val="0"/>
              <w:kinsoku/>
              <w:wordWrap/>
              <w:overflowPunct/>
              <w:topLinePunct w:val="0"/>
              <w:autoSpaceDE/>
              <w:autoSpaceDN/>
              <w:bidi w:val="0"/>
              <w:snapToGrid/>
              <w:spacing w:beforeAutospacing="0" w:afterAutospacing="0" w:line="240" w:lineRule="atLeast"/>
              <w:ind w:left="0" w:leftChars="0" w:right="0" w:rightChars="0" w:firstLine="0" w:firstLineChars="0"/>
              <w:jc w:val="center"/>
              <w:textAlignment w:val="auto"/>
              <w:outlineLvl w:val="2"/>
              <w:rPr>
                <w:rFonts w:hint="eastAsia" w:ascii="宋体" w:hAnsi="宋体" w:cs="宋体"/>
                <w:color w:val="000000" w:themeColor="text1"/>
                <w:sz w:val="18"/>
                <w:szCs w:val="18"/>
                <w:highlight w:val="none"/>
                <w:lang w:val="en-US" w:eastAsia="zh-CN" w:bidi="ar-SA"/>
                <w14:textFill>
                  <w14:solidFill>
                    <w14:schemeClr w14:val="tx1"/>
                  </w14:solidFill>
                </w14:textFill>
              </w:rPr>
            </w:pPr>
            <w:r>
              <w:rPr>
                <w:rFonts w:hint="eastAsia" w:ascii="宋体" w:hAnsi="宋体" w:cs="宋体"/>
                <w:color w:val="000000" w:themeColor="text1"/>
                <w:sz w:val="18"/>
                <w:szCs w:val="18"/>
                <w:highlight w:val="none"/>
                <w:lang w:val="en-US" w:eastAsia="zh-CN" w:bidi="ar-SA"/>
                <w14:textFill>
                  <w14:solidFill>
                    <w14:schemeClr w14:val="tx1"/>
                  </w14:solidFill>
                </w14:textFill>
              </w:rPr>
              <w:t>参与率（0.25）</w:t>
            </w:r>
          </w:p>
        </w:tc>
        <w:tc>
          <w:tcPr>
            <w:tcW w:w="617" w:type="pct"/>
            <w:tcBorders>
              <w:bottom w:val="single" w:color="auto" w:sz="12" w:space="0"/>
              <w:right w:val="single" w:color="auto" w:sz="4" w:space="0"/>
            </w:tcBorders>
            <w:shd w:val="clear" w:color="auto" w:fill="auto"/>
            <w:noWrap w:val="0"/>
            <w:vAlign w:val="center"/>
          </w:tcPr>
          <w:p w14:paraId="096154C1">
            <w:pPr>
              <w:keepNext w:val="0"/>
              <w:keepLines w:val="0"/>
              <w:pageBreakBefore w:val="0"/>
              <w:suppressLineNumbers w:val="0"/>
              <w:kinsoku/>
              <w:wordWrap/>
              <w:overflowPunct/>
              <w:topLinePunct w:val="0"/>
              <w:autoSpaceDE/>
              <w:autoSpaceDN/>
              <w:bidi w:val="0"/>
              <w:adjustRightInd/>
              <w:snapToGrid/>
              <w:spacing w:beforeAutospacing="0" w:afterAutospacing="0" w:line="240" w:lineRule="atLeast"/>
              <w:ind w:left="0" w:leftChars="0" w:right="0" w:rightChars="0"/>
              <w:textAlignment w:val="auto"/>
              <w:rPr>
                <w:rFonts w:hint="eastAsia" w:ascii="宋体" w:hAnsi="宋体" w:cs="宋体"/>
                <w:color w:val="000000" w:themeColor="text1"/>
                <w:sz w:val="18"/>
                <w:szCs w:val="18"/>
                <w:highlight w:val="none"/>
                <w14:textFill>
                  <w14:solidFill>
                    <w14:schemeClr w14:val="tx1"/>
                  </w14:solidFill>
                </w14:textFill>
              </w:rPr>
            </w:pPr>
            <w:r>
              <w:rPr>
                <w:rFonts w:hint="eastAsia" w:ascii="宋体" w:hAnsi="宋体" w:cs="宋体"/>
                <w:color w:val="000000" w:themeColor="text1"/>
                <w:sz w:val="18"/>
                <w:szCs w:val="18"/>
                <w:highlight w:val="none"/>
                <w14:textFill>
                  <w14:solidFill>
                    <w14:schemeClr w14:val="tx1"/>
                  </w14:solidFill>
                </w14:textFill>
              </w:rPr>
              <w:t>村(社区)集体经济</w:t>
            </w:r>
          </w:p>
          <w:p w14:paraId="5F7DC65B">
            <w:pPr>
              <w:keepNext w:val="0"/>
              <w:keepLines w:val="0"/>
              <w:pageBreakBefore w:val="0"/>
              <w:suppressLineNumbers w:val="0"/>
              <w:kinsoku/>
              <w:wordWrap/>
              <w:overflowPunct/>
              <w:topLinePunct w:val="0"/>
              <w:autoSpaceDE/>
              <w:autoSpaceDN/>
              <w:bidi w:val="0"/>
              <w:adjustRightInd/>
              <w:snapToGrid/>
              <w:spacing w:beforeAutospacing="0" w:afterAutospacing="0" w:line="240" w:lineRule="atLeast"/>
              <w:ind w:left="0" w:leftChars="0" w:right="0" w:rightChars="0"/>
              <w:textAlignment w:val="auto"/>
              <w:rPr>
                <w:rFonts w:hint="eastAsia" w:ascii="宋体" w:hAnsi="宋体" w:cs="宋体"/>
                <w:color w:val="000000" w:themeColor="text1"/>
                <w:sz w:val="18"/>
                <w:szCs w:val="18"/>
                <w:highlight w:val="none"/>
                <w:lang w:val="en-US" w:eastAsia="zh-CN"/>
                <w14:textFill>
                  <w14:solidFill>
                    <w14:schemeClr w14:val="tx1"/>
                  </w14:solidFill>
                </w14:textFill>
              </w:rPr>
            </w:pPr>
            <w:r>
              <w:rPr>
                <w:rFonts w:hint="eastAsia" w:ascii="宋体" w:hAnsi="宋体" w:cs="宋体"/>
                <w:color w:val="000000" w:themeColor="text1"/>
                <w:sz w:val="18"/>
                <w:szCs w:val="18"/>
                <w:highlight w:val="none"/>
                <w14:textFill>
                  <w14:solidFill>
                    <w14:schemeClr w14:val="tx1"/>
                  </w14:solidFill>
                </w14:textFill>
              </w:rPr>
              <w:t>投入占比</w:t>
            </w:r>
          </w:p>
        </w:tc>
        <w:tc>
          <w:tcPr>
            <w:tcW w:w="231" w:type="pct"/>
            <w:tcBorders>
              <w:left w:val="single" w:color="auto" w:sz="4" w:space="0"/>
              <w:bottom w:val="single" w:color="auto" w:sz="12" w:space="0"/>
              <w:right w:val="single" w:color="auto" w:sz="4" w:space="0"/>
            </w:tcBorders>
            <w:shd w:val="clear" w:color="auto" w:fill="auto"/>
            <w:noWrap w:val="0"/>
            <w:vAlign w:val="center"/>
          </w:tcPr>
          <w:p w14:paraId="59AB34C8">
            <w:pPr>
              <w:keepNext w:val="0"/>
              <w:keepLines w:val="0"/>
              <w:pageBreakBefore w:val="0"/>
              <w:suppressLineNumbers w:val="0"/>
              <w:kinsoku/>
              <w:wordWrap/>
              <w:overflowPunct/>
              <w:topLinePunct w:val="0"/>
              <w:autoSpaceDE/>
              <w:autoSpaceDN/>
              <w:bidi w:val="0"/>
              <w:adjustRightInd/>
              <w:snapToGrid/>
              <w:spacing w:beforeAutospacing="0" w:afterAutospacing="0" w:line="240" w:lineRule="atLeast"/>
              <w:ind w:left="0" w:leftChars="0" w:right="0" w:rightChars="0"/>
              <w:jc w:val="center"/>
              <w:textAlignment w:val="auto"/>
              <w:rPr>
                <w:rFonts w:hint="eastAsia" w:ascii="宋体" w:hAnsi="宋体" w:cs="宋体"/>
                <w:color w:val="000000" w:themeColor="text1"/>
                <w:sz w:val="18"/>
                <w:szCs w:val="18"/>
                <w:lang w:val="en-US" w:eastAsia="zh-CN"/>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w:t>
            </w:r>
          </w:p>
        </w:tc>
        <w:tc>
          <w:tcPr>
            <w:tcW w:w="1803" w:type="pct"/>
            <w:tcBorders>
              <w:left w:val="single" w:color="auto" w:sz="4" w:space="0"/>
              <w:bottom w:val="single" w:color="auto" w:sz="12" w:space="0"/>
              <w:right w:val="single" w:color="auto" w:sz="4" w:space="0"/>
            </w:tcBorders>
            <w:shd w:val="clear" w:color="auto" w:fill="auto"/>
            <w:noWrap w:val="0"/>
            <w:vAlign w:val="center"/>
          </w:tcPr>
          <w:p w14:paraId="420EB251">
            <w:pPr>
              <w:keepNext w:val="0"/>
              <w:keepLines w:val="0"/>
              <w:pageBreakBefore w:val="0"/>
              <w:suppressLineNumbers w:val="0"/>
              <w:kinsoku/>
              <w:wordWrap/>
              <w:overflowPunct/>
              <w:topLinePunct w:val="0"/>
              <w:autoSpaceDE/>
              <w:autoSpaceDN/>
              <w:bidi w:val="0"/>
              <w:adjustRightInd/>
              <w:snapToGrid/>
              <w:spacing w:beforeAutospacing="0" w:afterAutospacing="0" w:line="240" w:lineRule="atLeast"/>
              <w:ind w:left="0" w:leftChars="0" w:right="0" w:rightChars="0"/>
              <w:textAlignment w:val="auto"/>
              <w:rPr>
                <w:rFonts w:hint="eastAsia" w:ascii="宋体" w:hAnsi="宋体" w:cs="宋体"/>
                <w:color w:val="000000" w:themeColor="text1"/>
                <w:sz w:val="18"/>
                <w:szCs w:val="18"/>
                <w:lang w:val="en-US" w:eastAsia="zh-CN"/>
                <w14:textFill>
                  <w14:solidFill>
                    <w14:schemeClr w14:val="tx1"/>
                  </w14:solidFill>
                </w14:textFill>
              </w:rPr>
            </w:pPr>
            <w:r>
              <w:rPr>
                <w:rFonts w:hint="eastAsia" w:ascii="宋体" w:hAnsi="宋体" w:eastAsia="宋体" w:cs="宋体"/>
                <w:color w:val="000000" w:themeColor="text1"/>
                <w:sz w:val="18"/>
                <w:szCs w:val="18"/>
                <w:lang w:val="en-US" w:eastAsia="zh-CN"/>
                <w14:textFill>
                  <w14:solidFill>
                    <w14:schemeClr w14:val="tx1"/>
                  </w14:solidFill>
                </w14:textFill>
              </w:rPr>
              <w:t>村(社区）集体经济</w:t>
            </w:r>
            <w:r>
              <w:rPr>
                <w:rFonts w:hint="eastAsia" w:ascii="宋体" w:hAnsi="宋体" w:eastAsia="宋体" w:cs="宋体"/>
                <w:color w:val="000000" w:themeColor="text1"/>
                <w:sz w:val="18"/>
                <w:szCs w:val="18"/>
                <w14:textFill>
                  <w14:solidFill>
                    <w14:schemeClr w14:val="tx1"/>
                  </w14:solidFill>
                </w14:textFill>
              </w:rPr>
              <w:t>投入的资金、资源、资产（土地、房屋、配套设施等按评估价）作价总额占康养</w:t>
            </w:r>
            <w:r>
              <w:rPr>
                <w:rFonts w:hint="eastAsia" w:ascii="宋体" w:hAnsi="宋体" w:eastAsia="宋体" w:cs="宋体"/>
                <w:color w:val="000000" w:themeColor="text1"/>
                <w:sz w:val="18"/>
                <w:szCs w:val="18"/>
                <w:lang w:val="en-US" w:eastAsia="zh-CN"/>
                <w14:textFill>
                  <w14:solidFill>
                    <w14:schemeClr w14:val="tx1"/>
                  </w14:solidFill>
                </w14:textFill>
              </w:rPr>
              <w:t>创富联合体</w:t>
            </w:r>
            <w:r>
              <w:rPr>
                <w:rFonts w:hint="eastAsia" w:ascii="宋体" w:hAnsi="宋体" w:eastAsia="宋体" w:cs="宋体"/>
                <w:color w:val="000000" w:themeColor="text1"/>
                <w:sz w:val="18"/>
                <w:szCs w:val="18"/>
                <w14:textFill>
                  <w14:solidFill>
                    <w14:schemeClr w14:val="tx1"/>
                  </w14:solidFill>
                </w14:textFill>
              </w:rPr>
              <w:t>总投入的比例，反映集体经济的参与深度和资源盘活程度</w:t>
            </w:r>
            <w:r>
              <w:rPr>
                <w:rFonts w:hint="eastAsia" w:ascii="宋体" w:hAnsi="宋体" w:cs="宋体"/>
                <w:color w:val="000000" w:themeColor="text1"/>
                <w:sz w:val="18"/>
                <w:szCs w:val="18"/>
                <w:lang w:eastAsia="zh-CN"/>
                <w14:textFill>
                  <w14:solidFill>
                    <w14:schemeClr w14:val="tx1"/>
                  </w14:solidFill>
                </w14:textFill>
              </w:rPr>
              <w:t>。</w:t>
            </w:r>
            <w:r>
              <w:rPr>
                <w:rFonts w:hint="eastAsia" w:ascii="宋体" w:hAnsi="宋体" w:eastAsia="宋体" w:cs="宋体"/>
                <w:color w:val="000000" w:themeColor="text1"/>
                <w:sz w:val="18"/>
                <w:szCs w:val="18"/>
                <w:lang w:val="en-US" w:eastAsia="zh-CN"/>
                <w14:textFill>
                  <w14:solidFill>
                    <w14:schemeClr w14:val="tx1"/>
                  </w14:solidFill>
                </w14:textFill>
              </w:rPr>
              <w:t>（评分标准：占比＜</w:t>
            </w:r>
            <w:r>
              <w:rPr>
                <w:rFonts w:hint="eastAsia" w:ascii="宋体" w:hAnsi="宋体" w:cs="宋体"/>
                <w:color w:val="000000" w:themeColor="text1"/>
                <w:sz w:val="18"/>
                <w:szCs w:val="18"/>
                <w:lang w:val="en-US" w:eastAsia="zh-CN"/>
                <w14:textFill>
                  <w14:solidFill>
                    <w14:schemeClr w14:val="tx1"/>
                  </w14:solidFill>
                </w14:textFill>
              </w:rPr>
              <w:t>5</w:t>
            </w:r>
            <w:r>
              <w:rPr>
                <w:rFonts w:hint="eastAsia" w:ascii="宋体" w:hAnsi="宋体" w:eastAsia="宋体" w:cs="宋体"/>
                <w:color w:val="000000" w:themeColor="text1"/>
                <w:sz w:val="18"/>
                <w:szCs w:val="18"/>
                <w:lang w:val="en-US" w:eastAsia="zh-CN"/>
                <w14:textFill>
                  <w14:solidFill>
                    <w14:schemeClr w14:val="tx1"/>
                  </w14:solidFill>
                </w14:textFill>
              </w:rPr>
              <w:t>%得60分；</w:t>
            </w:r>
            <w:r>
              <w:rPr>
                <w:rFonts w:hint="eastAsia" w:ascii="宋体" w:hAnsi="宋体" w:cs="宋体"/>
                <w:color w:val="000000" w:themeColor="text1"/>
                <w:sz w:val="18"/>
                <w:szCs w:val="18"/>
                <w:lang w:val="en-US" w:eastAsia="zh-CN"/>
                <w14:textFill>
                  <w14:solidFill>
                    <w14:schemeClr w14:val="tx1"/>
                  </w14:solidFill>
                </w14:textFill>
              </w:rPr>
              <w:t>5</w:t>
            </w:r>
            <w:r>
              <w:rPr>
                <w:rFonts w:hint="eastAsia" w:ascii="宋体" w:hAnsi="宋体" w:eastAsia="宋体" w:cs="宋体"/>
                <w:color w:val="000000" w:themeColor="text1"/>
                <w:sz w:val="18"/>
                <w:szCs w:val="18"/>
                <w:lang w:val="en-US" w:eastAsia="zh-CN"/>
                <w14:textFill>
                  <w14:solidFill>
                    <w14:schemeClr w14:val="tx1"/>
                  </w14:solidFill>
                </w14:textFill>
              </w:rPr>
              <w:t>%≤占比＜</w:t>
            </w:r>
            <w:r>
              <w:rPr>
                <w:rFonts w:hint="eastAsia" w:ascii="宋体" w:hAnsi="宋体" w:cs="宋体"/>
                <w:color w:val="000000" w:themeColor="text1"/>
                <w:sz w:val="18"/>
                <w:szCs w:val="18"/>
                <w:lang w:val="en-US" w:eastAsia="zh-CN"/>
                <w14:textFill>
                  <w14:solidFill>
                    <w14:schemeClr w14:val="tx1"/>
                  </w14:solidFill>
                </w14:textFill>
              </w:rPr>
              <w:t>15</w:t>
            </w:r>
            <w:r>
              <w:rPr>
                <w:rFonts w:hint="eastAsia" w:ascii="宋体" w:hAnsi="宋体" w:eastAsia="宋体" w:cs="宋体"/>
                <w:color w:val="000000" w:themeColor="text1"/>
                <w:sz w:val="18"/>
                <w:szCs w:val="18"/>
                <w:lang w:val="en-US" w:eastAsia="zh-CN"/>
                <w14:textFill>
                  <w14:solidFill>
                    <w14:schemeClr w14:val="tx1"/>
                  </w14:solidFill>
                </w14:textFill>
              </w:rPr>
              <w:t>%得80分；占比</w:t>
            </w:r>
            <w:r>
              <w:rPr>
                <w:rFonts w:hint="eastAsia" w:ascii="宋体" w:hAnsi="宋体" w:cs="宋体"/>
                <w:color w:val="000000" w:themeColor="text1"/>
                <w:sz w:val="18"/>
                <w:szCs w:val="18"/>
                <w:lang w:val="en-US" w:eastAsia="zh-CN"/>
                <w14:textFill>
                  <w14:solidFill>
                    <w14:schemeClr w14:val="tx1"/>
                  </w14:solidFill>
                </w14:textFill>
              </w:rPr>
              <w:t>≥15</w:t>
            </w:r>
            <w:r>
              <w:rPr>
                <w:rFonts w:hint="eastAsia" w:ascii="宋体" w:hAnsi="宋体" w:eastAsia="宋体" w:cs="宋体"/>
                <w:color w:val="000000" w:themeColor="text1"/>
                <w:sz w:val="18"/>
                <w:szCs w:val="18"/>
                <w:lang w:val="en-US" w:eastAsia="zh-CN"/>
                <w14:textFill>
                  <w14:solidFill>
                    <w14:schemeClr w14:val="tx1"/>
                  </w14:solidFill>
                </w14:textFill>
              </w:rPr>
              <w:t>%得100分）</w:t>
            </w:r>
          </w:p>
        </w:tc>
        <w:tc>
          <w:tcPr>
            <w:tcW w:w="350" w:type="pct"/>
            <w:tcBorders>
              <w:left w:val="single" w:color="auto" w:sz="4" w:space="0"/>
              <w:bottom w:val="single" w:color="auto" w:sz="12" w:space="0"/>
              <w:right w:val="single" w:color="auto" w:sz="4" w:space="0"/>
            </w:tcBorders>
            <w:shd w:val="clear" w:color="auto" w:fill="auto"/>
            <w:noWrap w:val="0"/>
            <w:vAlign w:val="center"/>
          </w:tcPr>
          <w:p w14:paraId="180A0572">
            <w:pPr>
              <w:keepNext w:val="0"/>
              <w:keepLines w:val="0"/>
              <w:pageBreakBefore w:val="0"/>
              <w:suppressLineNumbers w:val="0"/>
              <w:kinsoku/>
              <w:wordWrap/>
              <w:overflowPunct/>
              <w:topLinePunct w:val="0"/>
              <w:autoSpaceDE/>
              <w:autoSpaceDN/>
              <w:bidi w:val="0"/>
              <w:adjustRightInd/>
              <w:snapToGrid/>
              <w:spacing w:beforeAutospacing="0" w:afterAutospacing="0" w:line="240" w:lineRule="atLeast"/>
              <w:ind w:left="0" w:leftChars="0" w:right="0" w:rightChars="0"/>
              <w:jc w:val="left"/>
              <w:textAlignment w:val="auto"/>
              <w:rPr>
                <w:rFonts w:hint="eastAsia" w:ascii="宋体" w:hAnsi="宋体" w:eastAsia="宋体" w:cs="宋体"/>
                <w:color w:val="000000" w:themeColor="text1"/>
                <w:sz w:val="18"/>
                <w:szCs w:val="18"/>
                <w:lang w:val="en-US" w:eastAsia="zh-CN"/>
                <w14:textFill>
                  <w14:solidFill>
                    <w14:schemeClr w14:val="tx1"/>
                  </w14:solidFill>
                </w14:textFill>
              </w:rPr>
            </w:pPr>
            <w:r>
              <w:rPr>
                <w:rFonts w:hint="eastAsia" w:ascii="宋体" w:hAnsi="宋体" w:eastAsia="宋体" w:cs="宋体"/>
                <w:b w:val="0"/>
                <w:bCs w:val="0"/>
                <w:color w:val="000000" w:themeColor="text1"/>
                <w:kern w:val="2"/>
                <w:sz w:val="18"/>
                <w:szCs w:val="18"/>
                <w:lang w:val="en-US" w:eastAsia="zh-CN" w:bidi="ar"/>
                <w14:textFill>
                  <w14:solidFill>
                    <w14:schemeClr w14:val="tx1"/>
                  </w14:solidFill>
                </w14:textFill>
              </w:rPr>
              <w:t>（村集体投入作价总额/联合体总投入）×100%</w:t>
            </w:r>
          </w:p>
        </w:tc>
        <w:tc>
          <w:tcPr>
            <w:tcW w:w="350" w:type="pct"/>
            <w:tcBorders>
              <w:left w:val="single" w:color="auto" w:sz="4" w:space="0"/>
              <w:bottom w:val="single" w:color="auto" w:sz="12" w:space="0"/>
              <w:right w:val="single" w:color="auto" w:sz="4" w:space="0"/>
            </w:tcBorders>
            <w:shd w:val="clear" w:color="auto" w:fill="auto"/>
            <w:noWrap w:val="0"/>
            <w:vAlign w:val="center"/>
          </w:tcPr>
          <w:p w14:paraId="1F429B2D">
            <w:pPr>
              <w:keepNext w:val="0"/>
              <w:keepLines w:val="0"/>
              <w:pageBreakBefore w:val="0"/>
              <w:suppressLineNumbers w:val="0"/>
              <w:kinsoku/>
              <w:wordWrap/>
              <w:overflowPunct/>
              <w:topLinePunct w:val="0"/>
              <w:autoSpaceDE/>
              <w:autoSpaceDN/>
              <w:bidi w:val="0"/>
              <w:adjustRightInd/>
              <w:snapToGrid/>
              <w:spacing w:beforeAutospacing="0" w:afterAutospacing="0" w:line="240" w:lineRule="atLeast"/>
              <w:ind w:left="0" w:leftChars="0" w:right="0" w:rightChars="0"/>
              <w:jc w:val="center"/>
              <w:textAlignment w:val="auto"/>
              <w:rPr>
                <w:rFonts w:hint="eastAsia" w:ascii="宋体" w:hAnsi="宋体" w:eastAsia="宋体" w:cs="宋体"/>
                <w:color w:val="000000" w:themeColor="text1"/>
                <w:kern w:val="2"/>
                <w:sz w:val="18"/>
                <w:szCs w:val="18"/>
                <w:lang w:val="en-US" w:eastAsia="zh-CN" w:bidi="ar-SA"/>
                <w14:textFill>
                  <w14:solidFill>
                    <w14:schemeClr w14:val="tx1"/>
                  </w14:solidFill>
                </w14:textFill>
              </w:rPr>
            </w:pPr>
            <w:r>
              <w:rPr>
                <w:rFonts w:hint="eastAsia" w:ascii="宋体" w:hAnsi="宋体" w:cs="宋体"/>
                <w:color w:val="000000" w:themeColor="text1"/>
                <w:sz w:val="18"/>
                <w:szCs w:val="18"/>
                <w:lang w:val="en-US" w:eastAsia="zh-CN"/>
                <w14:textFill>
                  <w14:solidFill>
                    <w14:schemeClr w14:val="tx1"/>
                  </w14:solidFill>
                </w14:textFill>
              </w:rPr>
              <w:t>创富工作形成数据</w:t>
            </w:r>
          </w:p>
        </w:tc>
        <w:tc>
          <w:tcPr>
            <w:tcW w:w="377" w:type="pct"/>
            <w:vMerge w:val="continue"/>
            <w:tcBorders>
              <w:left w:val="single" w:color="auto" w:sz="4" w:space="0"/>
              <w:bottom w:val="single" w:color="auto" w:sz="12" w:space="0"/>
              <w:right w:val="single" w:color="auto" w:sz="12" w:space="0"/>
            </w:tcBorders>
            <w:shd w:val="clear" w:color="auto" w:fill="auto"/>
            <w:noWrap w:val="0"/>
            <w:vAlign w:val="center"/>
          </w:tcPr>
          <w:p w14:paraId="20C2EA82">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tLeast"/>
              <w:ind w:left="0" w:right="0"/>
              <w:jc w:val="center"/>
              <w:textAlignment w:val="auto"/>
              <w:rPr>
                <w:rFonts w:hint="default" w:ascii="宋体" w:hAnsi="宋体" w:eastAsia="宋体" w:cs="宋体"/>
                <w:color w:val="000000"/>
                <w:sz w:val="18"/>
                <w:szCs w:val="18"/>
                <w:highlight w:val="none"/>
                <w:lang w:val="en-US" w:eastAsia="zh-CN"/>
              </w:rPr>
            </w:pPr>
          </w:p>
        </w:tc>
      </w:tr>
    </w:tbl>
    <w:p w14:paraId="61D63AAB">
      <w:pPr>
        <w:rPr>
          <w:rFonts w:hint="eastAsia" w:ascii="黑体" w:hAnsi="黑体" w:eastAsia="黑体"/>
          <w:szCs w:val="21"/>
        </w:rPr>
      </w:pPr>
      <w:r>
        <w:rPr>
          <w:rFonts w:hint="eastAsia" w:ascii="黑体" w:hAnsi="黑体" w:eastAsia="黑体"/>
          <w:szCs w:val="21"/>
        </w:rPr>
        <w:br w:type="page"/>
      </w:r>
    </w:p>
    <w:p w14:paraId="5EAB853D">
      <w:pPr>
        <w:keepNext w:val="0"/>
        <w:keepLines w:val="0"/>
        <w:pageBreakBefore w:val="0"/>
        <w:widowControl w:val="0"/>
        <w:kinsoku/>
        <w:wordWrap/>
        <w:overflowPunct/>
        <w:topLinePunct w:val="0"/>
        <w:autoSpaceDE/>
        <w:autoSpaceDN/>
        <w:bidi w:val="0"/>
        <w:adjustRightInd w:val="0"/>
        <w:snapToGrid/>
        <w:spacing w:before="156" w:beforeLines="50" w:after="156" w:afterLines="50" w:line="240" w:lineRule="auto"/>
        <w:jc w:val="center"/>
        <w:textAlignment w:val="auto"/>
        <w:rPr>
          <w:rFonts w:hint="eastAsia" w:ascii="宋体" w:hAnsi="宋体" w:eastAsia="黑体" w:cs="宋体"/>
          <w:szCs w:val="21"/>
          <w:lang w:eastAsia="zh-CN"/>
        </w:rPr>
      </w:pPr>
      <w:r>
        <w:rPr>
          <w:rFonts w:hint="eastAsia" w:ascii="黑体" w:hAnsi="黑体" w:eastAsia="黑体"/>
          <w:szCs w:val="21"/>
        </w:rPr>
        <w:t>表1 康养创富联合体统计监测指标体系内容</w:t>
      </w:r>
      <w:r>
        <w:rPr>
          <w:rFonts w:hint="eastAsia" w:ascii="宋体" w:hAnsi="宋体" w:eastAsia="宋体" w:cs="宋体"/>
          <w:szCs w:val="21"/>
          <w:lang w:eastAsia="zh-CN"/>
        </w:rPr>
        <w:t>（</w:t>
      </w:r>
      <w:r>
        <w:rPr>
          <w:rFonts w:hint="eastAsia" w:ascii="宋体" w:hAnsi="宋体" w:eastAsia="宋体" w:cs="宋体"/>
          <w:szCs w:val="21"/>
          <w:lang w:val="en-US" w:eastAsia="zh-CN"/>
        </w:rPr>
        <w:t>续</w:t>
      </w:r>
      <w:r>
        <w:rPr>
          <w:rFonts w:hint="eastAsia" w:ascii="宋体" w:hAnsi="宋体" w:eastAsia="宋体" w:cs="宋体"/>
          <w:szCs w:val="21"/>
          <w:lang w:eastAsia="zh-CN"/>
        </w:rPr>
        <w:t>）</w:t>
      </w:r>
    </w:p>
    <w:tbl>
      <w:tblPr>
        <w:tblStyle w:val="31"/>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3"/>
        <w:gridCol w:w="910"/>
        <w:gridCol w:w="910"/>
        <w:gridCol w:w="1374"/>
        <w:gridCol w:w="1860"/>
        <w:gridCol w:w="696"/>
        <w:gridCol w:w="5434"/>
        <w:gridCol w:w="1055"/>
        <w:gridCol w:w="1055"/>
        <w:gridCol w:w="1136"/>
      </w:tblGrid>
      <w:tr w14:paraId="46D8D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210" w:type="pct"/>
            <w:vMerge w:val="restart"/>
            <w:tcBorders>
              <w:top w:val="single" w:color="auto" w:sz="12" w:space="0"/>
              <w:left w:val="single" w:color="auto" w:sz="12" w:space="0"/>
            </w:tcBorders>
            <w:shd w:val="clear" w:color="auto" w:fill="auto"/>
            <w:noWrap w:val="0"/>
            <w:vAlign w:val="center"/>
          </w:tcPr>
          <w:p w14:paraId="305DE482">
            <w:pPr>
              <w:keepNext w:val="0"/>
              <w:keepLines w:val="0"/>
              <w:pageBreakBefore w:val="0"/>
              <w:widowControl w:val="0"/>
              <w:numPr>
                <w:numId w:val="0"/>
              </w:numPr>
              <w:suppressLineNumbers w:val="0"/>
              <w:tabs>
                <w:tab w:val="left" w:pos="0"/>
              </w:tabs>
              <w:kinsoku/>
              <w:wordWrap/>
              <w:overflowPunct/>
              <w:topLinePunct w:val="0"/>
              <w:autoSpaceDE/>
              <w:autoSpaceDN/>
              <w:bidi w:val="0"/>
              <w:snapToGrid/>
              <w:spacing w:beforeAutospacing="0" w:afterAutospacing="0" w:line="240" w:lineRule="atLeast"/>
              <w:ind w:leftChars="0" w:right="0" w:rightChars="0"/>
              <w:jc w:val="center"/>
              <w:textAlignment w:val="auto"/>
              <w:outlineLvl w:val="2"/>
              <w:rPr>
                <w:rFonts w:hint="default" w:ascii="宋体" w:hAnsi="宋体" w:eastAsia="宋体" w:cs="宋体"/>
                <w:color w:val="000000"/>
                <w:sz w:val="18"/>
                <w:szCs w:val="18"/>
                <w:highlight w:val="none"/>
                <w:lang w:val="en-US" w:eastAsia="zh-CN" w:bidi="ar-SA"/>
              </w:rPr>
            </w:pPr>
            <w:r>
              <w:rPr>
                <w:rFonts w:hint="eastAsia" w:ascii="宋体" w:hAnsi="宋体" w:cs="宋体"/>
                <w:color w:val="000000"/>
                <w:sz w:val="18"/>
                <w:szCs w:val="18"/>
                <w:highlight w:val="none"/>
                <w:lang w:val="en-US" w:eastAsia="zh-CN" w:bidi="ar-SA"/>
              </w:rPr>
              <w:t>序号</w:t>
            </w:r>
          </w:p>
        </w:tc>
        <w:tc>
          <w:tcPr>
            <w:tcW w:w="1677" w:type="pct"/>
            <w:gridSpan w:val="4"/>
            <w:tcBorders>
              <w:top w:val="single" w:color="auto" w:sz="12" w:space="0"/>
              <w:right w:val="single" w:color="auto" w:sz="4" w:space="0"/>
            </w:tcBorders>
            <w:shd w:val="clear" w:color="auto" w:fill="auto"/>
            <w:noWrap w:val="0"/>
            <w:vAlign w:val="top"/>
          </w:tcPr>
          <w:p w14:paraId="7B6FCE35">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tLeast"/>
              <w:ind w:left="0" w:leftChars="0" w:right="0" w:rightChars="0"/>
              <w:jc w:val="center"/>
              <w:textAlignment w:val="auto"/>
              <w:rPr>
                <w:rFonts w:hint="eastAsia" w:ascii="宋体" w:hAnsi="宋体" w:cs="宋体"/>
                <w:color w:val="000000" w:themeColor="text1"/>
                <w:sz w:val="18"/>
                <w:szCs w:val="18"/>
                <w:highlight w:val="none"/>
                <w14:textFill>
                  <w14:solidFill>
                    <w14:schemeClr w14:val="tx1"/>
                  </w14:solidFill>
                </w14:textFill>
              </w:rPr>
            </w:pPr>
            <w:r>
              <w:rPr>
                <w:rFonts w:hint="eastAsia" w:ascii="宋体" w:hAnsi="宋体" w:cs="宋体"/>
                <w:color w:val="000000" w:themeColor="text1"/>
                <w:sz w:val="18"/>
                <w:szCs w:val="18"/>
                <w:highlight w:val="none"/>
                <w:lang w:val="en-US" w:eastAsia="zh-CN"/>
                <w14:textFill>
                  <w14:solidFill>
                    <w14:schemeClr w14:val="tx1"/>
                  </w14:solidFill>
                </w14:textFill>
              </w:rPr>
              <w:t>指标名称</w:t>
            </w:r>
          </w:p>
        </w:tc>
        <w:tc>
          <w:tcPr>
            <w:tcW w:w="231" w:type="pct"/>
            <w:vMerge w:val="restart"/>
            <w:tcBorders>
              <w:top w:val="single" w:color="auto" w:sz="12" w:space="0"/>
              <w:left w:val="single" w:color="auto" w:sz="4" w:space="0"/>
              <w:bottom w:val="single" w:color="auto" w:sz="12" w:space="0"/>
              <w:right w:val="single" w:color="auto" w:sz="4" w:space="0"/>
            </w:tcBorders>
            <w:shd w:val="clear" w:color="auto" w:fill="auto"/>
            <w:noWrap w:val="0"/>
            <w:vAlign w:val="center"/>
          </w:tcPr>
          <w:p w14:paraId="126185DA">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tLeast"/>
              <w:ind w:left="0" w:leftChars="0" w:right="0" w:rightChars="0"/>
              <w:jc w:val="center"/>
              <w:textAlignment w:val="auto"/>
              <w:rPr>
                <w:rFonts w:hint="eastAsia" w:ascii="宋体" w:hAnsi="宋体" w:eastAsia="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lang w:val="en-US" w:eastAsia="zh-CN"/>
                <w14:textFill>
                  <w14:solidFill>
                    <w14:schemeClr w14:val="tx1"/>
                  </w14:solidFill>
                </w14:textFill>
              </w:rPr>
              <w:t>计量单位</w:t>
            </w:r>
          </w:p>
        </w:tc>
        <w:tc>
          <w:tcPr>
            <w:tcW w:w="1803" w:type="pct"/>
            <w:vMerge w:val="restart"/>
            <w:tcBorders>
              <w:top w:val="single" w:color="auto" w:sz="12" w:space="0"/>
              <w:left w:val="single" w:color="auto" w:sz="4" w:space="0"/>
              <w:bottom w:val="single" w:color="auto" w:sz="12" w:space="0"/>
              <w:right w:val="single" w:color="auto" w:sz="4" w:space="0"/>
            </w:tcBorders>
            <w:shd w:val="clear" w:color="auto" w:fill="auto"/>
            <w:noWrap w:val="0"/>
            <w:vAlign w:val="center"/>
          </w:tcPr>
          <w:p w14:paraId="267B74FF">
            <w:pPr>
              <w:keepNext w:val="0"/>
              <w:keepLines w:val="0"/>
              <w:pageBreakBefore w:val="0"/>
              <w:widowControl w:val="0"/>
              <w:numPr>
                <w:ilvl w:val="0"/>
                <w:numId w:val="0"/>
              </w:numPr>
              <w:suppressLineNumbers w:val="0"/>
              <w:kinsoku/>
              <w:wordWrap/>
              <w:overflowPunct/>
              <w:topLinePunct w:val="0"/>
              <w:autoSpaceDE/>
              <w:autoSpaceDN/>
              <w:bidi w:val="0"/>
              <w:snapToGrid/>
              <w:spacing w:beforeAutospacing="0" w:afterAutospacing="0" w:line="240" w:lineRule="atLeast"/>
              <w:ind w:left="0" w:leftChars="0" w:right="0" w:rightChars="0" w:firstLine="0" w:firstLineChars="0"/>
              <w:jc w:val="center"/>
              <w:textAlignment w:val="auto"/>
              <w:outlineLvl w:val="2"/>
              <w:rPr>
                <w:rFonts w:hint="eastAsia" w:ascii="宋体" w:hAnsi="宋体" w:eastAsia="宋体" w:cs="宋体"/>
                <w:color w:val="000000" w:themeColor="text1"/>
                <w:sz w:val="18"/>
                <w:szCs w:val="18"/>
                <w:lang w:val="en-US" w:eastAsia="zh-CN"/>
                <w14:textFill>
                  <w14:solidFill>
                    <w14:schemeClr w14:val="tx1"/>
                  </w14:solidFill>
                </w14:textFill>
              </w:rPr>
            </w:pPr>
            <w:r>
              <w:rPr>
                <w:rFonts w:hint="eastAsia" w:ascii="宋体" w:hAnsi="宋体" w:eastAsia="宋体" w:cs="宋体"/>
                <w:color w:val="000000"/>
                <w:sz w:val="18"/>
                <w:szCs w:val="18"/>
                <w:highlight w:val="none"/>
                <w:lang w:val="en-US" w:eastAsia="zh-CN" w:bidi="ar-SA"/>
              </w:rPr>
              <w:t>指</w:t>
            </w:r>
            <w:r>
              <w:rPr>
                <w:rFonts w:hint="eastAsia" w:ascii="宋体" w:hAnsi="宋体" w:cs="宋体"/>
                <w:color w:val="000000"/>
                <w:sz w:val="18"/>
                <w:szCs w:val="18"/>
                <w:highlight w:val="none"/>
                <w:lang w:val="en-US" w:eastAsia="zh-CN" w:bidi="ar-SA"/>
              </w:rPr>
              <w:t>标</w:t>
            </w:r>
            <w:r>
              <w:rPr>
                <w:rFonts w:hint="eastAsia" w:ascii="宋体" w:hAnsi="宋体" w:eastAsia="宋体" w:cs="宋体"/>
                <w:color w:val="000000"/>
                <w:sz w:val="18"/>
                <w:szCs w:val="18"/>
                <w:highlight w:val="none"/>
                <w:lang w:val="en-US" w:eastAsia="zh-CN" w:bidi="ar-SA"/>
              </w:rPr>
              <w:t>释义</w:t>
            </w:r>
          </w:p>
        </w:tc>
        <w:tc>
          <w:tcPr>
            <w:tcW w:w="350" w:type="pct"/>
            <w:vMerge w:val="restart"/>
            <w:tcBorders>
              <w:top w:val="single" w:color="auto" w:sz="12" w:space="0"/>
              <w:left w:val="single" w:color="auto" w:sz="4" w:space="0"/>
              <w:bottom w:val="single" w:color="auto" w:sz="12" w:space="0"/>
              <w:right w:val="single" w:color="auto" w:sz="4" w:space="0"/>
            </w:tcBorders>
            <w:shd w:val="clear" w:color="auto" w:fill="auto"/>
            <w:noWrap w:val="0"/>
            <w:vAlign w:val="center"/>
          </w:tcPr>
          <w:p w14:paraId="2A04F941">
            <w:pPr>
              <w:keepNext w:val="0"/>
              <w:keepLines w:val="0"/>
              <w:pageBreakBefore w:val="0"/>
              <w:widowControl w:val="0"/>
              <w:numPr>
                <w:ilvl w:val="0"/>
                <w:numId w:val="0"/>
              </w:numPr>
              <w:suppressLineNumbers w:val="0"/>
              <w:kinsoku/>
              <w:wordWrap/>
              <w:overflowPunct/>
              <w:topLinePunct w:val="0"/>
              <w:autoSpaceDE/>
              <w:autoSpaceDN/>
              <w:bidi w:val="0"/>
              <w:snapToGrid/>
              <w:spacing w:beforeAutospacing="0" w:afterAutospacing="0" w:line="240" w:lineRule="atLeast"/>
              <w:ind w:left="0" w:leftChars="0" w:right="0" w:rightChars="0" w:firstLine="0" w:firstLineChars="0"/>
              <w:jc w:val="center"/>
              <w:textAlignment w:val="auto"/>
              <w:outlineLvl w:val="2"/>
              <w:rPr>
                <w:rFonts w:hint="eastAsia" w:ascii="宋体" w:hAnsi="宋体" w:cs="宋体"/>
                <w:color w:val="000000" w:themeColor="text1"/>
                <w:sz w:val="18"/>
                <w:szCs w:val="18"/>
                <w:lang w:val="en-US" w:eastAsia="zh-CN"/>
                <w14:textFill>
                  <w14:solidFill>
                    <w14:schemeClr w14:val="tx1"/>
                  </w14:solidFill>
                </w14:textFill>
              </w:rPr>
            </w:pPr>
            <w:r>
              <w:rPr>
                <w:rFonts w:hint="eastAsia" w:ascii="宋体" w:hAnsi="宋体" w:cs="宋体"/>
                <w:color w:val="000000"/>
                <w:sz w:val="18"/>
                <w:szCs w:val="18"/>
                <w:highlight w:val="none"/>
                <w:lang w:val="en-US" w:eastAsia="zh-CN" w:bidi="ar-SA"/>
              </w:rPr>
              <w:t>计算方式</w:t>
            </w:r>
          </w:p>
        </w:tc>
        <w:tc>
          <w:tcPr>
            <w:tcW w:w="350" w:type="pct"/>
            <w:vMerge w:val="restart"/>
            <w:tcBorders>
              <w:top w:val="single" w:color="auto" w:sz="12" w:space="0"/>
              <w:left w:val="single" w:color="auto" w:sz="4" w:space="0"/>
              <w:bottom w:val="single" w:color="auto" w:sz="12" w:space="0"/>
              <w:right w:val="single" w:color="auto" w:sz="4" w:space="0"/>
            </w:tcBorders>
            <w:shd w:val="clear" w:color="auto" w:fill="auto"/>
            <w:noWrap w:val="0"/>
            <w:vAlign w:val="center"/>
          </w:tcPr>
          <w:p w14:paraId="6E51F53B">
            <w:pPr>
              <w:keepNext w:val="0"/>
              <w:keepLines w:val="0"/>
              <w:pageBreakBefore w:val="0"/>
              <w:widowControl w:val="0"/>
              <w:numPr>
                <w:ilvl w:val="0"/>
                <w:numId w:val="0"/>
              </w:numPr>
              <w:suppressLineNumbers w:val="0"/>
              <w:kinsoku/>
              <w:wordWrap/>
              <w:overflowPunct/>
              <w:topLinePunct w:val="0"/>
              <w:autoSpaceDE/>
              <w:autoSpaceDN/>
              <w:bidi w:val="0"/>
              <w:snapToGrid/>
              <w:spacing w:beforeAutospacing="0" w:afterAutospacing="0" w:line="240" w:lineRule="atLeast"/>
              <w:ind w:left="0" w:leftChars="0" w:right="0" w:rightChars="0" w:firstLine="0" w:firstLineChars="0"/>
              <w:jc w:val="center"/>
              <w:textAlignment w:val="auto"/>
              <w:outlineLvl w:val="2"/>
              <w:rPr>
                <w:rFonts w:hint="eastAsia" w:ascii="宋体" w:hAnsi="宋体" w:cs="宋体"/>
                <w:color w:val="000000" w:themeColor="text1"/>
                <w:sz w:val="18"/>
                <w:szCs w:val="18"/>
                <w:lang w:val="en-US" w:eastAsia="zh-CN"/>
                <w14:textFill>
                  <w14:solidFill>
                    <w14:schemeClr w14:val="tx1"/>
                  </w14:solidFill>
                </w14:textFill>
              </w:rPr>
            </w:pPr>
            <w:r>
              <w:rPr>
                <w:rFonts w:hint="eastAsia" w:ascii="宋体" w:hAnsi="宋体" w:eastAsia="宋体" w:cs="宋体"/>
                <w:color w:val="000000"/>
                <w:sz w:val="18"/>
                <w:szCs w:val="18"/>
                <w:highlight w:val="none"/>
                <w:lang w:val="en-US" w:eastAsia="zh-CN" w:bidi="ar-SA"/>
              </w:rPr>
              <w:t>数据来源</w:t>
            </w:r>
          </w:p>
        </w:tc>
        <w:tc>
          <w:tcPr>
            <w:tcW w:w="377" w:type="pct"/>
            <w:vMerge w:val="restart"/>
            <w:tcBorders>
              <w:top w:val="single" w:color="auto" w:sz="12" w:space="0"/>
              <w:left w:val="single" w:color="auto" w:sz="4" w:space="0"/>
              <w:bottom w:val="single" w:color="auto" w:sz="12" w:space="0"/>
              <w:right w:val="single" w:color="auto" w:sz="12" w:space="0"/>
            </w:tcBorders>
            <w:shd w:val="clear" w:color="auto" w:fill="auto"/>
            <w:noWrap w:val="0"/>
            <w:vAlign w:val="center"/>
          </w:tcPr>
          <w:p w14:paraId="5AF49644">
            <w:pPr>
              <w:keepNext w:val="0"/>
              <w:keepLines w:val="0"/>
              <w:pageBreakBefore w:val="0"/>
              <w:widowControl w:val="0"/>
              <w:numPr>
                <w:ilvl w:val="0"/>
                <w:numId w:val="0"/>
              </w:numPr>
              <w:suppressLineNumbers w:val="0"/>
              <w:kinsoku/>
              <w:wordWrap/>
              <w:overflowPunct/>
              <w:topLinePunct w:val="0"/>
              <w:autoSpaceDE/>
              <w:autoSpaceDN/>
              <w:bidi w:val="0"/>
              <w:snapToGrid/>
              <w:spacing w:beforeAutospacing="0" w:afterAutospacing="0" w:line="240" w:lineRule="atLeast"/>
              <w:ind w:left="0" w:leftChars="0" w:right="0" w:rightChars="0" w:firstLine="0" w:firstLineChars="0"/>
              <w:jc w:val="center"/>
              <w:textAlignment w:val="auto"/>
              <w:outlineLvl w:val="2"/>
              <w:rPr>
                <w:rFonts w:hint="default" w:ascii="宋体" w:hAnsi="宋体" w:eastAsia="宋体" w:cs="宋体"/>
                <w:color w:val="000000"/>
                <w:sz w:val="18"/>
                <w:szCs w:val="18"/>
                <w:highlight w:val="none"/>
                <w:lang w:val="en-US" w:eastAsia="zh-CN"/>
              </w:rPr>
            </w:pPr>
            <w:r>
              <w:rPr>
                <w:rFonts w:hint="eastAsia" w:ascii="宋体" w:hAnsi="宋体" w:eastAsia="宋体" w:cs="宋体"/>
                <w:color w:val="000000"/>
                <w:sz w:val="18"/>
                <w:szCs w:val="18"/>
                <w:highlight w:val="none"/>
                <w:lang w:val="en-US" w:eastAsia="zh-CN" w:bidi="ar-SA"/>
              </w:rPr>
              <w:t>监测频次</w:t>
            </w:r>
          </w:p>
        </w:tc>
      </w:tr>
      <w:tr w14:paraId="58AFD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210" w:type="pct"/>
            <w:vMerge w:val="continue"/>
            <w:tcBorders>
              <w:left w:val="single" w:color="auto" w:sz="12" w:space="0"/>
              <w:bottom w:val="single" w:color="auto" w:sz="12" w:space="0"/>
            </w:tcBorders>
            <w:shd w:val="clear" w:color="auto" w:fill="auto"/>
            <w:noWrap w:val="0"/>
            <w:vAlign w:val="center"/>
          </w:tcPr>
          <w:p w14:paraId="726E323E">
            <w:pPr>
              <w:keepNext w:val="0"/>
              <w:keepLines w:val="0"/>
              <w:pageBreakBefore w:val="0"/>
              <w:widowControl w:val="0"/>
              <w:numPr>
                <w:numId w:val="0"/>
              </w:numPr>
              <w:suppressLineNumbers w:val="0"/>
              <w:tabs>
                <w:tab w:val="left" w:pos="0"/>
              </w:tabs>
              <w:kinsoku/>
              <w:wordWrap/>
              <w:overflowPunct/>
              <w:topLinePunct w:val="0"/>
              <w:autoSpaceDE/>
              <w:autoSpaceDN/>
              <w:bidi w:val="0"/>
              <w:snapToGrid/>
              <w:spacing w:beforeAutospacing="0" w:afterAutospacing="0" w:line="240" w:lineRule="atLeast"/>
              <w:ind w:leftChars="0" w:right="0" w:rightChars="0"/>
              <w:jc w:val="center"/>
              <w:textAlignment w:val="auto"/>
              <w:outlineLvl w:val="2"/>
              <w:rPr>
                <w:rFonts w:hint="eastAsia" w:ascii="宋体" w:hAnsi="宋体" w:eastAsia="宋体" w:cs="宋体"/>
                <w:color w:val="000000"/>
                <w:sz w:val="18"/>
                <w:szCs w:val="18"/>
                <w:highlight w:val="none"/>
                <w:lang w:val="en-US" w:eastAsia="zh-CN" w:bidi="ar-SA"/>
              </w:rPr>
            </w:pPr>
          </w:p>
        </w:tc>
        <w:tc>
          <w:tcPr>
            <w:tcW w:w="302" w:type="pct"/>
            <w:tcBorders>
              <w:bottom w:val="single" w:color="auto" w:sz="12" w:space="0"/>
            </w:tcBorders>
            <w:shd w:val="clear" w:color="auto" w:fill="auto"/>
            <w:noWrap w:val="0"/>
            <w:vAlign w:val="top"/>
          </w:tcPr>
          <w:p w14:paraId="659C3351">
            <w:pPr>
              <w:keepNext w:val="0"/>
              <w:keepLines w:val="0"/>
              <w:pageBreakBefore w:val="0"/>
              <w:widowControl w:val="0"/>
              <w:numPr>
                <w:ilvl w:val="0"/>
                <w:numId w:val="0"/>
              </w:numPr>
              <w:suppressLineNumbers w:val="0"/>
              <w:kinsoku/>
              <w:wordWrap/>
              <w:overflowPunct/>
              <w:topLinePunct w:val="0"/>
              <w:autoSpaceDE/>
              <w:autoSpaceDN/>
              <w:bidi w:val="0"/>
              <w:adjustRightInd w:val="0"/>
              <w:snapToGrid/>
              <w:spacing w:beforeAutospacing="0" w:afterAutospacing="0" w:line="240" w:lineRule="atLeast"/>
              <w:ind w:left="0" w:leftChars="0" w:right="0" w:rightChars="0" w:firstLine="0" w:firstLineChars="0"/>
              <w:jc w:val="center"/>
              <w:textAlignment w:val="auto"/>
              <w:outlineLvl w:val="2"/>
              <w:rPr>
                <w:rFonts w:hint="eastAsia" w:ascii="宋体" w:hAnsi="宋体" w:eastAsia="宋体" w:cs="宋体"/>
                <w:color w:val="000000"/>
                <w:sz w:val="18"/>
                <w:szCs w:val="18"/>
                <w:highlight w:val="none"/>
                <w:lang w:val="en-US" w:eastAsia="zh-CN" w:bidi="ar-SA"/>
              </w:rPr>
            </w:pPr>
            <w:r>
              <w:rPr>
                <w:rFonts w:hint="eastAsia" w:ascii="宋体" w:hAnsi="宋体" w:cs="宋体"/>
                <w:color w:val="000000"/>
                <w:sz w:val="18"/>
                <w:szCs w:val="18"/>
                <w:highlight w:val="none"/>
                <w:lang w:val="en-US" w:eastAsia="zh-CN" w:bidi="ar-SA"/>
              </w:rPr>
              <w:t>一</w:t>
            </w:r>
            <w:r>
              <w:rPr>
                <w:rFonts w:hint="eastAsia" w:ascii="宋体" w:hAnsi="宋体" w:eastAsia="宋体" w:cs="宋体"/>
                <w:color w:val="000000"/>
                <w:sz w:val="18"/>
                <w:szCs w:val="18"/>
                <w:highlight w:val="none"/>
                <w:lang w:val="en-US" w:eastAsia="zh-CN" w:bidi="ar-SA"/>
              </w:rPr>
              <w:t>级</w:t>
            </w:r>
          </w:p>
          <w:p w14:paraId="1047F2FF">
            <w:pPr>
              <w:keepNext w:val="0"/>
              <w:keepLines w:val="0"/>
              <w:pageBreakBefore w:val="0"/>
              <w:widowControl w:val="0"/>
              <w:numPr>
                <w:ilvl w:val="0"/>
                <w:numId w:val="0"/>
              </w:numPr>
              <w:suppressLineNumbers w:val="0"/>
              <w:kinsoku/>
              <w:wordWrap/>
              <w:overflowPunct/>
              <w:topLinePunct w:val="0"/>
              <w:autoSpaceDE/>
              <w:autoSpaceDN/>
              <w:bidi w:val="0"/>
              <w:adjustRightInd w:val="0"/>
              <w:snapToGrid/>
              <w:spacing w:beforeAutospacing="0" w:afterAutospacing="0" w:line="240" w:lineRule="atLeast"/>
              <w:ind w:left="0" w:leftChars="0" w:right="0" w:rightChars="0" w:firstLine="0" w:firstLineChars="0"/>
              <w:jc w:val="center"/>
              <w:textAlignment w:val="auto"/>
              <w:outlineLvl w:val="2"/>
              <w:rPr>
                <w:rFonts w:hint="eastAsia" w:ascii="宋体" w:hAnsi="宋体" w:eastAsia="宋体" w:cs="宋体"/>
                <w:color w:val="000000"/>
                <w:sz w:val="18"/>
                <w:szCs w:val="18"/>
                <w:highlight w:val="none"/>
                <w:lang w:val="en-US" w:eastAsia="zh-CN" w:bidi="ar-SA"/>
              </w:rPr>
            </w:pPr>
            <w:r>
              <w:rPr>
                <w:rFonts w:hint="eastAsia" w:ascii="宋体" w:hAnsi="宋体" w:eastAsia="宋体" w:cs="宋体"/>
                <w:color w:val="000000"/>
                <w:sz w:val="18"/>
                <w:szCs w:val="18"/>
                <w:highlight w:val="none"/>
                <w:lang w:val="en-US" w:eastAsia="zh-CN" w:bidi="ar-SA"/>
              </w:rPr>
              <w:t>指标</w:t>
            </w:r>
            <w:r>
              <w:rPr>
                <w:rFonts w:hint="eastAsia" w:ascii="宋体" w:hAnsi="宋体" w:cs="宋体"/>
                <w:color w:val="000000"/>
                <w:sz w:val="18"/>
                <w:szCs w:val="18"/>
                <w:highlight w:val="none"/>
                <w:lang w:val="en-US" w:eastAsia="zh-CN" w:bidi="ar-SA"/>
              </w:rPr>
              <w:t xml:space="preserve"> （权重）</w:t>
            </w:r>
          </w:p>
        </w:tc>
        <w:tc>
          <w:tcPr>
            <w:tcW w:w="302" w:type="pct"/>
            <w:tcBorders>
              <w:bottom w:val="single" w:color="auto" w:sz="12" w:space="0"/>
            </w:tcBorders>
            <w:shd w:val="clear" w:color="auto" w:fill="auto"/>
            <w:noWrap w:val="0"/>
            <w:vAlign w:val="center"/>
          </w:tcPr>
          <w:p w14:paraId="7F53C8AA">
            <w:pPr>
              <w:keepNext w:val="0"/>
              <w:keepLines w:val="0"/>
              <w:pageBreakBefore w:val="0"/>
              <w:widowControl w:val="0"/>
              <w:numPr>
                <w:ilvl w:val="0"/>
                <w:numId w:val="0"/>
              </w:numPr>
              <w:suppressLineNumbers w:val="0"/>
              <w:kinsoku/>
              <w:wordWrap/>
              <w:overflowPunct/>
              <w:topLinePunct w:val="0"/>
              <w:autoSpaceDE/>
              <w:autoSpaceDN/>
              <w:bidi w:val="0"/>
              <w:snapToGrid/>
              <w:spacing w:beforeAutospacing="0" w:afterAutospacing="0" w:line="240" w:lineRule="atLeast"/>
              <w:ind w:left="0" w:right="0"/>
              <w:jc w:val="center"/>
              <w:textAlignment w:val="auto"/>
              <w:outlineLvl w:val="2"/>
              <w:rPr>
                <w:rFonts w:hint="eastAsia" w:ascii="宋体" w:hAnsi="宋体" w:eastAsia="宋体" w:cs="宋体"/>
                <w:color w:val="000000"/>
                <w:sz w:val="18"/>
                <w:szCs w:val="18"/>
                <w:highlight w:val="none"/>
                <w:lang w:val="en-US" w:eastAsia="zh-CN" w:bidi="ar-SA"/>
              </w:rPr>
            </w:pPr>
            <w:r>
              <w:rPr>
                <w:rFonts w:hint="eastAsia" w:ascii="宋体" w:hAnsi="宋体" w:eastAsia="宋体" w:cs="宋体"/>
                <w:color w:val="000000"/>
                <w:sz w:val="18"/>
                <w:szCs w:val="18"/>
                <w:highlight w:val="none"/>
                <w:lang w:val="en-US" w:eastAsia="zh-CN" w:bidi="ar-SA"/>
              </w:rPr>
              <w:t>二级</w:t>
            </w:r>
          </w:p>
          <w:p w14:paraId="309704A9">
            <w:pPr>
              <w:keepNext w:val="0"/>
              <w:keepLines w:val="0"/>
              <w:pageBreakBefore w:val="0"/>
              <w:widowControl w:val="0"/>
              <w:numPr>
                <w:ilvl w:val="0"/>
                <w:numId w:val="0"/>
              </w:numPr>
              <w:suppressLineNumbers w:val="0"/>
              <w:kinsoku/>
              <w:wordWrap/>
              <w:overflowPunct/>
              <w:topLinePunct w:val="0"/>
              <w:autoSpaceDE/>
              <w:autoSpaceDN/>
              <w:bidi w:val="0"/>
              <w:snapToGrid/>
              <w:spacing w:beforeAutospacing="0" w:afterAutospacing="0" w:line="240" w:lineRule="atLeast"/>
              <w:ind w:left="0" w:right="0"/>
              <w:jc w:val="center"/>
              <w:textAlignment w:val="auto"/>
              <w:outlineLvl w:val="2"/>
              <w:rPr>
                <w:rFonts w:hint="eastAsia" w:ascii="宋体" w:hAnsi="宋体" w:eastAsia="宋体" w:cs="宋体"/>
                <w:color w:val="000000"/>
                <w:sz w:val="18"/>
                <w:szCs w:val="18"/>
                <w:highlight w:val="none"/>
                <w:lang w:val="en-US" w:eastAsia="zh-CN" w:bidi="ar-SA"/>
              </w:rPr>
            </w:pPr>
            <w:r>
              <w:rPr>
                <w:rFonts w:hint="eastAsia" w:ascii="宋体" w:hAnsi="宋体" w:eastAsia="宋体" w:cs="宋体"/>
                <w:color w:val="000000"/>
                <w:sz w:val="18"/>
                <w:szCs w:val="18"/>
                <w:highlight w:val="none"/>
                <w:lang w:val="en-US" w:eastAsia="zh-CN" w:bidi="ar-SA"/>
              </w:rPr>
              <w:t>指标</w:t>
            </w:r>
          </w:p>
          <w:p w14:paraId="7A54AD0A">
            <w:pPr>
              <w:keepNext w:val="0"/>
              <w:keepLines w:val="0"/>
              <w:pageBreakBefore w:val="0"/>
              <w:widowControl w:val="0"/>
              <w:suppressLineNumbers w:val="0"/>
              <w:tabs>
                <w:tab w:val="center" w:pos="4201"/>
                <w:tab w:val="right" w:leader="dot" w:pos="9298"/>
              </w:tabs>
              <w:kinsoku/>
              <w:wordWrap/>
              <w:overflowPunct/>
              <w:topLinePunct w:val="0"/>
              <w:autoSpaceDE/>
              <w:autoSpaceDN/>
              <w:bidi w:val="0"/>
              <w:snapToGrid/>
              <w:spacing w:beforeAutospacing="0" w:afterAutospacing="0" w:line="240" w:lineRule="atLeast"/>
              <w:ind w:left="0" w:leftChars="0" w:right="0" w:rightChars="0" w:firstLine="0" w:firstLineChars="0"/>
              <w:jc w:val="center"/>
              <w:textAlignment w:val="auto"/>
              <w:rPr>
                <w:rFonts w:hint="eastAsia" w:ascii="宋体" w:hAnsi="宋体" w:cs="宋体"/>
                <w:color w:val="000000"/>
                <w:sz w:val="18"/>
                <w:szCs w:val="18"/>
                <w:highlight w:val="none"/>
                <w:lang w:val="en-US" w:eastAsia="zh-CN" w:bidi="ar-SA"/>
              </w:rPr>
            </w:pPr>
            <w:r>
              <w:rPr>
                <w:rFonts w:hint="eastAsia" w:ascii="宋体" w:hAnsi="宋体" w:eastAsia="宋体" w:cs="宋体"/>
                <w:color w:val="000000"/>
                <w:sz w:val="18"/>
                <w:szCs w:val="18"/>
                <w:highlight w:val="none"/>
                <w:lang w:val="en-US" w:eastAsia="zh-CN" w:bidi="ar-SA"/>
              </w:rPr>
              <w:t>(权重）</w:t>
            </w:r>
          </w:p>
        </w:tc>
        <w:tc>
          <w:tcPr>
            <w:tcW w:w="456" w:type="pct"/>
            <w:tcBorders>
              <w:bottom w:val="single" w:color="auto" w:sz="12" w:space="0"/>
            </w:tcBorders>
            <w:shd w:val="clear" w:color="auto" w:fill="auto"/>
            <w:noWrap w:val="0"/>
            <w:vAlign w:val="top"/>
          </w:tcPr>
          <w:p w14:paraId="73A2E1EC">
            <w:pPr>
              <w:keepNext w:val="0"/>
              <w:keepLines w:val="0"/>
              <w:pageBreakBefore w:val="0"/>
              <w:widowControl w:val="0"/>
              <w:numPr>
                <w:ilvl w:val="0"/>
                <w:numId w:val="0"/>
              </w:numPr>
              <w:suppressLineNumbers w:val="0"/>
              <w:kinsoku/>
              <w:wordWrap/>
              <w:overflowPunct/>
              <w:topLinePunct w:val="0"/>
              <w:autoSpaceDE/>
              <w:autoSpaceDN/>
              <w:bidi w:val="0"/>
              <w:snapToGrid/>
              <w:spacing w:beforeAutospacing="0" w:afterAutospacing="0" w:line="240" w:lineRule="atLeast"/>
              <w:ind w:left="0" w:leftChars="0" w:right="0" w:rightChars="0" w:firstLine="0" w:firstLineChars="0"/>
              <w:jc w:val="center"/>
              <w:textAlignment w:val="auto"/>
              <w:outlineLvl w:val="2"/>
              <w:rPr>
                <w:rFonts w:hint="eastAsia" w:ascii="宋体" w:hAnsi="宋体" w:eastAsia="宋体" w:cs="宋体"/>
                <w:color w:val="000000"/>
                <w:sz w:val="18"/>
                <w:szCs w:val="18"/>
                <w:highlight w:val="none"/>
                <w:lang w:val="en-US" w:eastAsia="zh-CN" w:bidi="ar-SA"/>
              </w:rPr>
            </w:pPr>
            <w:r>
              <w:rPr>
                <w:rFonts w:hint="eastAsia" w:ascii="宋体" w:hAnsi="宋体" w:eastAsia="宋体" w:cs="宋体"/>
                <w:color w:val="000000"/>
                <w:sz w:val="18"/>
                <w:szCs w:val="18"/>
                <w:highlight w:val="none"/>
                <w:lang w:val="en-US" w:eastAsia="zh-CN" w:bidi="ar-SA"/>
              </w:rPr>
              <w:t>三级指标</w:t>
            </w:r>
          </w:p>
          <w:p w14:paraId="48D641A7">
            <w:pPr>
              <w:keepNext w:val="0"/>
              <w:keepLines w:val="0"/>
              <w:pageBreakBefore w:val="0"/>
              <w:widowControl w:val="0"/>
              <w:numPr>
                <w:ilvl w:val="0"/>
                <w:numId w:val="0"/>
              </w:numPr>
              <w:suppressLineNumbers w:val="0"/>
              <w:kinsoku/>
              <w:wordWrap/>
              <w:overflowPunct/>
              <w:topLinePunct w:val="0"/>
              <w:autoSpaceDE/>
              <w:autoSpaceDN/>
              <w:bidi w:val="0"/>
              <w:snapToGrid/>
              <w:spacing w:beforeAutospacing="0" w:afterAutospacing="0" w:line="240" w:lineRule="atLeast"/>
              <w:ind w:left="0" w:leftChars="0" w:right="0" w:rightChars="0" w:firstLine="0" w:firstLineChars="0"/>
              <w:jc w:val="center"/>
              <w:textAlignment w:val="auto"/>
              <w:outlineLvl w:val="2"/>
              <w:rPr>
                <w:rFonts w:hint="eastAsia" w:ascii="宋体" w:hAnsi="宋体" w:cs="宋体"/>
                <w:color w:val="000000" w:themeColor="text1"/>
                <w:sz w:val="18"/>
                <w:szCs w:val="18"/>
                <w:highlight w:val="none"/>
                <w:lang w:val="en-US" w:eastAsia="zh-CN" w:bidi="ar-SA"/>
                <w14:textFill>
                  <w14:solidFill>
                    <w14:schemeClr w14:val="tx1"/>
                  </w14:solidFill>
                </w14:textFill>
              </w:rPr>
            </w:pPr>
            <w:r>
              <w:rPr>
                <w:rFonts w:hint="eastAsia" w:ascii="宋体" w:hAnsi="宋体" w:eastAsia="宋体" w:cs="宋体"/>
                <w:color w:val="000000"/>
                <w:sz w:val="18"/>
                <w:szCs w:val="18"/>
                <w:highlight w:val="none"/>
                <w:lang w:val="en-US" w:eastAsia="zh-CN" w:bidi="ar-SA"/>
              </w:rPr>
              <w:t>(权重）</w:t>
            </w:r>
          </w:p>
        </w:tc>
        <w:tc>
          <w:tcPr>
            <w:tcW w:w="617" w:type="pct"/>
            <w:tcBorders>
              <w:bottom w:val="single" w:color="auto" w:sz="12" w:space="0"/>
              <w:right w:val="single" w:color="auto" w:sz="4" w:space="0"/>
            </w:tcBorders>
            <w:shd w:val="clear" w:color="auto" w:fill="auto"/>
            <w:noWrap w:val="0"/>
            <w:vAlign w:val="top"/>
          </w:tcPr>
          <w:p w14:paraId="23C6636A">
            <w:pPr>
              <w:keepNext w:val="0"/>
              <w:keepLines w:val="0"/>
              <w:pageBreakBefore w:val="0"/>
              <w:widowControl w:val="0"/>
              <w:numPr>
                <w:ilvl w:val="0"/>
                <w:numId w:val="0"/>
              </w:numPr>
              <w:suppressLineNumbers w:val="0"/>
              <w:kinsoku/>
              <w:wordWrap/>
              <w:overflowPunct/>
              <w:topLinePunct w:val="0"/>
              <w:autoSpaceDE/>
              <w:autoSpaceDN/>
              <w:bidi w:val="0"/>
              <w:snapToGrid/>
              <w:spacing w:beforeAutospacing="0" w:afterAutospacing="0" w:line="240" w:lineRule="atLeast"/>
              <w:ind w:left="0" w:leftChars="0" w:right="0" w:rightChars="0" w:firstLine="0" w:firstLineChars="0"/>
              <w:jc w:val="center"/>
              <w:textAlignment w:val="auto"/>
              <w:outlineLvl w:val="2"/>
              <w:rPr>
                <w:rFonts w:hint="eastAsia" w:ascii="宋体" w:hAnsi="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sz w:val="18"/>
                <w:szCs w:val="18"/>
                <w:highlight w:val="none"/>
                <w:lang w:val="en-US" w:eastAsia="zh-CN" w:bidi="ar-SA"/>
              </w:rPr>
              <w:t>四级指标(权重）</w:t>
            </w:r>
          </w:p>
        </w:tc>
        <w:tc>
          <w:tcPr>
            <w:tcW w:w="231" w:type="pct"/>
            <w:vMerge w:val="continue"/>
            <w:tcBorders>
              <w:top w:val="single" w:color="auto" w:sz="12" w:space="0"/>
              <w:left w:val="single" w:color="auto" w:sz="4" w:space="0"/>
              <w:bottom w:val="single" w:color="auto" w:sz="12" w:space="0"/>
              <w:right w:val="single" w:color="auto" w:sz="4" w:space="0"/>
            </w:tcBorders>
            <w:shd w:val="clear" w:color="auto" w:fill="auto"/>
            <w:noWrap w:val="0"/>
            <w:vAlign w:val="center"/>
          </w:tcPr>
          <w:p w14:paraId="13411D0A">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tLeast"/>
              <w:ind w:left="0" w:leftChars="0" w:right="0" w:rightChars="0"/>
              <w:jc w:val="center"/>
              <w:textAlignment w:val="auto"/>
              <w:rPr>
                <w:rFonts w:hint="eastAsia" w:ascii="宋体" w:hAnsi="宋体" w:eastAsia="宋体" w:cs="宋体"/>
                <w:color w:val="000000" w:themeColor="text1"/>
                <w:sz w:val="18"/>
                <w:szCs w:val="18"/>
                <w14:textFill>
                  <w14:solidFill>
                    <w14:schemeClr w14:val="tx1"/>
                  </w14:solidFill>
                </w14:textFill>
              </w:rPr>
            </w:pPr>
          </w:p>
        </w:tc>
        <w:tc>
          <w:tcPr>
            <w:tcW w:w="1803" w:type="pct"/>
            <w:vMerge w:val="continue"/>
            <w:tcBorders>
              <w:top w:val="single" w:color="auto" w:sz="12" w:space="0"/>
              <w:left w:val="single" w:color="auto" w:sz="4" w:space="0"/>
              <w:bottom w:val="single" w:color="auto" w:sz="12" w:space="0"/>
              <w:right w:val="single" w:color="auto" w:sz="4" w:space="0"/>
            </w:tcBorders>
            <w:shd w:val="clear" w:color="auto" w:fill="auto"/>
            <w:noWrap w:val="0"/>
            <w:vAlign w:val="center"/>
          </w:tcPr>
          <w:p w14:paraId="4F033043">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tLeast"/>
              <w:ind w:left="0" w:leftChars="0" w:right="0" w:rightChars="0"/>
              <w:jc w:val="both"/>
              <w:textAlignment w:val="auto"/>
              <w:rPr>
                <w:rFonts w:hint="eastAsia" w:ascii="宋体" w:hAnsi="宋体" w:eastAsia="宋体" w:cs="宋体"/>
                <w:color w:val="000000" w:themeColor="text1"/>
                <w:sz w:val="18"/>
                <w:szCs w:val="18"/>
                <w:lang w:val="en-US" w:eastAsia="zh-CN"/>
                <w14:textFill>
                  <w14:solidFill>
                    <w14:schemeClr w14:val="tx1"/>
                  </w14:solidFill>
                </w14:textFill>
              </w:rPr>
            </w:pPr>
          </w:p>
        </w:tc>
        <w:tc>
          <w:tcPr>
            <w:tcW w:w="350" w:type="pct"/>
            <w:vMerge w:val="continue"/>
            <w:tcBorders>
              <w:top w:val="single" w:color="auto" w:sz="12" w:space="0"/>
              <w:left w:val="single" w:color="auto" w:sz="4" w:space="0"/>
              <w:bottom w:val="single" w:color="auto" w:sz="12" w:space="0"/>
              <w:right w:val="single" w:color="auto" w:sz="4" w:space="0"/>
            </w:tcBorders>
            <w:shd w:val="clear" w:color="auto" w:fill="auto"/>
            <w:noWrap w:val="0"/>
            <w:vAlign w:val="center"/>
          </w:tcPr>
          <w:p w14:paraId="68526768">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tLeast"/>
              <w:ind w:left="0" w:leftChars="0" w:right="0" w:rightChars="0"/>
              <w:jc w:val="left"/>
              <w:textAlignment w:val="auto"/>
              <w:rPr>
                <w:rFonts w:hint="eastAsia" w:ascii="宋体" w:hAnsi="宋体" w:cs="宋体"/>
                <w:color w:val="000000" w:themeColor="text1"/>
                <w:sz w:val="18"/>
                <w:szCs w:val="18"/>
                <w:lang w:val="en-US" w:eastAsia="zh-CN"/>
                <w14:textFill>
                  <w14:solidFill>
                    <w14:schemeClr w14:val="tx1"/>
                  </w14:solidFill>
                </w14:textFill>
              </w:rPr>
            </w:pPr>
          </w:p>
        </w:tc>
        <w:tc>
          <w:tcPr>
            <w:tcW w:w="350" w:type="pct"/>
            <w:vMerge w:val="continue"/>
            <w:tcBorders>
              <w:top w:val="single" w:color="auto" w:sz="12" w:space="0"/>
              <w:left w:val="single" w:color="auto" w:sz="4" w:space="0"/>
              <w:bottom w:val="single" w:color="auto" w:sz="12" w:space="0"/>
              <w:right w:val="single" w:color="auto" w:sz="4" w:space="0"/>
            </w:tcBorders>
            <w:shd w:val="clear" w:color="auto" w:fill="auto"/>
            <w:noWrap w:val="0"/>
            <w:vAlign w:val="center"/>
          </w:tcPr>
          <w:p w14:paraId="58B79928">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tLeast"/>
              <w:ind w:left="0" w:leftChars="0" w:right="0" w:rightChars="0"/>
              <w:jc w:val="center"/>
              <w:textAlignment w:val="auto"/>
              <w:rPr>
                <w:rFonts w:hint="eastAsia" w:ascii="宋体" w:hAnsi="宋体" w:cs="宋体"/>
                <w:color w:val="000000" w:themeColor="text1"/>
                <w:sz w:val="18"/>
                <w:szCs w:val="18"/>
                <w:lang w:val="en-US" w:eastAsia="zh-CN"/>
                <w14:textFill>
                  <w14:solidFill>
                    <w14:schemeClr w14:val="tx1"/>
                  </w14:solidFill>
                </w14:textFill>
              </w:rPr>
            </w:pPr>
          </w:p>
        </w:tc>
        <w:tc>
          <w:tcPr>
            <w:tcW w:w="377" w:type="pct"/>
            <w:vMerge w:val="continue"/>
            <w:tcBorders>
              <w:top w:val="single" w:color="auto" w:sz="12" w:space="0"/>
              <w:left w:val="single" w:color="auto" w:sz="4" w:space="0"/>
              <w:bottom w:val="single" w:color="auto" w:sz="12" w:space="0"/>
              <w:right w:val="single" w:color="auto" w:sz="12" w:space="0"/>
            </w:tcBorders>
            <w:shd w:val="clear" w:color="auto" w:fill="auto"/>
            <w:noWrap w:val="0"/>
            <w:vAlign w:val="center"/>
          </w:tcPr>
          <w:p w14:paraId="7FE82ED3">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tLeast"/>
              <w:ind w:left="0" w:right="0"/>
              <w:jc w:val="center"/>
              <w:textAlignment w:val="auto"/>
              <w:rPr>
                <w:rFonts w:hint="default" w:ascii="宋体" w:hAnsi="宋体" w:eastAsia="宋体" w:cs="宋体"/>
                <w:color w:val="000000"/>
                <w:sz w:val="18"/>
                <w:szCs w:val="18"/>
                <w:highlight w:val="none"/>
                <w:lang w:val="en-US" w:eastAsia="zh-CN"/>
              </w:rPr>
            </w:pPr>
          </w:p>
        </w:tc>
      </w:tr>
      <w:tr w14:paraId="29C7A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210" w:type="pct"/>
            <w:tcBorders>
              <w:top w:val="single" w:color="auto" w:sz="12" w:space="0"/>
              <w:left w:val="single" w:color="auto" w:sz="12" w:space="0"/>
            </w:tcBorders>
            <w:shd w:val="clear" w:color="auto" w:fill="auto"/>
            <w:noWrap w:val="0"/>
            <w:vAlign w:val="center"/>
          </w:tcPr>
          <w:p w14:paraId="348A8C76">
            <w:pPr>
              <w:keepNext w:val="0"/>
              <w:keepLines w:val="0"/>
              <w:pageBreakBefore w:val="0"/>
              <w:widowControl w:val="0"/>
              <w:numPr>
                <w:ilvl w:val="0"/>
                <w:numId w:val="35"/>
              </w:numPr>
              <w:suppressLineNumbers w:val="0"/>
              <w:kinsoku/>
              <w:wordWrap/>
              <w:overflowPunct/>
              <w:topLinePunct w:val="0"/>
              <w:autoSpaceDE/>
              <w:autoSpaceDN/>
              <w:bidi w:val="0"/>
              <w:snapToGrid/>
              <w:spacing w:beforeAutospacing="0" w:afterAutospacing="0" w:line="240" w:lineRule="atLeast"/>
              <w:ind w:right="0"/>
              <w:jc w:val="center"/>
              <w:textAlignment w:val="auto"/>
              <w:outlineLvl w:val="2"/>
              <w:rPr>
                <w:rFonts w:hint="eastAsia" w:ascii="宋体" w:hAnsi="宋体" w:eastAsia="宋体" w:cs="宋体"/>
                <w:color w:val="000000"/>
                <w:sz w:val="18"/>
                <w:szCs w:val="18"/>
                <w:highlight w:val="none"/>
                <w:lang w:val="en-US" w:eastAsia="zh-CN" w:bidi="ar-SA"/>
              </w:rPr>
            </w:pPr>
          </w:p>
        </w:tc>
        <w:tc>
          <w:tcPr>
            <w:tcW w:w="302" w:type="pct"/>
            <w:vMerge w:val="restart"/>
            <w:tcBorders>
              <w:top w:val="single" w:color="auto" w:sz="12" w:space="0"/>
            </w:tcBorders>
            <w:shd w:val="clear" w:color="auto" w:fill="auto"/>
            <w:noWrap w:val="0"/>
            <w:vAlign w:val="center"/>
          </w:tcPr>
          <w:p w14:paraId="44CFAFD5">
            <w:pPr>
              <w:keepNext w:val="0"/>
              <w:keepLines w:val="0"/>
              <w:pageBreakBefore w:val="0"/>
              <w:widowControl w:val="0"/>
              <w:numPr>
                <w:ilvl w:val="0"/>
                <w:numId w:val="0"/>
              </w:numPr>
              <w:suppressLineNumbers w:val="0"/>
              <w:kinsoku/>
              <w:wordWrap/>
              <w:overflowPunct/>
              <w:topLinePunct w:val="0"/>
              <w:autoSpaceDE/>
              <w:autoSpaceDN/>
              <w:bidi w:val="0"/>
              <w:snapToGrid/>
              <w:spacing w:beforeAutospacing="0" w:afterAutospacing="0" w:line="240" w:lineRule="atLeast"/>
              <w:ind w:left="0" w:right="0"/>
              <w:jc w:val="center"/>
              <w:textAlignment w:val="auto"/>
              <w:outlineLvl w:val="2"/>
              <w:rPr>
                <w:rFonts w:hint="eastAsia" w:ascii="宋体" w:hAnsi="宋体" w:eastAsia="宋体" w:cs="宋体"/>
                <w:color w:val="000000"/>
                <w:sz w:val="18"/>
                <w:szCs w:val="18"/>
                <w:highlight w:val="none"/>
                <w:lang w:val="en-US" w:eastAsia="zh-CN" w:bidi="ar-SA"/>
              </w:rPr>
            </w:pPr>
            <w:r>
              <w:rPr>
                <w:rFonts w:hint="eastAsia" w:ascii="宋体" w:hAnsi="宋体" w:eastAsia="宋体" w:cs="宋体"/>
                <w:color w:val="000000"/>
                <w:sz w:val="18"/>
                <w:szCs w:val="18"/>
                <w:highlight w:val="none"/>
                <w:lang w:val="en-US" w:eastAsia="zh-CN" w:bidi="ar-SA"/>
              </w:rPr>
              <w:t>联合（0.4）</w:t>
            </w:r>
          </w:p>
        </w:tc>
        <w:tc>
          <w:tcPr>
            <w:tcW w:w="302" w:type="pct"/>
            <w:tcBorders>
              <w:top w:val="single" w:color="auto" w:sz="12" w:space="0"/>
            </w:tcBorders>
            <w:shd w:val="clear" w:color="auto" w:fill="auto"/>
            <w:noWrap w:val="0"/>
            <w:vAlign w:val="center"/>
          </w:tcPr>
          <w:p w14:paraId="0D34B95B">
            <w:pPr>
              <w:keepNext w:val="0"/>
              <w:keepLines w:val="0"/>
              <w:pageBreakBefore w:val="0"/>
              <w:widowControl w:val="0"/>
              <w:numPr>
                <w:ilvl w:val="0"/>
                <w:numId w:val="0"/>
              </w:numPr>
              <w:suppressLineNumbers w:val="0"/>
              <w:kinsoku/>
              <w:wordWrap/>
              <w:overflowPunct/>
              <w:topLinePunct w:val="0"/>
              <w:autoSpaceDE/>
              <w:autoSpaceDN/>
              <w:bidi w:val="0"/>
              <w:snapToGrid/>
              <w:spacing w:beforeAutospacing="0" w:afterAutospacing="0" w:line="240" w:lineRule="atLeast"/>
              <w:ind w:left="0" w:right="0"/>
              <w:jc w:val="center"/>
              <w:textAlignment w:val="auto"/>
              <w:outlineLvl w:val="2"/>
              <w:rPr>
                <w:rFonts w:hint="eastAsia" w:ascii="宋体" w:hAnsi="宋体" w:cs="宋体"/>
                <w:color w:val="000000"/>
                <w:sz w:val="18"/>
                <w:szCs w:val="18"/>
                <w:highlight w:val="none"/>
                <w:lang w:val="en-US" w:eastAsia="zh-CN" w:bidi="ar-SA"/>
              </w:rPr>
            </w:pPr>
            <w:r>
              <w:rPr>
                <w:rFonts w:hint="eastAsia" w:ascii="宋体" w:hAnsi="宋体" w:cs="宋体"/>
                <w:color w:val="000000"/>
                <w:sz w:val="18"/>
                <w:szCs w:val="18"/>
                <w:highlight w:val="none"/>
                <w:lang w:val="en-US" w:eastAsia="zh-CN" w:bidi="ar-SA"/>
              </w:rPr>
              <w:t>主体</w:t>
            </w:r>
          </w:p>
          <w:p w14:paraId="4B55C187">
            <w:pPr>
              <w:keepNext w:val="0"/>
              <w:keepLines w:val="0"/>
              <w:pageBreakBefore w:val="0"/>
              <w:widowControl w:val="0"/>
              <w:numPr>
                <w:ilvl w:val="0"/>
                <w:numId w:val="0"/>
              </w:numPr>
              <w:suppressLineNumbers w:val="0"/>
              <w:kinsoku/>
              <w:wordWrap/>
              <w:overflowPunct/>
              <w:topLinePunct w:val="0"/>
              <w:autoSpaceDE/>
              <w:autoSpaceDN/>
              <w:bidi w:val="0"/>
              <w:snapToGrid/>
              <w:spacing w:beforeAutospacing="0" w:afterAutospacing="0" w:line="240" w:lineRule="atLeast"/>
              <w:ind w:left="0" w:right="0"/>
              <w:jc w:val="center"/>
              <w:textAlignment w:val="auto"/>
              <w:outlineLvl w:val="2"/>
              <w:rPr>
                <w:rFonts w:hint="eastAsia" w:ascii="宋体" w:hAnsi="宋体" w:cs="宋体"/>
                <w:color w:val="000000"/>
                <w:sz w:val="18"/>
                <w:szCs w:val="18"/>
                <w:highlight w:val="none"/>
                <w:lang w:val="en-US" w:eastAsia="zh-CN" w:bidi="ar-SA"/>
              </w:rPr>
            </w:pPr>
            <w:r>
              <w:rPr>
                <w:rFonts w:hint="eastAsia" w:ascii="宋体" w:hAnsi="宋体" w:cs="宋体"/>
                <w:color w:val="000000"/>
                <w:sz w:val="18"/>
                <w:szCs w:val="18"/>
                <w:highlight w:val="none"/>
                <w:lang w:val="en-US" w:eastAsia="zh-CN" w:bidi="ar-SA"/>
              </w:rPr>
              <w:t>参与（0.3）</w:t>
            </w:r>
          </w:p>
          <w:p w14:paraId="16620ACB">
            <w:pPr>
              <w:keepNext w:val="0"/>
              <w:keepLines w:val="0"/>
              <w:pageBreakBefore w:val="0"/>
              <w:widowControl w:val="0"/>
              <w:numPr>
                <w:ilvl w:val="0"/>
                <w:numId w:val="0"/>
              </w:numPr>
              <w:suppressLineNumbers w:val="0"/>
              <w:kinsoku/>
              <w:wordWrap/>
              <w:overflowPunct/>
              <w:topLinePunct w:val="0"/>
              <w:autoSpaceDE/>
              <w:autoSpaceDN/>
              <w:bidi w:val="0"/>
              <w:snapToGrid/>
              <w:spacing w:beforeAutospacing="0" w:afterAutospacing="0" w:line="240" w:lineRule="atLeast"/>
              <w:ind w:left="0" w:right="0"/>
              <w:jc w:val="center"/>
              <w:textAlignment w:val="auto"/>
              <w:outlineLvl w:val="2"/>
              <w:rPr>
                <w:rFonts w:hint="eastAsia" w:ascii="宋体" w:hAnsi="宋体" w:cs="宋体"/>
                <w:color w:val="000000"/>
                <w:sz w:val="18"/>
                <w:szCs w:val="18"/>
                <w:highlight w:val="none"/>
                <w:lang w:val="en-US" w:eastAsia="zh-CN" w:bidi="ar-SA"/>
              </w:rPr>
            </w:pPr>
          </w:p>
        </w:tc>
        <w:tc>
          <w:tcPr>
            <w:tcW w:w="456" w:type="pct"/>
            <w:tcBorders>
              <w:top w:val="single" w:color="auto" w:sz="12" w:space="0"/>
            </w:tcBorders>
            <w:shd w:val="clear" w:color="auto" w:fill="auto"/>
            <w:noWrap w:val="0"/>
            <w:vAlign w:val="center"/>
          </w:tcPr>
          <w:p w14:paraId="582B5054">
            <w:pPr>
              <w:keepNext w:val="0"/>
              <w:keepLines w:val="0"/>
              <w:pageBreakBefore w:val="0"/>
              <w:widowControl w:val="0"/>
              <w:numPr>
                <w:ilvl w:val="0"/>
                <w:numId w:val="0"/>
              </w:numPr>
              <w:suppressLineNumbers w:val="0"/>
              <w:kinsoku/>
              <w:wordWrap/>
              <w:overflowPunct/>
              <w:topLinePunct w:val="0"/>
              <w:autoSpaceDE/>
              <w:autoSpaceDN/>
              <w:bidi w:val="0"/>
              <w:snapToGrid/>
              <w:spacing w:beforeAutospacing="0" w:afterAutospacing="0" w:line="240" w:lineRule="atLeast"/>
              <w:ind w:left="0" w:leftChars="0" w:right="0" w:rightChars="0" w:firstLine="0" w:firstLineChars="0"/>
              <w:jc w:val="center"/>
              <w:textAlignment w:val="auto"/>
              <w:outlineLvl w:val="2"/>
              <w:rPr>
                <w:rFonts w:hint="eastAsia" w:ascii="宋体" w:hAnsi="宋体" w:cs="宋体"/>
                <w:color w:val="000000" w:themeColor="text1"/>
                <w:sz w:val="18"/>
                <w:szCs w:val="18"/>
                <w:highlight w:val="none"/>
                <w:lang w:val="en-US" w:eastAsia="zh-CN" w:bidi="ar-SA"/>
                <w14:textFill>
                  <w14:solidFill>
                    <w14:schemeClr w14:val="tx1"/>
                  </w14:solidFill>
                </w14:textFill>
              </w:rPr>
            </w:pPr>
            <w:r>
              <w:rPr>
                <w:rFonts w:hint="eastAsia" w:ascii="宋体" w:hAnsi="宋体" w:cs="宋体"/>
                <w:color w:val="000000" w:themeColor="text1"/>
                <w:sz w:val="18"/>
                <w:szCs w:val="18"/>
                <w:highlight w:val="none"/>
                <w:lang w:val="en-US" w:eastAsia="zh-CN" w:bidi="ar-SA"/>
                <w14:textFill>
                  <w14:solidFill>
                    <w14:schemeClr w14:val="tx1"/>
                  </w14:solidFill>
                </w14:textFill>
              </w:rPr>
              <w:t>居民（农户）</w:t>
            </w:r>
            <w:r>
              <w:rPr>
                <w:rFonts w:hint="eastAsia" w:ascii="宋体" w:hAnsi="宋体" w:eastAsia="宋体" w:cs="宋体"/>
                <w:color w:val="000000" w:themeColor="text1"/>
                <w:sz w:val="18"/>
                <w:szCs w:val="18"/>
                <w:highlight w:val="none"/>
                <w:lang w:val="en-US" w:eastAsia="zh-CN" w:bidi="ar-SA"/>
                <w14:textFill>
                  <w14:solidFill>
                    <w14:schemeClr w14:val="tx1"/>
                  </w14:solidFill>
                </w14:textFill>
              </w:rPr>
              <w:t>参与率（0.25）</w:t>
            </w:r>
          </w:p>
        </w:tc>
        <w:tc>
          <w:tcPr>
            <w:tcW w:w="617" w:type="pct"/>
            <w:tcBorders>
              <w:top w:val="single" w:color="auto" w:sz="12" w:space="0"/>
              <w:right w:val="single" w:color="auto" w:sz="4" w:space="0"/>
            </w:tcBorders>
            <w:shd w:val="clear" w:color="auto" w:fill="auto"/>
            <w:noWrap w:val="0"/>
            <w:vAlign w:val="center"/>
          </w:tcPr>
          <w:p w14:paraId="493B11D3">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tLeast"/>
              <w:ind w:left="0" w:leftChars="0" w:right="0" w:rightChars="0"/>
              <w:textAlignment w:val="auto"/>
              <w:rPr>
                <w:rFonts w:hint="eastAsia" w:ascii="宋体" w:hAnsi="宋体" w:cs="宋体"/>
                <w:color w:val="000000" w:themeColor="text1"/>
                <w:sz w:val="18"/>
                <w:szCs w:val="18"/>
                <w:highlight w:val="none"/>
                <w:lang w:val="en-US" w:eastAsia="zh-CN"/>
                <w14:textFill>
                  <w14:solidFill>
                    <w14:schemeClr w14:val="tx1"/>
                  </w14:solidFill>
                </w14:textFill>
              </w:rPr>
            </w:pPr>
            <w:r>
              <w:rPr>
                <w:rFonts w:hint="eastAsia" w:ascii="宋体" w:hAnsi="宋体" w:cs="宋体"/>
                <w:color w:val="000000" w:themeColor="text1"/>
                <w:sz w:val="18"/>
                <w:szCs w:val="18"/>
                <w:highlight w:val="none"/>
                <w14:textFill>
                  <w14:solidFill>
                    <w14:schemeClr w14:val="tx1"/>
                  </w14:solidFill>
                </w14:textFill>
              </w:rPr>
              <w:t>参与康养产业的居民（农户）占比</w:t>
            </w:r>
          </w:p>
        </w:tc>
        <w:tc>
          <w:tcPr>
            <w:tcW w:w="231" w:type="pct"/>
            <w:tcBorders>
              <w:top w:val="single" w:color="auto" w:sz="12" w:space="0"/>
              <w:left w:val="single" w:color="auto" w:sz="4" w:space="0"/>
              <w:right w:val="single" w:color="auto" w:sz="4" w:space="0"/>
            </w:tcBorders>
            <w:shd w:val="clear" w:color="auto" w:fill="auto"/>
            <w:noWrap w:val="0"/>
            <w:vAlign w:val="center"/>
          </w:tcPr>
          <w:p w14:paraId="7E9B9D99">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tLeast"/>
              <w:ind w:left="0" w:leftChars="0" w:right="0" w:rightChars="0"/>
              <w:jc w:val="center"/>
              <w:textAlignment w:val="auto"/>
              <w:rPr>
                <w:rFonts w:hint="eastAsia" w:ascii="宋体" w:hAnsi="宋体" w:cs="宋体"/>
                <w:color w:val="000000" w:themeColor="text1"/>
                <w:sz w:val="18"/>
                <w:szCs w:val="18"/>
                <w:lang w:val="en-US" w:eastAsia="zh-CN"/>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w:t>
            </w:r>
          </w:p>
        </w:tc>
        <w:tc>
          <w:tcPr>
            <w:tcW w:w="1803" w:type="pct"/>
            <w:tcBorders>
              <w:top w:val="single" w:color="auto" w:sz="12" w:space="0"/>
              <w:left w:val="single" w:color="auto" w:sz="4" w:space="0"/>
              <w:right w:val="single" w:color="auto" w:sz="4" w:space="0"/>
            </w:tcBorders>
            <w:shd w:val="clear" w:color="auto" w:fill="auto"/>
            <w:noWrap w:val="0"/>
            <w:vAlign w:val="center"/>
          </w:tcPr>
          <w:p w14:paraId="3EB2E3FB">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tLeast"/>
              <w:ind w:left="0" w:leftChars="0" w:right="0" w:rightChars="0"/>
              <w:jc w:val="both"/>
              <w:textAlignment w:val="auto"/>
              <w:rPr>
                <w:rFonts w:hint="eastAsia" w:ascii="宋体" w:hAnsi="宋体" w:cs="宋体"/>
                <w:color w:val="000000" w:themeColor="text1"/>
                <w:sz w:val="18"/>
                <w:szCs w:val="18"/>
                <w:lang w:val="en-US" w:eastAsia="zh-CN"/>
                <w14:textFill>
                  <w14:solidFill>
                    <w14:schemeClr w14:val="tx1"/>
                  </w14:solidFill>
                </w14:textFill>
              </w:rPr>
            </w:pPr>
            <w:r>
              <w:rPr>
                <w:rFonts w:hint="eastAsia" w:ascii="宋体" w:hAnsi="宋体" w:eastAsia="宋体" w:cs="宋体"/>
                <w:color w:val="000000" w:themeColor="text1"/>
                <w:sz w:val="18"/>
                <w:szCs w:val="18"/>
                <w:lang w:val="en-US" w:eastAsia="zh-CN"/>
                <w14:textFill>
                  <w14:solidFill>
                    <w14:schemeClr w14:val="tx1"/>
                  </w14:solidFill>
                </w14:textFill>
              </w:rPr>
              <w:t>指在康养创富联合体内</w:t>
            </w:r>
            <w:r>
              <w:rPr>
                <w:rFonts w:hint="eastAsia" w:ascii="宋体" w:hAnsi="宋体" w:cs="宋体"/>
                <w:color w:val="000000" w:themeColor="text1"/>
                <w:sz w:val="18"/>
                <w:szCs w:val="18"/>
                <w:lang w:val="en-US" w:eastAsia="zh-CN"/>
                <w14:textFill>
                  <w14:solidFill>
                    <w14:schemeClr w14:val="tx1"/>
                  </w14:solidFill>
                </w14:textFill>
              </w:rPr>
              <w:t>，</w:t>
            </w:r>
            <w:r>
              <w:rPr>
                <w:rFonts w:hint="eastAsia" w:ascii="宋体" w:hAnsi="宋体" w:eastAsia="宋体" w:cs="宋体"/>
                <w:color w:val="000000" w:themeColor="text1"/>
                <w:sz w:val="18"/>
                <w:szCs w:val="18"/>
                <w:lang w:val="en-US" w:eastAsia="zh-CN"/>
                <w14:textFill>
                  <w14:solidFill>
                    <w14:schemeClr w14:val="tx1"/>
                  </w14:solidFill>
                </w14:textFill>
              </w:rPr>
              <w:t>以资源入股</w:t>
            </w:r>
            <w:r>
              <w:rPr>
                <w:rFonts w:hint="eastAsia" w:ascii="宋体" w:hAnsi="宋体" w:cs="宋体"/>
                <w:color w:val="000000" w:themeColor="text1"/>
                <w:sz w:val="18"/>
                <w:szCs w:val="18"/>
                <w:lang w:val="en-US" w:eastAsia="zh-CN"/>
                <w14:textFill>
                  <w14:solidFill>
                    <w14:schemeClr w14:val="tx1"/>
                  </w14:solidFill>
                </w14:textFill>
              </w:rPr>
              <w:t>、</w:t>
            </w:r>
            <w:r>
              <w:rPr>
                <w:rFonts w:hint="eastAsia" w:ascii="宋体" w:hAnsi="宋体" w:eastAsia="宋体" w:cs="宋体"/>
                <w:color w:val="000000" w:themeColor="text1"/>
                <w:sz w:val="18"/>
                <w:szCs w:val="18"/>
                <w:lang w:val="en-US" w:eastAsia="zh-CN"/>
                <w14:textFill>
                  <w14:solidFill>
                    <w14:schemeClr w14:val="tx1"/>
                  </w14:solidFill>
                </w14:textFill>
              </w:rPr>
              <w:t>稳定</w:t>
            </w:r>
            <w:r>
              <w:rPr>
                <w:rFonts w:hint="eastAsia" w:ascii="宋体" w:hAnsi="宋体" w:eastAsia="宋体" w:cs="宋体"/>
                <w:color w:val="000000" w:themeColor="text1"/>
                <w:sz w:val="18"/>
                <w:szCs w:val="18"/>
                <w:u w:val="none"/>
                <w:lang w:val="en-US" w:eastAsia="zh-CN"/>
                <w14:textFill>
                  <w14:solidFill>
                    <w14:schemeClr w14:val="tx1"/>
                  </w14:solidFill>
                </w14:textFill>
              </w:rPr>
              <w:t>就业</w:t>
            </w:r>
            <w:r>
              <w:rPr>
                <w:rFonts w:hint="eastAsia" w:ascii="宋体" w:hAnsi="宋体" w:cs="宋体"/>
                <w:color w:val="000000" w:themeColor="text1"/>
                <w:sz w:val="18"/>
                <w:szCs w:val="18"/>
                <w:u w:val="none"/>
                <w:lang w:val="en-US" w:eastAsia="zh-CN"/>
                <w14:textFill>
                  <w14:solidFill>
                    <w14:schemeClr w14:val="tx1"/>
                  </w14:solidFill>
                </w14:textFill>
              </w:rPr>
              <w:t>（</w:t>
            </w:r>
            <w:r>
              <w:rPr>
                <w:rFonts w:hint="eastAsia" w:ascii="宋体" w:hAnsi="宋体" w:eastAsia="宋体" w:cs="宋体"/>
                <w:color w:val="000000" w:themeColor="text1"/>
                <w:sz w:val="18"/>
                <w:szCs w:val="18"/>
                <w:u w:val="none"/>
                <w:lang w:val="en-US" w:eastAsia="zh-CN"/>
                <w14:textFill>
                  <w14:solidFill>
                    <w14:schemeClr w14:val="tx1"/>
                  </w14:solidFill>
                </w14:textFill>
              </w:rPr>
              <w:t>年</w:t>
            </w:r>
            <w:r>
              <w:rPr>
                <w:rFonts w:hint="eastAsia" w:ascii="宋体" w:hAnsi="宋体" w:eastAsia="宋体" w:cs="宋体"/>
                <w:color w:val="000000" w:themeColor="text1"/>
                <w:sz w:val="18"/>
                <w:szCs w:val="18"/>
                <w:lang w:val="en-US" w:eastAsia="zh-CN"/>
                <w14:textFill>
                  <w14:solidFill>
                    <w14:schemeClr w14:val="tx1"/>
                  </w14:solidFill>
                </w14:textFill>
              </w:rPr>
              <w:t>累计超过6个月）</w:t>
            </w:r>
            <w:r>
              <w:rPr>
                <w:rFonts w:hint="eastAsia" w:ascii="宋体" w:hAnsi="宋体" w:cs="宋体"/>
                <w:color w:val="000000" w:themeColor="text1"/>
                <w:sz w:val="18"/>
                <w:szCs w:val="18"/>
                <w:lang w:val="en-US" w:eastAsia="zh-CN"/>
                <w14:textFill>
                  <w14:solidFill>
                    <w14:schemeClr w14:val="tx1"/>
                  </w14:solidFill>
                </w14:textFill>
              </w:rPr>
              <w:t>、</w:t>
            </w:r>
            <w:r>
              <w:rPr>
                <w:rFonts w:hint="eastAsia" w:ascii="宋体" w:hAnsi="宋体" w:eastAsia="宋体" w:cs="宋体"/>
                <w:color w:val="000000" w:themeColor="text1"/>
                <w:sz w:val="18"/>
                <w:szCs w:val="18"/>
                <w:lang w:val="en-US" w:eastAsia="zh-CN"/>
                <w14:textFill>
                  <w14:solidFill>
                    <w14:schemeClr w14:val="tx1"/>
                  </w14:solidFill>
                </w14:textFill>
              </w:rPr>
              <w:t>自主经营或订单销售等一种或多种方式</w:t>
            </w:r>
            <w:r>
              <w:rPr>
                <w:rFonts w:hint="eastAsia" w:ascii="宋体" w:hAnsi="宋体" w:cs="宋体"/>
                <w:color w:val="000000" w:themeColor="text1"/>
                <w:sz w:val="18"/>
                <w:szCs w:val="18"/>
                <w:lang w:val="en-US" w:eastAsia="zh-CN"/>
                <w14:textFill>
                  <w14:solidFill>
                    <w14:schemeClr w14:val="tx1"/>
                  </w14:solidFill>
                </w14:textFill>
              </w:rPr>
              <w:t>，</w:t>
            </w:r>
            <w:r>
              <w:rPr>
                <w:rFonts w:hint="eastAsia" w:ascii="宋体" w:hAnsi="宋体" w:eastAsia="宋体" w:cs="宋体"/>
                <w:color w:val="000000" w:themeColor="text1"/>
                <w:sz w:val="18"/>
                <w:szCs w:val="18"/>
                <w:lang w:val="en-US" w:eastAsia="zh-CN"/>
                <w14:textFill>
                  <w14:solidFill>
                    <w14:schemeClr w14:val="tx1"/>
                  </w14:solidFill>
                </w14:textFill>
              </w:rPr>
              <w:t>参与联合体康养</w:t>
            </w:r>
            <w:r>
              <w:rPr>
                <w:rFonts w:hint="eastAsia" w:ascii="宋体" w:hAnsi="宋体" w:cs="宋体"/>
                <w:color w:val="000000" w:themeColor="text1"/>
                <w:sz w:val="18"/>
                <w:szCs w:val="18"/>
                <w:lang w:val="en-US" w:eastAsia="zh-CN"/>
                <w14:textFill>
                  <w14:solidFill>
                    <w14:schemeClr w14:val="tx1"/>
                  </w14:solidFill>
                </w14:textFill>
              </w:rPr>
              <w:t>项目建设、利用联合体资源获利</w:t>
            </w:r>
            <w:r>
              <w:rPr>
                <w:rFonts w:hint="eastAsia" w:ascii="宋体" w:hAnsi="宋体" w:eastAsia="宋体" w:cs="宋体"/>
                <w:color w:val="000000" w:themeColor="text1"/>
                <w:sz w:val="18"/>
                <w:szCs w:val="18"/>
                <w:lang w:val="en-US" w:eastAsia="zh-CN"/>
                <w14:textFill>
                  <w14:solidFill>
                    <w14:schemeClr w14:val="tx1"/>
                  </w14:solidFill>
                </w14:textFill>
              </w:rPr>
              <w:t>的居民（农户）数量</w:t>
            </w:r>
            <w:r>
              <w:rPr>
                <w:rFonts w:hint="eastAsia" w:ascii="宋体" w:hAnsi="宋体" w:cs="宋体"/>
                <w:color w:val="000000" w:themeColor="text1"/>
                <w:sz w:val="18"/>
                <w:szCs w:val="18"/>
                <w:lang w:val="en-US" w:eastAsia="zh-CN"/>
                <w14:textFill>
                  <w14:solidFill>
                    <w14:schemeClr w14:val="tx1"/>
                  </w14:solidFill>
                </w14:textFill>
              </w:rPr>
              <w:t>（以户为单位）</w:t>
            </w:r>
            <w:r>
              <w:rPr>
                <w:rFonts w:hint="eastAsia" w:ascii="宋体" w:hAnsi="宋体" w:eastAsia="宋体" w:cs="宋体"/>
                <w:color w:val="000000" w:themeColor="text1"/>
                <w:sz w:val="18"/>
                <w:szCs w:val="18"/>
                <w:lang w:val="en-US" w:eastAsia="zh-CN"/>
                <w14:textFill>
                  <w14:solidFill>
                    <w14:schemeClr w14:val="tx1"/>
                  </w14:solidFill>
                </w14:textFill>
              </w:rPr>
              <w:t>占区域内常住居民（农户）总数的比例，反映参与的广泛性和普惠性</w:t>
            </w:r>
            <w:r>
              <w:rPr>
                <w:rFonts w:hint="eastAsia" w:ascii="宋体" w:hAnsi="宋体" w:cs="宋体"/>
                <w:color w:val="000000" w:themeColor="text1"/>
                <w:sz w:val="18"/>
                <w:szCs w:val="18"/>
                <w:lang w:val="en-US" w:eastAsia="zh-CN"/>
                <w14:textFill>
                  <w14:solidFill>
                    <w14:schemeClr w14:val="tx1"/>
                  </w14:solidFill>
                </w14:textFill>
              </w:rPr>
              <w:t>。</w:t>
            </w:r>
            <w:r>
              <w:rPr>
                <w:rFonts w:hint="eastAsia" w:ascii="宋体" w:hAnsi="宋体" w:eastAsia="宋体" w:cs="宋体"/>
                <w:color w:val="000000" w:themeColor="text1"/>
                <w:sz w:val="18"/>
                <w:szCs w:val="18"/>
                <w:lang w:val="en-US" w:eastAsia="zh-CN"/>
                <w14:textFill>
                  <w14:solidFill>
                    <w14:schemeClr w14:val="tx1"/>
                  </w14:solidFill>
                </w14:textFill>
              </w:rPr>
              <w:t>（评分标准：占比＜</w:t>
            </w:r>
            <w:r>
              <w:rPr>
                <w:rFonts w:hint="eastAsia" w:ascii="宋体" w:hAnsi="宋体" w:cs="宋体"/>
                <w:color w:val="000000" w:themeColor="text1"/>
                <w:sz w:val="18"/>
                <w:szCs w:val="18"/>
                <w:lang w:val="en-US" w:eastAsia="zh-CN"/>
                <w14:textFill>
                  <w14:solidFill>
                    <w14:schemeClr w14:val="tx1"/>
                  </w14:solidFill>
                </w14:textFill>
              </w:rPr>
              <w:t>1</w:t>
            </w:r>
            <w:r>
              <w:rPr>
                <w:rFonts w:hint="eastAsia" w:ascii="宋体" w:hAnsi="宋体" w:eastAsia="宋体" w:cs="宋体"/>
                <w:color w:val="000000" w:themeColor="text1"/>
                <w:sz w:val="18"/>
                <w:szCs w:val="18"/>
                <w:lang w:val="en-US" w:eastAsia="zh-CN"/>
                <w14:textFill>
                  <w14:solidFill>
                    <w14:schemeClr w14:val="tx1"/>
                  </w14:solidFill>
                </w14:textFill>
              </w:rPr>
              <w:t>5%得60分；</w:t>
            </w:r>
            <w:r>
              <w:rPr>
                <w:rFonts w:hint="eastAsia" w:ascii="宋体" w:hAnsi="宋体" w:cs="宋体"/>
                <w:color w:val="000000" w:themeColor="text1"/>
                <w:sz w:val="18"/>
                <w:szCs w:val="18"/>
                <w:lang w:val="en-US" w:eastAsia="zh-CN"/>
                <w14:textFill>
                  <w14:solidFill>
                    <w14:schemeClr w14:val="tx1"/>
                  </w14:solidFill>
                </w14:textFill>
              </w:rPr>
              <w:t>1</w:t>
            </w:r>
            <w:r>
              <w:rPr>
                <w:rFonts w:hint="eastAsia" w:ascii="宋体" w:hAnsi="宋体" w:eastAsia="宋体" w:cs="宋体"/>
                <w:color w:val="000000" w:themeColor="text1"/>
                <w:sz w:val="18"/>
                <w:szCs w:val="18"/>
                <w:lang w:val="en-US" w:eastAsia="zh-CN"/>
                <w14:textFill>
                  <w14:solidFill>
                    <w14:schemeClr w14:val="tx1"/>
                  </w14:solidFill>
                </w14:textFill>
              </w:rPr>
              <w:t>5%≤占比＜</w:t>
            </w:r>
            <w:r>
              <w:rPr>
                <w:rFonts w:hint="eastAsia" w:ascii="宋体" w:hAnsi="宋体" w:cs="宋体"/>
                <w:color w:val="000000" w:themeColor="text1"/>
                <w:sz w:val="18"/>
                <w:szCs w:val="18"/>
                <w:lang w:val="en-US" w:eastAsia="zh-CN"/>
                <w14:textFill>
                  <w14:solidFill>
                    <w14:schemeClr w14:val="tx1"/>
                  </w14:solidFill>
                </w14:textFill>
              </w:rPr>
              <w:t>30</w:t>
            </w:r>
            <w:r>
              <w:rPr>
                <w:rFonts w:hint="eastAsia" w:ascii="宋体" w:hAnsi="宋体" w:eastAsia="宋体" w:cs="宋体"/>
                <w:color w:val="000000" w:themeColor="text1"/>
                <w:sz w:val="18"/>
                <w:szCs w:val="18"/>
                <w:lang w:val="en-US" w:eastAsia="zh-CN"/>
                <w14:textFill>
                  <w14:solidFill>
                    <w14:schemeClr w14:val="tx1"/>
                  </w14:solidFill>
                </w14:textFill>
              </w:rPr>
              <w:t>%得80分；占比</w:t>
            </w:r>
            <w:r>
              <w:rPr>
                <w:rFonts w:hint="eastAsia" w:ascii="宋体" w:hAnsi="宋体" w:cs="宋体"/>
                <w:color w:val="000000" w:themeColor="text1"/>
                <w:sz w:val="18"/>
                <w:szCs w:val="18"/>
                <w:lang w:val="en-US" w:eastAsia="zh-CN"/>
                <w14:textFill>
                  <w14:solidFill>
                    <w14:schemeClr w14:val="tx1"/>
                  </w14:solidFill>
                </w14:textFill>
              </w:rPr>
              <w:t>≥30</w:t>
            </w:r>
            <w:r>
              <w:rPr>
                <w:rFonts w:hint="eastAsia" w:ascii="宋体" w:hAnsi="宋体" w:eastAsia="宋体" w:cs="宋体"/>
                <w:color w:val="000000" w:themeColor="text1"/>
                <w:sz w:val="18"/>
                <w:szCs w:val="18"/>
                <w:lang w:val="en-US" w:eastAsia="zh-CN"/>
                <w14:textFill>
                  <w14:solidFill>
                    <w14:schemeClr w14:val="tx1"/>
                  </w14:solidFill>
                </w14:textFill>
              </w:rPr>
              <w:t>%得100分）</w:t>
            </w:r>
          </w:p>
        </w:tc>
        <w:tc>
          <w:tcPr>
            <w:tcW w:w="350" w:type="pct"/>
            <w:tcBorders>
              <w:top w:val="single" w:color="auto" w:sz="12" w:space="0"/>
              <w:left w:val="single" w:color="auto" w:sz="4" w:space="0"/>
              <w:right w:val="single" w:color="auto" w:sz="4" w:space="0"/>
            </w:tcBorders>
            <w:shd w:val="clear" w:color="auto" w:fill="auto"/>
            <w:noWrap w:val="0"/>
            <w:vAlign w:val="center"/>
          </w:tcPr>
          <w:p w14:paraId="5F47773A">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tLeast"/>
              <w:ind w:left="0" w:leftChars="0" w:right="0" w:rightChars="0"/>
              <w:jc w:val="left"/>
              <w:textAlignment w:val="auto"/>
              <w:rPr>
                <w:rFonts w:hint="eastAsia" w:ascii="宋体" w:hAnsi="宋体" w:eastAsia="宋体" w:cs="宋体"/>
                <w:color w:val="000000" w:themeColor="text1"/>
                <w:sz w:val="18"/>
                <w:szCs w:val="18"/>
                <w:lang w:val="en-US" w:eastAsia="zh-CN"/>
                <w14:textFill>
                  <w14:solidFill>
                    <w14:schemeClr w14:val="tx1"/>
                  </w14:solidFill>
                </w14:textFill>
              </w:rPr>
            </w:pPr>
            <w:r>
              <w:rPr>
                <w:rFonts w:hint="eastAsia" w:ascii="宋体" w:hAnsi="宋体" w:cs="宋体"/>
                <w:color w:val="000000" w:themeColor="text1"/>
                <w:sz w:val="18"/>
                <w:szCs w:val="18"/>
                <w:lang w:val="en-US" w:eastAsia="zh-CN"/>
                <w14:textFill>
                  <w14:solidFill>
                    <w14:schemeClr w14:val="tx1"/>
                  </w14:solidFill>
                </w14:textFill>
              </w:rPr>
              <w:t>（</w:t>
            </w:r>
            <w:r>
              <w:rPr>
                <w:rFonts w:hint="eastAsia" w:ascii="宋体" w:hAnsi="宋体" w:eastAsia="宋体" w:cs="宋体"/>
                <w:color w:val="000000" w:themeColor="text1"/>
                <w:sz w:val="18"/>
                <w:szCs w:val="18"/>
                <w:lang w:val="en-US" w:eastAsia="zh-CN"/>
                <w14:textFill>
                  <w14:solidFill>
                    <w14:schemeClr w14:val="tx1"/>
                  </w14:solidFill>
                </w14:textFill>
              </w:rPr>
              <w:t>参与居民（农户）户数/区域内常住居民（农户）总户数）×100%</w:t>
            </w:r>
          </w:p>
        </w:tc>
        <w:tc>
          <w:tcPr>
            <w:tcW w:w="350" w:type="pct"/>
            <w:tcBorders>
              <w:top w:val="single" w:color="auto" w:sz="12" w:space="0"/>
              <w:left w:val="single" w:color="auto" w:sz="4" w:space="0"/>
              <w:right w:val="single" w:color="auto" w:sz="4" w:space="0"/>
            </w:tcBorders>
            <w:shd w:val="clear" w:color="auto" w:fill="auto"/>
            <w:noWrap w:val="0"/>
            <w:vAlign w:val="center"/>
          </w:tcPr>
          <w:p w14:paraId="4D3A0584">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tLeast"/>
              <w:ind w:left="0" w:leftChars="0" w:right="0" w:rightChars="0"/>
              <w:jc w:val="center"/>
              <w:textAlignment w:val="auto"/>
              <w:rPr>
                <w:rFonts w:hint="eastAsia" w:ascii="宋体" w:hAnsi="宋体" w:eastAsia="宋体" w:cs="宋体"/>
                <w:color w:val="000000" w:themeColor="text1"/>
                <w:kern w:val="2"/>
                <w:sz w:val="18"/>
                <w:szCs w:val="18"/>
                <w:lang w:val="en-US" w:eastAsia="zh-CN" w:bidi="ar-SA"/>
                <w14:textFill>
                  <w14:solidFill>
                    <w14:schemeClr w14:val="tx1"/>
                  </w14:solidFill>
                </w14:textFill>
              </w:rPr>
            </w:pPr>
            <w:r>
              <w:rPr>
                <w:rFonts w:hint="eastAsia" w:ascii="宋体" w:hAnsi="宋体" w:cs="宋体"/>
                <w:color w:val="000000" w:themeColor="text1"/>
                <w:sz w:val="18"/>
                <w:szCs w:val="18"/>
                <w:lang w:val="en-US" w:eastAsia="zh-CN"/>
                <w14:textFill>
                  <w14:solidFill>
                    <w14:schemeClr w14:val="tx1"/>
                  </w14:solidFill>
                </w14:textFill>
              </w:rPr>
              <w:t>创富工作形成数据</w:t>
            </w:r>
          </w:p>
        </w:tc>
        <w:tc>
          <w:tcPr>
            <w:tcW w:w="377" w:type="pct"/>
            <w:vMerge w:val="restart"/>
            <w:tcBorders>
              <w:top w:val="single" w:color="auto" w:sz="12" w:space="0"/>
              <w:left w:val="single" w:color="auto" w:sz="4" w:space="0"/>
              <w:right w:val="single" w:color="auto" w:sz="12" w:space="0"/>
            </w:tcBorders>
            <w:shd w:val="clear" w:color="auto" w:fill="auto"/>
            <w:noWrap w:val="0"/>
            <w:vAlign w:val="center"/>
          </w:tcPr>
          <w:p w14:paraId="318D7EF0">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tLeast"/>
              <w:ind w:left="0" w:right="0"/>
              <w:jc w:val="center"/>
              <w:textAlignment w:val="auto"/>
              <w:rPr>
                <w:rFonts w:hint="default" w:ascii="宋体" w:hAnsi="宋体" w:eastAsia="宋体" w:cs="宋体"/>
                <w:color w:val="000000"/>
                <w:sz w:val="18"/>
                <w:szCs w:val="18"/>
                <w:highlight w:val="none"/>
                <w:lang w:val="en-US" w:eastAsia="zh-CN"/>
              </w:rPr>
            </w:pPr>
            <w:r>
              <w:rPr>
                <w:rFonts w:hint="default" w:ascii="宋体" w:hAnsi="宋体" w:eastAsia="宋体" w:cs="宋体"/>
                <w:color w:val="000000"/>
                <w:sz w:val="18"/>
                <w:szCs w:val="18"/>
                <w:highlight w:val="none"/>
                <w:lang w:val="en-US" w:eastAsia="zh-CN"/>
              </w:rPr>
              <w:t>每</w:t>
            </w:r>
            <w:r>
              <w:rPr>
                <w:rFonts w:hint="eastAsia" w:ascii="宋体" w:hAnsi="宋体" w:cs="宋体"/>
                <w:color w:val="000000"/>
                <w:sz w:val="18"/>
                <w:szCs w:val="18"/>
                <w:highlight w:val="none"/>
                <w:lang w:val="en-US" w:eastAsia="zh-CN"/>
              </w:rPr>
              <w:t>年</w:t>
            </w:r>
          </w:p>
          <w:p w14:paraId="58B9D8BC">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tLeast"/>
              <w:ind w:left="0" w:right="0"/>
              <w:jc w:val="center"/>
              <w:textAlignment w:val="auto"/>
              <w:rPr>
                <w:rFonts w:hint="default" w:ascii="宋体" w:hAnsi="宋体" w:eastAsia="宋体" w:cs="宋体"/>
                <w:color w:val="000000"/>
                <w:sz w:val="18"/>
                <w:szCs w:val="18"/>
                <w:highlight w:val="none"/>
                <w:lang w:val="en-US" w:eastAsia="zh-CN"/>
              </w:rPr>
            </w:pPr>
            <w:r>
              <w:rPr>
                <w:rFonts w:hint="default" w:ascii="宋体" w:hAnsi="宋体" w:eastAsia="宋体" w:cs="宋体"/>
                <w:color w:val="000000"/>
                <w:sz w:val="18"/>
                <w:szCs w:val="18"/>
                <w:highlight w:val="none"/>
                <w:lang w:val="en-US" w:eastAsia="zh-CN"/>
              </w:rPr>
              <w:t>1次</w:t>
            </w:r>
          </w:p>
        </w:tc>
      </w:tr>
      <w:tr w14:paraId="0C275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10" w:type="pct"/>
            <w:tcBorders>
              <w:left w:val="single" w:color="auto" w:sz="12" w:space="0"/>
            </w:tcBorders>
            <w:shd w:val="clear" w:color="auto" w:fill="auto"/>
            <w:noWrap w:val="0"/>
            <w:vAlign w:val="center"/>
          </w:tcPr>
          <w:p w14:paraId="2365A4E6">
            <w:pPr>
              <w:keepNext w:val="0"/>
              <w:keepLines w:val="0"/>
              <w:pageBreakBefore w:val="0"/>
              <w:widowControl w:val="0"/>
              <w:numPr>
                <w:ilvl w:val="0"/>
                <w:numId w:val="35"/>
              </w:numPr>
              <w:suppressLineNumbers w:val="0"/>
              <w:kinsoku/>
              <w:wordWrap/>
              <w:overflowPunct/>
              <w:topLinePunct w:val="0"/>
              <w:autoSpaceDE/>
              <w:autoSpaceDN/>
              <w:bidi w:val="0"/>
              <w:snapToGrid/>
              <w:spacing w:beforeAutospacing="0" w:afterAutospacing="0" w:line="240" w:lineRule="atLeast"/>
              <w:ind w:right="0"/>
              <w:jc w:val="center"/>
              <w:textAlignment w:val="auto"/>
              <w:outlineLvl w:val="2"/>
              <w:rPr>
                <w:rFonts w:hint="eastAsia" w:ascii="宋体" w:hAnsi="宋体" w:eastAsia="宋体" w:cs="宋体"/>
                <w:color w:val="000000"/>
                <w:sz w:val="18"/>
                <w:szCs w:val="18"/>
                <w:highlight w:val="none"/>
                <w:lang w:val="en-US" w:eastAsia="zh-CN" w:bidi="ar-SA"/>
              </w:rPr>
            </w:pPr>
          </w:p>
        </w:tc>
        <w:tc>
          <w:tcPr>
            <w:tcW w:w="302" w:type="pct"/>
            <w:vMerge w:val="continue"/>
            <w:shd w:val="clear" w:color="auto" w:fill="auto"/>
            <w:noWrap w:val="0"/>
            <w:vAlign w:val="top"/>
          </w:tcPr>
          <w:p w14:paraId="704F67E5">
            <w:pPr>
              <w:keepNext w:val="0"/>
              <w:keepLines w:val="0"/>
              <w:pageBreakBefore w:val="0"/>
              <w:widowControl w:val="0"/>
              <w:numPr>
                <w:ilvl w:val="0"/>
                <w:numId w:val="0"/>
              </w:numPr>
              <w:suppressLineNumbers w:val="0"/>
              <w:kinsoku/>
              <w:wordWrap/>
              <w:overflowPunct/>
              <w:topLinePunct w:val="0"/>
              <w:autoSpaceDE/>
              <w:autoSpaceDN/>
              <w:bidi w:val="0"/>
              <w:snapToGrid/>
              <w:spacing w:beforeAutospacing="0" w:afterAutospacing="0" w:line="240" w:lineRule="atLeast"/>
              <w:ind w:left="0" w:right="0"/>
              <w:textAlignment w:val="auto"/>
              <w:outlineLvl w:val="2"/>
              <w:rPr>
                <w:rFonts w:hint="eastAsia" w:ascii="宋体" w:hAnsi="宋体" w:eastAsia="宋体" w:cs="宋体"/>
                <w:color w:val="000000"/>
                <w:sz w:val="18"/>
                <w:szCs w:val="18"/>
                <w:highlight w:val="none"/>
                <w:lang w:val="en-US" w:eastAsia="zh-CN" w:bidi="ar-SA"/>
              </w:rPr>
            </w:pPr>
          </w:p>
        </w:tc>
        <w:tc>
          <w:tcPr>
            <w:tcW w:w="302" w:type="pct"/>
            <w:vMerge w:val="restart"/>
            <w:shd w:val="clear" w:color="auto" w:fill="auto"/>
            <w:noWrap w:val="0"/>
            <w:vAlign w:val="center"/>
          </w:tcPr>
          <w:p w14:paraId="4BAD4501">
            <w:pPr>
              <w:keepNext w:val="0"/>
              <w:keepLines w:val="0"/>
              <w:pageBreakBefore w:val="0"/>
              <w:widowControl w:val="0"/>
              <w:numPr>
                <w:ilvl w:val="0"/>
                <w:numId w:val="0"/>
              </w:numPr>
              <w:suppressLineNumbers w:val="0"/>
              <w:kinsoku/>
              <w:wordWrap/>
              <w:overflowPunct/>
              <w:topLinePunct w:val="0"/>
              <w:autoSpaceDE/>
              <w:autoSpaceDN/>
              <w:bidi w:val="0"/>
              <w:snapToGrid/>
              <w:spacing w:beforeAutospacing="0" w:afterAutospacing="0" w:line="240" w:lineRule="atLeast"/>
              <w:ind w:left="0" w:leftChars="0" w:right="0" w:rightChars="0" w:firstLine="0" w:firstLineChars="0"/>
              <w:jc w:val="center"/>
              <w:textAlignment w:val="auto"/>
              <w:outlineLvl w:val="2"/>
              <w:rPr>
                <w:rFonts w:hint="eastAsia" w:ascii="宋体" w:hAnsi="宋体" w:cs="宋体"/>
                <w:color w:val="000000"/>
                <w:sz w:val="18"/>
                <w:szCs w:val="18"/>
                <w:highlight w:val="none"/>
                <w:lang w:val="en-US" w:eastAsia="zh-CN" w:bidi="ar-SA"/>
              </w:rPr>
            </w:pPr>
            <w:r>
              <w:rPr>
                <w:rFonts w:hint="eastAsia" w:ascii="宋体" w:hAnsi="宋体" w:cs="宋体"/>
                <w:color w:val="000000"/>
                <w:sz w:val="18"/>
                <w:szCs w:val="18"/>
                <w:highlight w:val="none"/>
                <w:lang w:val="en-US" w:eastAsia="zh-CN" w:bidi="ar-SA"/>
              </w:rPr>
              <w:t>资源</w:t>
            </w:r>
          </w:p>
          <w:p w14:paraId="7BFC8E8E">
            <w:pPr>
              <w:keepNext w:val="0"/>
              <w:keepLines w:val="0"/>
              <w:pageBreakBefore w:val="0"/>
              <w:widowControl w:val="0"/>
              <w:numPr>
                <w:ilvl w:val="0"/>
                <w:numId w:val="0"/>
              </w:numPr>
              <w:suppressLineNumbers w:val="0"/>
              <w:kinsoku/>
              <w:wordWrap/>
              <w:overflowPunct/>
              <w:topLinePunct w:val="0"/>
              <w:autoSpaceDE/>
              <w:autoSpaceDN/>
              <w:bidi w:val="0"/>
              <w:snapToGrid/>
              <w:spacing w:beforeAutospacing="0" w:afterAutospacing="0" w:line="240" w:lineRule="atLeast"/>
              <w:ind w:left="0" w:leftChars="0" w:right="0" w:rightChars="0" w:firstLine="0" w:firstLineChars="0"/>
              <w:jc w:val="center"/>
              <w:textAlignment w:val="auto"/>
              <w:outlineLvl w:val="2"/>
              <w:rPr>
                <w:rFonts w:hint="eastAsia" w:ascii="宋体" w:hAnsi="宋体" w:eastAsia="宋体" w:cs="宋体"/>
                <w:color w:val="000000"/>
                <w:kern w:val="2"/>
                <w:sz w:val="18"/>
                <w:szCs w:val="18"/>
                <w:highlight w:val="none"/>
                <w:lang w:val="en-US" w:eastAsia="zh-CN" w:bidi="ar-SA"/>
              </w:rPr>
            </w:pPr>
            <w:r>
              <w:rPr>
                <w:rFonts w:hint="eastAsia" w:ascii="宋体" w:hAnsi="宋体" w:cs="宋体"/>
                <w:color w:val="000000"/>
                <w:sz w:val="18"/>
                <w:szCs w:val="18"/>
                <w:highlight w:val="none"/>
                <w:lang w:val="en-US" w:eastAsia="zh-CN" w:bidi="ar-SA"/>
              </w:rPr>
              <w:t>整合（0.3）</w:t>
            </w:r>
          </w:p>
        </w:tc>
        <w:tc>
          <w:tcPr>
            <w:tcW w:w="456" w:type="pct"/>
            <w:shd w:val="clear" w:color="auto" w:fill="auto"/>
            <w:noWrap w:val="0"/>
            <w:vAlign w:val="center"/>
          </w:tcPr>
          <w:p w14:paraId="200C423B">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tLeast"/>
              <w:ind w:left="0" w:leftChars="0" w:right="0" w:rightChars="0"/>
              <w:jc w:val="center"/>
              <w:textAlignment w:val="auto"/>
              <w:rPr>
                <w:rFonts w:hint="eastAsia" w:ascii="宋体" w:hAnsi="宋体" w:cs="宋体"/>
                <w:color w:val="000000" w:themeColor="text1"/>
                <w:sz w:val="18"/>
                <w:szCs w:val="18"/>
                <w:highlight w:val="none"/>
                <w:lang w:val="en-US" w:eastAsia="zh-CN" w:bidi="ar-SA"/>
                <w14:textFill>
                  <w14:solidFill>
                    <w14:schemeClr w14:val="tx1"/>
                  </w14:solidFill>
                </w14:textFill>
              </w:rPr>
            </w:pPr>
            <w:r>
              <w:rPr>
                <w:rFonts w:hint="eastAsia" w:ascii="宋体" w:hAnsi="宋体" w:cs="宋体"/>
                <w:color w:val="000000" w:themeColor="text1"/>
                <w:sz w:val="18"/>
                <w:szCs w:val="18"/>
                <w:highlight w:val="none"/>
                <w:lang w:val="en-US" w:eastAsia="zh-CN"/>
                <w14:textFill>
                  <w14:solidFill>
                    <w14:schemeClr w14:val="tx1"/>
                  </w14:solidFill>
                </w14:textFill>
              </w:rPr>
              <w:t>土地整合（0.3）</w:t>
            </w:r>
          </w:p>
        </w:tc>
        <w:tc>
          <w:tcPr>
            <w:tcW w:w="617" w:type="pct"/>
            <w:tcBorders>
              <w:right w:val="single" w:color="auto" w:sz="4" w:space="0"/>
            </w:tcBorders>
            <w:shd w:val="clear" w:color="auto" w:fill="auto"/>
            <w:noWrap w:val="0"/>
            <w:vAlign w:val="center"/>
          </w:tcPr>
          <w:p w14:paraId="19332C3C">
            <w:pPr>
              <w:keepNext w:val="0"/>
              <w:keepLines w:val="0"/>
              <w:pageBreakBefore w:val="0"/>
              <w:widowControl w:val="0"/>
              <w:suppressLineNumbers w:val="0"/>
              <w:kinsoku/>
              <w:wordWrap/>
              <w:overflowPunct/>
              <w:topLinePunct w:val="0"/>
              <w:autoSpaceDE/>
              <w:autoSpaceDN/>
              <w:bidi w:val="0"/>
              <w:snapToGrid/>
              <w:spacing w:beforeAutospacing="0" w:afterAutospacing="0" w:line="240" w:lineRule="atLeast"/>
              <w:ind w:left="0" w:right="0"/>
              <w:textAlignment w:val="auto"/>
              <w:rPr>
                <w:rFonts w:hint="eastAsia" w:ascii="宋体" w:hAnsi="宋体" w:cs="宋体"/>
                <w:color w:val="000000" w:themeColor="text1"/>
                <w:sz w:val="18"/>
                <w:szCs w:val="18"/>
                <w:highlight w:val="none"/>
                <w:lang w:val="en-US" w:eastAsia="zh-CN"/>
                <w14:textFill>
                  <w14:solidFill>
                    <w14:schemeClr w14:val="tx1"/>
                  </w14:solidFill>
                </w14:textFill>
              </w:rPr>
            </w:pPr>
            <w:r>
              <w:rPr>
                <w:rFonts w:hint="eastAsia"/>
                <w:color w:val="000000" w:themeColor="text1"/>
                <w:sz w:val="18"/>
                <w:szCs w:val="18"/>
                <w:lang w:val="en-US" w:eastAsia="zh-CN"/>
                <w14:textFill>
                  <w14:solidFill>
                    <w14:schemeClr w14:val="tx1"/>
                  </w14:solidFill>
                </w14:textFill>
              </w:rPr>
              <w:t>土地整合面积</w:t>
            </w:r>
          </w:p>
        </w:tc>
        <w:tc>
          <w:tcPr>
            <w:tcW w:w="231" w:type="pct"/>
            <w:tcBorders>
              <w:left w:val="single" w:color="auto" w:sz="4" w:space="0"/>
              <w:right w:val="single" w:color="auto" w:sz="4" w:space="0"/>
            </w:tcBorders>
            <w:shd w:val="clear" w:color="auto" w:fill="auto"/>
            <w:noWrap w:val="0"/>
            <w:vAlign w:val="center"/>
          </w:tcPr>
          <w:p w14:paraId="43991F4C">
            <w:pPr>
              <w:keepNext w:val="0"/>
              <w:keepLines w:val="0"/>
              <w:pageBreakBefore w:val="0"/>
              <w:widowControl w:val="0"/>
              <w:suppressLineNumbers w:val="0"/>
              <w:kinsoku/>
              <w:wordWrap/>
              <w:overflowPunct/>
              <w:topLinePunct w:val="0"/>
              <w:autoSpaceDE/>
              <w:autoSpaceDN/>
              <w:bidi w:val="0"/>
              <w:snapToGrid/>
              <w:spacing w:beforeAutospacing="0" w:afterAutospacing="0" w:line="240" w:lineRule="atLeast"/>
              <w:ind w:left="0" w:right="0"/>
              <w:jc w:val="center"/>
              <w:textAlignment w:val="auto"/>
              <w:rPr>
                <w:rFonts w:hint="default" w:ascii="宋体" w:hAnsi="宋体" w:cs="宋体"/>
                <w:color w:val="000000" w:themeColor="text1"/>
                <w:sz w:val="18"/>
                <w:szCs w:val="18"/>
                <w:lang w:val="en-US" w:eastAsia="zh-CN"/>
                <w14:textFill>
                  <w14:solidFill>
                    <w14:schemeClr w14:val="tx1"/>
                  </w14:solidFill>
                </w14:textFill>
              </w:rPr>
            </w:pPr>
            <w:r>
              <w:rPr>
                <w:rFonts w:hint="eastAsia"/>
                <w:color w:val="000000" w:themeColor="text1"/>
                <w:sz w:val="18"/>
                <w:szCs w:val="18"/>
                <w:lang w:val="en-US" w:eastAsia="zh-CN"/>
                <w14:textFill>
                  <w14:solidFill>
                    <w14:schemeClr w14:val="tx1"/>
                  </w14:solidFill>
                </w14:textFill>
              </w:rPr>
              <w:t>亩</w:t>
            </w:r>
          </w:p>
        </w:tc>
        <w:tc>
          <w:tcPr>
            <w:tcW w:w="1803" w:type="pct"/>
            <w:tcBorders>
              <w:left w:val="single" w:color="auto" w:sz="4" w:space="0"/>
              <w:right w:val="single" w:color="auto" w:sz="4" w:space="0"/>
            </w:tcBorders>
            <w:shd w:val="clear" w:color="auto" w:fill="auto"/>
            <w:noWrap w:val="0"/>
            <w:vAlign w:val="center"/>
          </w:tcPr>
          <w:p w14:paraId="1D8DBEB5">
            <w:pPr>
              <w:keepNext w:val="0"/>
              <w:keepLines w:val="0"/>
              <w:pageBreakBefore w:val="0"/>
              <w:widowControl w:val="0"/>
              <w:suppressLineNumbers w:val="0"/>
              <w:kinsoku/>
              <w:wordWrap/>
              <w:overflowPunct/>
              <w:topLinePunct w:val="0"/>
              <w:autoSpaceDE/>
              <w:autoSpaceDN/>
              <w:bidi w:val="0"/>
              <w:snapToGrid/>
              <w:spacing w:beforeAutospacing="0" w:afterAutospacing="0" w:line="240" w:lineRule="atLeast"/>
              <w:ind w:left="0" w:right="0"/>
              <w:textAlignment w:val="auto"/>
              <w:rPr>
                <w:rFonts w:hint="eastAsia" w:ascii="宋体" w:hAnsi="宋体" w:cs="宋体"/>
                <w:color w:val="000000" w:themeColor="text1"/>
                <w:sz w:val="18"/>
                <w:szCs w:val="18"/>
                <w:lang w:val="en-US" w:eastAsia="zh-CN"/>
                <w14:textFill>
                  <w14:solidFill>
                    <w14:schemeClr w14:val="tx1"/>
                  </w14:solidFill>
                </w14:textFill>
              </w:rPr>
            </w:pPr>
            <w:r>
              <w:rPr>
                <w:rFonts w:hint="eastAsia"/>
                <w:color w:val="000000" w:themeColor="text1"/>
                <w:sz w:val="18"/>
                <w:szCs w:val="18"/>
                <w:highlight w:val="none"/>
                <w:lang w:val="en-US" w:eastAsia="zh-CN"/>
                <w14:textFill>
                  <w14:solidFill>
                    <w14:schemeClr w14:val="tx1"/>
                  </w14:solidFill>
                </w14:textFill>
              </w:rPr>
              <w:t>联合体在建设运营过程中，整合村（社区）范围内闲置或低效利用的各类土地总面积，土地类型涵盖耕地、林地、园地、草地、荒山、城乡住宅、商服用地、工矿仓储用地、集体经营性建设用地等，用于量化联合体对区域闲置及低效土地资源的盘活利用规模。（评分标准：面积＜100亩得60分；100≤面积＜300亩得80分；面积≥300亩得100分）</w:t>
            </w:r>
          </w:p>
        </w:tc>
        <w:tc>
          <w:tcPr>
            <w:tcW w:w="350" w:type="pct"/>
            <w:tcBorders>
              <w:left w:val="single" w:color="auto" w:sz="4" w:space="0"/>
              <w:right w:val="single" w:color="auto" w:sz="4" w:space="0"/>
            </w:tcBorders>
            <w:shd w:val="clear" w:color="auto" w:fill="auto"/>
            <w:noWrap w:val="0"/>
            <w:vAlign w:val="center"/>
          </w:tcPr>
          <w:p w14:paraId="38C4D059">
            <w:pPr>
              <w:keepNext w:val="0"/>
              <w:keepLines w:val="0"/>
              <w:pageBreakBefore w:val="0"/>
              <w:widowControl w:val="0"/>
              <w:suppressLineNumbers w:val="0"/>
              <w:kinsoku/>
              <w:wordWrap/>
              <w:overflowPunct/>
              <w:topLinePunct w:val="0"/>
              <w:autoSpaceDE/>
              <w:autoSpaceDN/>
              <w:bidi w:val="0"/>
              <w:snapToGrid/>
              <w:spacing w:beforeAutospacing="0" w:afterAutospacing="0" w:line="240" w:lineRule="atLeast"/>
              <w:ind w:left="0" w:right="0"/>
              <w:textAlignment w:val="auto"/>
              <w:rPr>
                <w:rFonts w:hint="eastAsia"/>
                <w:color w:val="000000" w:themeColor="text1"/>
                <w:sz w:val="18"/>
                <w:szCs w:val="18"/>
                <w:highlight w:val="none"/>
                <w:lang w:val="en-US" w:eastAsia="zh-CN"/>
                <w14:textFill>
                  <w14:solidFill>
                    <w14:schemeClr w14:val="tx1"/>
                  </w14:solidFill>
                </w14:textFill>
              </w:rPr>
            </w:pPr>
            <w:r>
              <w:rPr>
                <w:rFonts w:hint="eastAsia"/>
                <w:color w:val="000000" w:themeColor="text1"/>
                <w:sz w:val="18"/>
                <w:szCs w:val="18"/>
                <w:highlight w:val="none"/>
                <w:lang w:val="en-US" w:eastAsia="zh-CN"/>
                <w14:textFill>
                  <w14:solidFill>
                    <w14:schemeClr w14:val="tx1"/>
                  </w14:solidFill>
                </w14:textFill>
              </w:rPr>
              <w:t>直接统计汇总值</w:t>
            </w:r>
          </w:p>
        </w:tc>
        <w:tc>
          <w:tcPr>
            <w:tcW w:w="350" w:type="pct"/>
            <w:tcBorders>
              <w:left w:val="single" w:color="auto" w:sz="4" w:space="0"/>
              <w:right w:val="single" w:color="auto" w:sz="4" w:space="0"/>
            </w:tcBorders>
            <w:shd w:val="clear" w:color="auto" w:fill="auto"/>
            <w:noWrap w:val="0"/>
            <w:vAlign w:val="center"/>
          </w:tcPr>
          <w:p w14:paraId="70ADEB96">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tLeast"/>
              <w:ind w:left="0" w:leftChars="0" w:right="0" w:rightChars="0"/>
              <w:jc w:val="center"/>
              <w:textAlignment w:val="auto"/>
              <w:rPr>
                <w:rFonts w:hint="eastAsia" w:ascii="宋体" w:hAnsi="宋体" w:eastAsia="宋体" w:cs="宋体"/>
                <w:color w:val="000000" w:themeColor="text1"/>
                <w:kern w:val="2"/>
                <w:sz w:val="18"/>
                <w:szCs w:val="18"/>
                <w:lang w:val="en-US" w:eastAsia="zh-CN" w:bidi="ar-SA"/>
                <w14:textFill>
                  <w14:solidFill>
                    <w14:schemeClr w14:val="tx1"/>
                  </w14:solidFill>
                </w14:textFill>
              </w:rPr>
            </w:pPr>
            <w:r>
              <w:rPr>
                <w:rFonts w:hint="eastAsia" w:ascii="宋体" w:hAnsi="宋体" w:cs="宋体"/>
                <w:color w:val="000000" w:themeColor="text1"/>
                <w:sz w:val="18"/>
                <w:szCs w:val="18"/>
                <w:lang w:val="en-US" w:eastAsia="zh-CN"/>
                <w14:textFill>
                  <w14:solidFill>
                    <w14:schemeClr w14:val="tx1"/>
                  </w14:solidFill>
                </w14:textFill>
              </w:rPr>
              <w:t>创富工作形成数据</w:t>
            </w:r>
          </w:p>
        </w:tc>
        <w:tc>
          <w:tcPr>
            <w:tcW w:w="377" w:type="pct"/>
            <w:vMerge w:val="continue"/>
            <w:tcBorders>
              <w:left w:val="single" w:color="auto" w:sz="4" w:space="0"/>
              <w:right w:val="single" w:color="auto" w:sz="12" w:space="0"/>
            </w:tcBorders>
            <w:shd w:val="clear" w:color="auto" w:fill="auto"/>
            <w:noWrap w:val="0"/>
            <w:vAlign w:val="center"/>
          </w:tcPr>
          <w:p w14:paraId="1DC7DF36">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tLeast"/>
              <w:ind w:left="0" w:right="0"/>
              <w:jc w:val="center"/>
              <w:textAlignment w:val="auto"/>
              <w:rPr>
                <w:rFonts w:hint="default" w:ascii="宋体" w:hAnsi="宋体" w:eastAsia="宋体" w:cs="宋体"/>
                <w:color w:val="000000"/>
                <w:sz w:val="18"/>
                <w:szCs w:val="18"/>
                <w:highlight w:val="none"/>
                <w:lang w:val="en-US" w:eastAsia="zh-CN"/>
              </w:rPr>
            </w:pPr>
          </w:p>
        </w:tc>
      </w:tr>
      <w:tr w14:paraId="5981F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210" w:type="pct"/>
            <w:tcBorders>
              <w:left w:val="single" w:color="auto" w:sz="12" w:space="0"/>
              <w:bottom w:val="single" w:color="auto" w:sz="12" w:space="0"/>
            </w:tcBorders>
            <w:shd w:val="clear" w:color="auto" w:fill="auto"/>
            <w:noWrap w:val="0"/>
            <w:vAlign w:val="center"/>
          </w:tcPr>
          <w:p w14:paraId="7D8A43CA">
            <w:pPr>
              <w:keepNext w:val="0"/>
              <w:keepLines w:val="0"/>
              <w:pageBreakBefore w:val="0"/>
              <w:widowControl w:val="0"/>
              <w:numPr>
                <w:ilvl w:val="0"/>
                <w:numId w:val="35"/>
              </w:numPr>
              <w:suppressLineNumbers w:val="0"/>
              <w:kinsoku/>
              <w:wordWrap/>
              <w:overflowPunct/>
              <w:topLinePunct w:val="0"/>
              <w:autoSpaceDE/>
              <w:autoSpaceDN/>
              <w:bidi w:val="0"/>
              <w:snapToGrid/>
              <w:spacing w:beforeAutospacing="0" w:afterAutospacing="0" w:line="240" w:lineRule="atLeast"/>
              <w:ind w:right="0"/>
              <w:jc w:val="center"/>
              <w:textAlignment w:val="auto"/>
              <w:outlineLvl w:val="2"/>
              <w:rPr>
                <w:rFonts w:hint="eastAsia" w:ascii="宋体" w:hAnsi="宋体" w:eastAsia="宋体" w:cs="宋体"/>
                <w:color w:val="000000"/>
                <w:sz w:val="18"/>
                <w:szCs w:val="18"/>
                <w:highlight w:val="none"/>
                <w:lang w:val="en-US" w:eastAsia="zh-CN" w:bidi="ar-SA"/>
              </w:rPr>
            </w:pPr>
          </w:p>
        </w:tc>
        <w:tc>
          <w:tcPr>
            <w:tcW w:w="302" w:type="pct"/>
            <w:vMerge w:val="continue"/>
            <w:tcBorders>
              <w:bottom w:val="single" w:color="auto" w:sz="12" w:space="0"/>
            </w:tcBorders>
            <w:shd w:val="clear" w:color="auto" w:fill="auto"/>
            <w:noWrap w:val="0"/>
            <w:vAlign w:val="top"/>
          </w:tcPr>
          <w:p w14:paraId="5A730E62">
            <w:pPr>
              <w:keepNext w:val="0"/>
              <w:keepLines w:val="0"/>
              <w:pageBreakBefore w:val="0"/>
              <w:widowControl w:val="0"/>
              <w:numPr>
                <w:ilvl w:val="0"/>
                <w:numId w:val="0"/>
              </w:numPr>
              <w:suppressLineNumbers w:val="0"/>
              <w:kinsoku/>
              <w:wordWrap/>
              <w:overflowPunct/>
              <w:topLinePunct w:val="0"/>
              <w:autoSpaceDE/>
              <w:autoSpaceDN/>
              <w:bidi w:val="0"/>
              <w:snapToGrid/>
              <w:spacing w:beforeAutospacing="0" w:afterAutospacing="0" w:line="240" w:lineRule="atLeast"/>
              <w:ind w:left="0" w:right="0"/>
              <w:textAlignment w:val="auto"/>
              <w:outlineLvl w:val="2"/>
              <w:rPr>
                <w:rFonts w:hint="eastAsia" w:ascii="宋体" w:hAnsi="宋体" w:eastAsia="宋体" w:cs="宋体"/>
                <w:color w:val="000000"/>
                <w:sz w:val="18"/>
                <w:szCs w:val="18"/>
                <w:highlight w:val="none"/>
                <w:lang w:val="en-US" w:eastAsia="zh-CN" w:bidi="ar-SA"/>
              </w:rPr>
            </w:pPr>
          </w:p>
        </w:tc>
        <w:tc>
          <w:tcPr>
            <w:tcW w:w="302" w:type="pct"/>
            <w:vMerge w:val="continue"/>
            <w:tcBorders>
              <w:bottom w:val="single" w:color="auto" w:sz="12" w:space="0"/>
            </w:tcBorders>
            <w:shd w:val="clear" w:color="auto" w:fill="auto"/>
            <w:noWrap w:val="0"/>
            <w:vAlign w:val="center"/>
          </w:tcPr>
          <w:p w14:paraId="07227982">
            <w:pPr>
              <w:keepNext w:val="0"/>
              <w:keepLines w:val="0"/>
              <w:pageBreakBefore w:val="0"/>
              <w:widowControl w:val="0"/>
              <w:numPr>
                <w:ilvl w:val="0"/>
                <w:numId w:val="0"/>
              </w:numPr>
              <w:suppressLineNumbers w:val="0"/>
              <w:kinsoku/>
              <w:wordWrap/>
              <w:overflowPunct/>
              <w:topLinePunct w:val="0"/>
              <w:autoSpaceDE/>
              <w:autoSpaceDN/>
              <w:bidi w:val="0"/>
              <w:snapToGrid/>
              <w:spacing w:beforeAutospacing="0" w:afterAutospacing="0" w:line="240" w:lineRule="atLeast"/>
              <w:ind w:left="0" w:right="0"/>
              <w:jc w:val="center"/>
              <w:textAlignment w:val="auto"/>
              <w:outlineLvl w:val="2"/>
              <w:rPr>
                <w:rFonts w:hint="eastAsia" w:ascii="宋体" w:hAnsi="宋体" w:cs="宋体"/>
                <w:color w:val="000000"/>
                <w:sz w:val="18"/>
                <w:szCs w:val="18"/>
                <w:highlight w:val="none"/>
                <w:lang w:val="en-US" w:eastAsia="zh-CN" w:bidi="ar-SA"/>
              </w:rPr>
            </w:pPr>
          </w:p>
        </w:tc>
        <w:tc>
          <w:tcPr>
            <w:tcW w:w="456" w:type="pct"/>
            <w:tcBorders>
              <w:bottom w:val="single" w:color="auto" w:sz="12" w:space="0"/>
            </w:tcBorders>
            <w:shd w:val="clear" w:color="auto" w:fill="auto"/>
            <w:noWrap w:val="0"/>
            <w:vAlign w:val="center"/>
          </w:tcPr>
          <w:p w14:paraId="19E5A645">
            <w:pPr>
              <w:keepNext w:val="0"/>
              <w:keepLines w:val="0"/>
              <w:pageBreakBefore w:val="0"/>
              <w:widowControl w:val="0"/>
              <w:numPr>
                <w:ilvl w:val="0"/>
                <w:numId w:val="0"/>
              </w:numPr>
              <w:suppressLineNumbers w:val="0"/>
              <w:kinsoku/>
              <w:wordWrap/>
              <w:overflowPunct/>
              <w:topLinePunct w:val="0"/>
              <w:autoSpaceDE/>
              <w:autoSpaceDN/>
              <w:bidi w:val="0"/>
              <w:snapToGrid/>
              <w:spacing w:beforeAutospacing="0" w:afterAutospacing="0" w:line="240" w:lineRule="atLeast"/>
              <w:ind w:left="0" w:leftChars="0" w:right="0" w:rightChars="0" w:firstLine="0" w:firstLineChars="0"/>
              <w:jc w:val="center"/>
              <w:textAlignment w:val="auto"/>
              <w:outlineLvl w:val="2"/>
              <w:rPr>
                <w:rFonts w:hint="eastAsia" w:ascii="宋体" w:hAnsi="宋体" w:cs="宋体"/>
                <w:color w:val="000000" w:themeColor="text1"/>
                <w:sz w:val="18"/>
                <w:szCs w:val="18"/>
                <w:highlight w:val="none"/>
                <w:lang w:val="en-US" w:eastAsia="zh-CN" w:bidi="ar-SA"/>
                <w14:textFill>
                  <w14:solidFill>
                    <w14:schemeClr w14:val="tx1"/>
                  </w14:solidFill>
                </w14:textFill>
              </w:rPr>
            </w:pPr>
            <w:r>
              <w:rPr>
                <w:rFonts w:hint="eastAsia" w:ascii="宋体" w:hAnsi="宋体" w:cs="宋体"/>
                <w:color w:val="000000" w:themeColor="text1"/>
                <w:sz w:val="18"/>
                <w:szCs w:val="18"/>
                <w:highlight w:val="none"/>
                <w:lang w:val="en-US" w:eastAsia="zh-CN" w:bidi="ar-SA"/>
                <w14:textFill>
                  <w14:solidFill>
                    <w14:schemeClr w14:val="tx1"/>
                  </w14:solidFill>
                </w14:textFill>
              </w:rPr>
              <w:t>业态融合（0.3）</w:t>
            </w:r>
          </w:p>
        </w:tc>
        <w:tc>
          <w:tcPr>
            <w:tcW w:w="617" w:type="pct"/>
            <w:tcBorders>
              <w:bottom w:val="single" w:color="auto" w:sz="12" w:space="0"/>
              <w:right w:val="single" w:color="auto" w:sz="4" w:space="0"/>
            </w:tcBorders>
            <w:shd w:val="clear" w:color="auto" w:fill="auto"/>
            <w:noWrap w:val="0"/>
            <w:vAlign w:val="center"/>
          </w:tcPr>
          <w:p w14:paraId="2E064269">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tLeast"/>
              <w:ind w:left="0" w:leftChars="0" w:right="0" w:rightChars="0"/>
              <w:textAlignment w:val="auto"/>
              <w:rPr>
                <w:rFonts w:hint="eastAsia" w:ascii="宋体" w:hAnsi="宋体" w:cs="宋体"/>
                <w:color w:val="000000" w:themeColor="text1"/>
                <w:sz w:val="18"/>
                <w:szCs w:val="18"/>
                <w:highlight w:val="none"/>
                <w14:textFill>
                  <w14:solidFill>
                    <w14:schemeClr w14:val="tx1"/>
                  </w14:solidFill>
                </w14:textFill>
              </w:rPr>
            </w:pPr>
            <w:r>
              <w:rPr>
                <w:rFonts w:hint="eastAsia" w:ascii="宋体" w:hAnsi="宋体" w:cs="宋体"/>
                <w:color w:val="000000" w:themeColor="text1"/>
                <w:sz w:val="18"/>
                <w:szCs w:val="18"/>
                <w:highlight w:val="none"/>
                <w14:textFill>
                  <w14:solidFill>
                    <w14:schemeClr w14:val="tx1"/>
                  </w14:solidFill>
                </w14:textFill>
              </w:rPr>
              <w:t>“康养+”特色业态</w:t>
            </w:r>
          </w:p>
          <w:p w14:paraId="55292858">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tLeast"/>
              <w:ind w:left="0" w:leftChars="0" w:right="0" w:rightChars="0"/>
              <w:textAlignment w:val="auto"/>
              <w:rPr>
                <w:rFonts w:hint="eastAsia" w:ascii="宋体" w:hAnsi="宋体" w:cs="宋体"/>
                <w:color w:val="000000" w:themeColor="text1"/>
                <w:sz w:val="18"/>
                <w:szCs w:val="18"/>
                <w:highlight w:val="none"/>
                <w:lang w:val="en-US" w:eastAsia="zh-CN"/>
                <w14:textFill>
                  <w14:solidFill>
                    <w14:schemeClr w14:val="tx1"/>
                  </w14:solidFill>
                </w14:textFill>
              </w:rPr>
            </w:pPr>
            <w:r>
              <w:rPr>
                <w:rFonts w:hint="eastAsia" w:ascii="宋体" w:hAnsi="宋体" w:cs="宋体"/>
                <w:color w:val="000000" w:themeColor="text1"/>
                <w:sz w:val="18"/>
                <w:szCs w:val="18"/>
                <w:highlight w:val="none"/>
                <w14:textFill>
                  <w14:solidFill>
                    <w14:schemeClr w14:val="tx1"/>
                  </w14:solidFill>
                </w14:textFill>
              </w:rPr>
              <w:t>数量（评分制）</w:t>
            </w:r>
          </w:p>
        </w:tc>
        <w:tc>
          <w:tcPr>
            <w:tcW w:w="231" w:type="pct"/>
            <w:tcBorders>
              <w:left w:val="single" w:color="auto" w:sz="4" w:space="0"/>
              <w:bottom w:val="single" w:color="auto" w:sz="12" w:space="0"/>
              <w:right w:val="single" w:color="auto" w:sz="4" w:space="0"/>
            </w:tcBorders>
            <w:shd w:val="clear" w:color="auto" w:fill="auto"/>
            <w:noWrap w:val="0"/>
            <w:vAlign w:val="center"/>
          </w:tcPr>
          <w:p w14:paraId="68BA8AAA">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tLeast"/>
              <w:ind w:left="0" w:leftChars="0" w:right="0" w:rightChars="0"/>
              <w:jc w:val="center"/>
              <w:textAlignment w:val="auto"/>
              <w:rPr>
                <w:rFonts w:hint="eastAsia" w:ascii="宋体" w:hAnsi="宋体" w:cs="宋体"/>
                <w:color w:val="000000" w:themeColor="text1"/>
                <w:sz w:val="18"/>
                <w:szCs w:val="18"/>
                <w:lang w:val="en-US" w:eastAsia="zh-CN"/>
                <w14:textFill>
                  <w14:solidFill>
                    <w14:schemeClr w14:val="tx1"/>
                  </w14:solidFill>
                </w14:textFill>
              </w:rPr>
            </w:pPr>
            <w:r>
              <w:rPr>
                <w:rFonts w:hint="eastAsia" w:ascii="宋体" w:hAnsi="宋体" w:cs="宋体"/>
                <w:color w:val="000000" w:themeColor="text1"/>
                <w:sz w:val="18"/>
                <w:szCs w:val="18"/>
                <w:lang w:val="en-US" w:eastAsia="zh-CN"/>
                <w14:textFill>
                  <w14:solidFill>
                    <w14:schemeClr w14:val="tx1"/>
                  </w14:solidFill>
                </w14:textFill>
              </w:rPr>
              <w:t>个</w:t>
            </w:r>
          </w:p>
        </w:tc>
        <w:tc>
          <w:tcPr>
            <w:tcW w:w="1803" w:type="pct"/>
            <w:tcBorders>
              <w:left w:val="single" w:color="auto" w:sz="4" w:space="0"/>
              <w:bottom w:val="single" w:color="auto" w:sz="12" w:space="0"/>
              <w:right w:val="single" w:color="auto" w:sz="4" w:space="0"/>
            </w:tcBorders>
            <w:shd w:val="clear" w:color="auto" w:fill="auto"/>
            <w:noWrap w:val="0"/>
            <w:vAlign w:val="center"/>
          </w:tcPr>
          <w:p w14:paraId="2E0BEF5A">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tLeast"/>
              <w:ind w:left="0" w:leftChars="0" w:right="0" w:rightChars="0"/>
              <w:textAlignment w:val="auto"/>
              <w:rPr>
                <w:rFonts w:hint="eastAsia" w:ascii="宋体" w:hAnsi="宋体" w:cs="宋体"/>
                <w:color w:val="000000" w:themeColor="text1"/>
                <w:sz w:val="18"/>
                <w:szCs w:val="18"/>
                <w:lang w:val="en-US" w:eastAsia="zh-CN"/>
                <w14:textFill>
                  <w14:solidFill>
                    <w14:schemeClr w14:val="tx1"/>
                  </w14:solidFill>
                </w14:textFill>
              </w:rPr>
            </w:pPr>
            <w:r>
              <w:rPr>
                <w:rFonts w:hint="eastAsia" w:ascii="宋体" w:hAnsi="宋体" w:cs="宋体"/>
                <w:color w:val="000000" w:themeColor="text1"/>
                <w:sz w:val="18"/>
                <w:szCs w:val="18"/>
                <w:lang w:val="en-US" w:eastAsia="zh-CN"/>
                <w14:textFill>
                  <w14:solidFill>
                    <w14:schemeClr w14:val="tx1"/>
                  </w14:solidFill>
                </w14:textFill>
              </w:rPr>
              <w:t>康养创富联合体内开展的康养民宿、养生餐饮、研学旅游等特色业态的数量，反映产业融合和创新发展的深度。（评分标准： 0～3个得60分； 4～7个得80分 8个及以上得100分）</w:t>
            </w:r>
          </w:p>
        </w:tc>
        <w:tc>
          <w:tcPr>
            <w:tcW w:w="350" w:type="pct"/>
            <w:tcBorders>
              <w:left w:val="single" w:color="auto" w:sz="4" w:space="0"/>
              <w:bottom w:val="single" w:color="auto" w:sz="12" w:space="0"/>
              <w:right w:val="single" w:color="auto" w:sz="4" w:space="0"/>
            </w:tcBorders>
            <w:shd w:val="clear" w:color="auto" w:fill="auto"/>
            <w:noWrap w:val="0"/>
            <w:vAlign w:val="center"/>
          </w:tcPr>
          <w:p w14:paraId="77278DED">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tLeast"/>
              <w:ind w:left="0" w:leftChars="0" w:right="0" w:rightChars="0"/>
              <w:textAlignment w:val="auto"/>
              <w:rPr>
                <w:rFonts w:hint="default" w:ascii="宋体" w:hAnsi="宋体" w:cs="宋体"/>
                <w:color w:val="000000" w:themeColor="text1"/>
                <w:sz w:val="18"/>
                <w:szCs w:val="18"/>
                <w:lang w:val="en-US" w:eastAsia="zh-CN"/>
                <w14:textFill>
                  <w14:solidFill>
                    <w14:schemeClr w14:val="tx1"/>
                  </w14:solidFill>
                </w14:textFill>
              </w:rPr>
            </w:pPr>
            <w:r>
              <w:rPr>
                <w:rFonts w:hint="eastAsia" w:ascii="宋体" w:hAnsi="宋体" w:cs="宋体"/>
                <w:color w:val="000000" w:themeColor="text1"/>
                <w:sz w:val="18"/>
                <w:szCs w:val="18"/>
                <w:lang w:val="en-US" w:eastAsia="zh-CN"/>
                <w14:textFill>
                  <w14:solidFill>
                    <w14:schemeClr w14:val="tx1"/>
                  </w14:solidFill>
                </w14:textFill>
              </w:rPr>
              <w:t>直接计数（按附录 A业态分类直接计数）后按评分标准转换</w:t>
            </w:r>
          </w:p>
        </w:tc>
        <w:tc>
          <w:tcPr>
            <w:tcW w:w="350" w:type="pct"/>
            <w:tcBorders>
              <w:left w:val="single" w:color="auto" w:sz="4" w:space="0"/>
              <w:bottom w:val="single" w:color="auto" w:sz="12" w:space="0"/>
              <w:right w:val="single" w:color="auto" w:sz="4" w:space="0"/>
            </w:tcBorders>
            <w:shd w:val="clear" w:color="auto" w:fill="auto"/>
            <w:noWrap w:val="0"/>
            <w:vAlign w:val="center"/>
          </w:tcPr>
          <w:p w14:paraId="328FE208">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tLeast"/>
              <w:ind w:left="0" w:leftChars="0" w:right="0" w:rightChars="0"/>
              <w:jc w:val="center"/>
              <w:textAlignment w:val="auto"/>
              <w:rPr>
                <w:rFonts w:hint="eastAsia" w:ascii="宋体" w:hAnsi="宋体" w:eastAsia="宋体" w:cs="宋体"/>
                <w:color w:val="000000" w:themeColor="text1"/>
                <w:kern w:val="2"/>
                <w:sz w:val="18"/>
                <w:szCs w:val="18"/>
                <w:lang w:val="en-US" w:eastAsia="zh-CN" w:bidi="ar-SA"/>
                <w14:textFill>
                  <w14:solidFill>
                    <w14:schemeClr w14:val="tx1"/>
                  </w14:solidFill>
                </w14:textFill>
              </w:rPr>
            </w:pPr>
            <w:r>
              <w:rPr>
                <w:rFonts w:hint="eastAsia" w:ascii="宋体" w:hAnsi="宋体" w:cs="宋体"/>
                <w:color w:val="000000" w:themeColor="text1"/>
                <w:sz w:val="18"/>
                <w:szCs w:val="18"/>
                <w:lang w:val="en-US" w:eastAsia="zh-CN"/>
                <w14:textFill>
                  <w14:solidFill>
                    <w14:schemeClr w14:val="tx1"/>
                  </w14:solidFill>
                </w14:textFill>
              </w:rPr>
              <w:t>创富工作形成数据</w:t>
            </w:r>
          </w:p>
        </w:tc>
        <w:tc>
          <w:tcPr>
            <w:tcW w:w="377" w:type="pct"/>
            <w:tcBorders>
              <w:left w:val="single" w:color="auto" w:sz="4" w:space="0"/>
              <w:bottom w:val="single" w:color="auto" w:sz="12" w:space="0"/>
              <w:right w:val="single" w:color="auto" w:sz="12" w:space="0"/>
            </w:tcBorders>
            <w:shd w:val="clear" w:color="auto" w:fill="auto"/>
            <w:noWrap w:val="0"/>
            <w:vAlign w:val="center"/>
          </w:tcPr>
          <w:p w14:paraId="1392CB3C">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tLeast"/>
              <w:ind w:left="0" w:right="0"/>
              <w:jc w:val="center"/>
              <w:textAlignment w:val="auto"/>
              <w:rPr>
                <w:rFonts w:hint="default" w:ascii="宋体" w:hAnsi="宋体" w:eastAsia="宋体" w:cs="宋体"/>
                <w:color w:val="000000"/>
                <w:sz w:val="18"/>
                <w:szCs w:val="18"/>
                <w:highlight w:val="none"/>
                <w:lang w:val="en-US" w:eastAsia="zh-CN"/>
              </w:rPr>
            </w:pPr>
            <w:r>
              <w:rPr>
                <w:rFonts w:hint="default" w:ascii="宋体" w:hAnsi="宋体" w:eastAsia="宋体" w:cs="宋体"/>
                <w:color w:val="000000"/>
                <w:sz w:val="18"/>
                <w:szCs w:val="18"/>
                <w:highlight w:val="none"/>
                <w:lang w:val="en-US" w:eastAsia="zh-CN"/>
              </w:rPr>
              <w:t>每</w:t>
            </w:r>
            <w:r>
              <w:rPr>
                <w:rFonts w:hint="eastAsia" w:ascii="宋体" w:hAnsi="宋体" w:cs="宋体"/>
                <w:color w:val="000000"/>
                <w:sz w:val="18"/>
                <w:szCs w:val="18"/>
                <w:highlight w:val="none"/>
                <w:lang w:val="en-US" w:eastAsia="zh-CN"/>
              </w:rPr>
              <w:t>季度</w:t>
            </w:r>
          </w:p>
          <w:p w14:paraId="01727AF5">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tLeast"/>
              <w:ind w:left="0" w:right="0"/>
              <w:jc w:val="center"/>
              <w:textAlignment w:val="auto"/>
              <w:rPr>
                <w:rFonts w:hint="default" w:ascii="宋体" w:hAnsi="宋体" w:eastAsia="宋体" w:cs="宋体"/>
                <w:color w:val="000000"/>
                <w:sz w:val="18"/>
                <w:szCs w:val="18"/>
                <w:highlight w:val="none"/>
                <w:lang w:val="en-US" w:eastAsia="zh-CN"/>
              </w:rPr>
            </w:pPr>
            <w:r>
              <w:rPr>
                <w:rFonts w:hint="default" w:ascii="宋体" w:hAnsi="宋体" w:eastAsia="宋体" w:cs="宋体"/>
                <w:color w:val="000000"/>
                <w:sz w:val="18"/>
                <w:szCs w:val="18"/>
                <w:highlight w:val="none"/>
                <w:lang w:val="en-US" w:eastAsia="zh-CN"/>
              </w:rPr>
              <w:t>1次</w:t>
            </w:r>
          </w:p>
        </w:tc>
      </w:tr>
    </w:tbl>
    <w:p w14:paraId="72F1831C"/>
    <w:p w14:paraId="5F2E8AAF">
      <w:pPr>
        <w:rPr>
          <w:rFonts w:hint="eastAsia" w:ascii="黑体" w:hAnsi="黑体" w:eastAsia="黑体"/>
          <w:szCs w:val="21"/>
        </w:rPr>
      </w:pPr>
      <w:r>
        <w:rPr>
          <w:rFonts w:hint="eastAsia" w:ascii="黑体" w:hAnsi="黑体" w:eastAsia="黑体"/>
          <w:szCs w:val="21"/>
        </w:rPr>
        <w:br w:type="page"/>
      </w:r>
    </w:p>
    <w:p w14:paraId="710E352F">
      <w:pPr>
        <w:keepNext w:val="0"/>
        <w:keepLines w:val="0"/>
        <w:pageBreakBefore w:val="0"/>
        <w:widowControl w:val="0"/>
        <w:kinsoku/>
        <w:wordWrap/>
        <w:overflowPunct/>
        <w:topLinePunct w:val="0"/>
        <w:autoSpaceDE/>
        <w:autoSpaceDN/>
        <w:bidi w:val="0"/>
        <w:adjustRightInd w:val="0"/>
        <w:snapToGrid/>
        <w:spacing w:before="156" w:beforeLines="50" w:after="156" w:afterLines="50" w:line="240" w:lineRule="auto"/>
        <w:jc w:val="center"/>
        <w:textAlignment w:val="auto"/>
        <w:rPr>
          <w:rFonts w:hint="eastAsia" w:ascii="宋体" w:hAnsi="宋体" w:eastAsia="宋体" w:cs="宋体"/>
          <w:szCs w:val="21"/>
          <w:lang w:eastAsia="zh-CN"/>
        </w:rPr>
      </w:pPr>
      <w:r>
        <w:rPr>
          <w:rFonts w:hint="eastAsia" w:ascii="黑体" w:hAnsi="黑体" w:eastAsia="黑体"/>
          <w:szCs w:val="21"/>
        </w:rPr>
        <w:t xml:space="preserve"> 表1 康养创富联合体统计监测指标体系内容</w:t>
      </w:r>
      <w:r>
        <w:rPr>
          <w:rFonts w:hint="eastAsia" w:ascii="宋体" w:hAnsi="宋体" w:eastAsia="宋体" w:cs="宋体"/>
          <w:szCs w:val="21"/>
          <w:lang w:eastAsia="zh-CN"/>
        </w:rPr>
        <w:t>（</w:t>
      </w:r>
      <w:r>
        <w:rPr>
          <w:rFonts w:hint="eastAsia" w:ascii="宋体" w:hAnsi="宋体" w:eastAsia="宋体" w:cs="宋体"/>
          <w:szCs w:val="21"/>
          <w:lang w:val="en-US" w:eastAsia="zh-CN"/>
        </w:rPr>
        <w:t>续</w:t>
      </w:r>
      <w:r>
        <w:rPr>
          <w:rFonts w:hint="eastAsia" w:ascii="宋体" w:hAnsi="宋体" w:eastAsia="宋体" w:cs="宋体"/>
          <w:szCs w:val="21"/>
          <w:lang w:eastAsia="zh-CN"/>
        </w:rPr>
        <w:t>）</w:t>
      </w:r>
    </w:p>
    <w:tbl>
      <w:tblPr>
        <w:tblStyle w:val="31"/>
        <w:tblW w:w="4998" w:type="pct"/>
        <w:tblInd w:w="0" w:type="dxa"/>
        <w:tblBorders>
          <w:top w:val="single" w:color="auto" w:sz="4" w:space="0"/>
          <w:left w:val="single" w:color="auto" w:sz="4" w:space="0"/>
          <w:bottom w:val="single" w:color="auto" w:sz="12"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0"/>
        <w:gridCol w:w="868"/>
        <w:gridCol w:w="934"/>
        <w:gridCol w:w="1380"/>
        <w:gridCol w:w="1857"/>
        <w:gridCol w:w="711"/>
        <w:gridCol w:w="5343"/>
        <w:gridCol w:w="1100"/>
        <w:gridCol w:w="1100"/>
        <w:gridCol w:w="1140"/>
      </w:tblGrid>
      <w:tr w14:paraId="50D9054E">
        <w:tblPrEx>
          <w:tblBorders>
            <w:top w:val="single" w:color="auto" w:sz="4" w:space="0"/>
            <w:left w:val="single" w:color="auto" w:sz="4" w:space="0"/>
            <w:bottom w:val="single" w:color="auto" w:sz="12"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9" w:type="pct"/>
            <w:vMerge w:val="restart"/>
            <w:tcBorders>
              <w:top w:val="single" w:color="auto" w:sz="12" w:space="0"/>
              <w:left w:val="single" w:color="auto" w:sz="12" w:space="0"/>
              <w:bottom w:val="single" w:color="auto" w:sz="12" w:space="0"/>
            </w:tcBorders>
            <w:shd w:val="clear" w:color="auto" w:fill="auto"/>
            <w:noWrap w:val="0"/>
            <w:vAlign w:val="center"/>
          </w:tcPr>
          <w:p w14:paraId="7079AF65">
            <w:pPr>
              <w:keepNext w:val="0"/>
              <w:keepLines w:val="0"/>
              <w:pageBreakBefore w:val="0"/>
              <w:widowControl w:val="0"/>
              <w:numPr>
                <w:ilvl w:val="0"/>
                <w:numId w:val="0"/>
              </w:numPr>
              <w:suppressLineNumbers w:val="0"/>
              <w:tabs>
                <w:tab w:val="left" w:pos="0"/>
              </w:tabs>
              <w:kinsoku/>
              <w:wordWrap/>
              <w:overflowPunct/>
              <w:topLinePunct w:val="0"/>
              <w:autoSpaceDE/>
              <w:autoSpaceDN/>
              <w:bidi w:val="0"/>
              <w:snapToGrid/>
              <w:spacing w:beforeAutospacing="0" w:afterAutospacing="0" w:line="240" w:lineRule="atLeast"/>
              <w:ind w:left="0" w:leftChars="0" w:right="0" w:rightChars="0"/>
              <w:jc w:val="center"/>
              <w:textAlignment w:val="auto"/>
              <w:outlineLvl w:val="2"/>
              <w:rPr>
                <w:rFonts w:hint="default" w:ascii="宋体" w:hAnsi="宋体" w:eastAsia="宋体" w:cs="宋体"/>
                <w:color w:val="000000"/>
                <w:sz w:val="18"/>
                <w:szCs w:val="18"/>
                <w:highlight w:val="none"/>
                <w:lang w:val="en-US" w:eastAsia="zh-CN" w:bidi="ar-SA"/>
              </w:rPr>
            </w:pPr>
            <w:r>
              <w:rPr>
                <w:rFonts w:hint="eastAsia" w:ascii="宋体" w:hAnsi="宋体" w:cs="宋体"/>
                <w:color w:val="000000"/>
                <w:sz w:val="18"/>
                <w:szCs w:val="18"/>
                <w:highlight w:val="none"/>
                <w:lang w:val="en-US" w:eastAsia="zh-CN" w:bidi="ar-SA"/>
              </w:rPr>
              <w:t>序号</w:t>
            </w:r>
          </w:p>
        </w:tc>
        <w:tc>
          <w:tcPr>
            <w:tcW w:w="1672" w:type="pct"/>
            <w:gridSpan w:val="4"/>
            <w:tcBorders>
              <w:top w:val="single" w:color="auto" w:sz="12" w:space="0"/>
              <w:bottom w:val="single" w:color="auto" w:sz="4" w:space="0"/>
              <w:right w:val="single" w:color="auto" w:sz="4" w:space="0"/>
            </w:tcBorders>
            <w:shd w:val="clear" w:color="auto" w:fill="auto"/>
            <w:noWrap w:val="0"/>
            <w:vAlign w:val="top"/>
          </w:tcPr>
          <w:p w14:paraId="13F4936F">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tLeast"/>
              <w:ind w:left="0" w:right="0"/>
              <w:jc w:val="center"/>
              <w:textAlignment w:val="auto"/>
              <w:rPr>
                <w:rFonts w:hint="eastAsia" w:ascii="宋体" w:hAnsi="宋体" w:cs="宋体"/>
                <w:color w:val="000000" w:themeColor="text1"/>
                <w:sz w:val="18"/>
                <w:szCs w:val="18"/>
                <w:highlight w:val="none"/>
                <w:lang w:val="en-US" w:eastAsia="zh-CN"/>
                <w14:textFill>
                  <w14:solidFill>
                    <w14:schemeClr w14:val="tx1"/>
                  </w14:solidFill>
                </w14:textFill>
              </w:rPr>
            </w:pPr>
            <w:r>
              <w:rPr>
                <w:rFonts w:hint="eastAsia" w:ascii="宋体" w:hAnsi="宋体" w:cs="宋体"/>
                <w:color w:val="000000" w:themeColor="text1"/>
                <w:sz w:val="18"/>
                <w:szCs w:val="18"/>
                <w:highlight w:val="none"/>
                <w:lang w:val="en-US" w:eastAsia="zh-CN"/>
                <w14:textFill>
                  <w14:solidFill>
                    <w14:schemeClr w14:val="tx1"/>
                  </w14:solidFill>
                </w14:textFill>
              </w:rPr>
              <w:t>指标名称</w:t>
            </w:r>
          </w:p>
        </w:tc>
        <w:tc>
          <w:tcPr>
            <w:tcW w:w="236" w:type="pct"/>
            <w:vMerge w:val="restart"/>
            <w:tcBorders>
              <w:top w:val="single" w:color="auto" w:sz="12" w:space="0"/>
              <w:left w:val="single" w:color="auto" w:sz="4" w:space="0"/>
              <w:bottom w:val="nil"/>
              <w:right w:val="single" w:color="auto" w:sz="4" w:space="0"/>
            </w:tcBorders>
            <w:shd w:val="clear" w:color="auto" w:fill="auto"/>
            <w:noWrap w:val="0"/>
            <w:vAlign w:val="center"/>
          </w:tcPr>
          <w:p w14:paraId="476896BF">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tLeast"/>
              <w:ind w:left="0" w:leftChars="0" w:right="0" w:rightChars="0"/>
              <w:jc w:val="center"/>
              <w:textAlignment w:val="auto"/>
              <w:rPr>
                <w:rFonts w:hint="eastAsia" w:ascii="宋体" w:hAnsi="宋体" w:cs="宋体"/>
                <w:color w:val="000000" w:themeColor="text1"/>
                <w:sz w:val="18"/>
                <w:szCs w:val="18"/>
                <w:lang w:val="en-US" w:eastAsia="zh-CN"/>
                <w14:textFill>
                  <w14:solidFill>
                    <w14:schemeClr w14:val="tx1"/>
                  </w14:solidFill>
                </w14:textFill>
              </w:rPr>
            </w:pPr>
            <w:r>
              <w:rPr>
                <w:rFonts w:hint="eastAsia" w:ascii="宋体" w:hAnsi="宋体" w:cs="宋体"/>
                <w:color w:val="000000" w:themeColor="text1"/>
                <w:sz w:val="18"/>
                <w:szCs w:val="18"/>
                <w:lang w:val="en-US" w:eastAsia="zh-CN"/>
                <w14:textFill>
                  <w14:solidFill>
                    <w14:schemeClr w14:val="tx1"/>
                  </w14:solidFill>
                </w14:textFill>
              </w:rPr>
              <w:t>计量</w:t>
            </w:r>
          </w:p>
          <w:p w14:paraId="06C83A99">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tLeast"/>
              <w:ind w:left="0" w:leftChars="0" w:right="0" w:rightChars="0"/>
              <w:jc w:val="center"/>
              <w:textAlignment w:val="auto"/>
              <w:rPr>
                <w:rFonts w:hint="eastAsia" w:ascii="宋体" w:hAnsi="宋体" w:eastAsia="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lang w:val="en-US" w:eastAsia="zh-CN"/>
                <w14:textFill>
                  <w14:solidFill>
                    <w14:schemeClr w14:val="tx1"/>
                  </w14:solidFill>
                </w14:textFill>
              </w:rPr>
              <w:t>单位</w:t>
            </w:r>
          </w:p>
        </w:tc>
        <w:tc>
          <w:tcPr>
            <w:tcW w:w="1773" w:type="pct"/>
            <w:vMerge w:val="restart"/>
            <w:tcBorders>
              <w:top w:val="single" w:color="auto" w:sz="12" w:space="0"/>
              <w:left w:val="single" w:color="auto" w:sz="4" w:space="0"/>
              <w:bottom w:val="nil"/>
              <w:right w:val="single" w:color="auto" w:sz="4" w:space="0"/>
            </w:tcBorders>
            <w:shd w:val="clear" w:color="auto" w:fill="auto"/>
            <w:noWrap w:val="0"/>
            <w:vAlign w:val="center"/>
          </w:tcPr>
          <w:p w14:paraId="0C45D215">
            <w:pPr>
              <w:keepNext w:val="0"/>
              <w:keepLines w:val="0"/>
              <w:pageBreakBefore w:val="0"/>
              <w:widowControl w:val="0"/>
              <w:numPr>
                <w:ilvl w:val="0"/>
                <w:numId w:val="0"/>
              </w:numPr>
              <w:suppressLineNumbers w:val="0"/>
              <w:kinsoku/>
              <w:wordWrap/>
              <w:overflowPunct/>
              <w:topLinePunct w:val="0"/>
              <w:autoSpaceDE/>
              <w:autoSpaceDN/>
              <w:bidi w:val="0"/>
              <w:snapToGrid/>
              <w:spacing w:beforeAutospacing="0" w:afterAutospacing="0" w:line="240" w:lineRule="atLeast"/>
              <w:ind w:left="0" w:leftChars="0" w:right="0" w:rightChars="0" w:firstLine="0" w:firstLineChars="0"/>
              <w:jc w:val="center"/>
              <w:textAlignment w:val="auto"/>
              <w:outlineLvl w:val="2"/>
              <w:rPr>
                <w:rFonts w:hint="eastAsia" w:ascii="宋体" w:hAnsi="宋体" w:eastAsia="宋体" w:cs="宋体"/>
                <w:color w:val="000000" w:themeColor="text1"/>
                <w:sz w:val="18"/>
                <w:szCs w:val="18"/>
                <w:lang w:val="en-US" w:eastAsia="zh-CN"/>
                <w14:textFill>
                  <w14:solidFill>
                    <w14:schemeClr w14:val="tx1"/>
                  </w14:solidFill>
                </w14:textFill>
              </w:rPr>
            </w:pPr>
            <w:r>
              <w:rPr>
                <w:rFonts w:hint="eastAsia" w:ascii="宋体" w:hAnsi="宋体" w:eastAsia="宋体" w:cs="宋体"/>
                <w:color w:val="000000"/>
                <w:sz w:val="18"/>
                <w:szCs w:val="18"/>
                <w:highlight w:val="none"/>
                <w:lang w:val="en-US" w:eastAsia="zh-CN" w:bidi="ar-SA"/>
              </w:rPr>
              <w:t>指</w:t>
            </w:r>
            <w:r>
              <w:rPr>
                <w:rFonts w:hint="eastAsia" w:ascii="宋体" w:hAnsi="宋体" w:cs="宋体"/>
                <w:color w:val="000000"/>
                <w:sz w:val="18"/>
                <w:szCs w:val="18"/>
                <w:highlight w:val="none"/>
                <w:lang w:val="en-US" w:eastAsia="zh-CN" w:bidi="ar-SA"/>
              </w:rPr>
              <w:t>标</w:t>
            </w:r>
            <w:r>
              <w:rPr>
                <w:rFonts w:hint="eastAsia" w:ascii="宋体" w:hAnsi="宋体" w:eastAsia="宋体" w:cs="宋体"/>
                <w:color w:val="000000"/>
                <w:sz w:val="18"/>
                <w:szCs w:val="18"/>
                <w:highlight w:val="none"/>
                <w:lang w:val="en-US" w:eastAsia="zh-CN" w:bidi="ar-SA"/>
              </w:rPr>
              <w:t>释义</w:t>
            </w:r>
          </w:p>
        </w:tc>
        <w:tc>
          <w:tcPr>
            <w:tcW w:w="365" w:type="pct"/>
            <w:vMerge w:val="restart"/>
            <w:tcBorders>
              <w:top w:val="single" w:color="auto" w:sz="12" w:space="0"/>
              <w:left w:val="single" w:color="auto" w:sz="4" w:space="0"/>
              <w:right w:val="single" w:color="auto" w:sz="4" w:space="0"/>
            </w:tcBorders>
            <w:shd w:val="clear" w:color="auto" w:fill="auto"/>
            <w:noWrap w:val="0"/>
            <w:vAlign w:val="center"/>
          </w:tcPr>
          <w:p w14:paraId="1AB73739">
            <w:pPr>
              <w:keepNext w:val="0"/>
              <w:keepLines w:val="0"/>
              <w:pageBreakBefore w:val="0"/>
              <w:widowControl w:val="0"/>
              <w:numPr>
                <w:ilvl w:val="0"/>
                <w:numId w:val="0"/>
              </w:numPr>
              <w:suppressLineNumbers w:val="0"/>
              <w:kinsoku/>
              <w:wordWrap/>
              <w:overflowPunct/>
              <w:topLinePunct w:val="0"/>
              <w:autoSpaceDE/>
              <w:autoSpaceDN/>
              <w:bidi w:val="0"/>
              <w:snapToGrid/>
              <w:spacing w:beforeAutospacing="0" w:afterAutospacing="0" w:line="240" w:lineRule="atLeast"/>
              <w:ind w:left="0" w:leftChars="0" w:right="0" w:rightChars="0" w:firstLine="0" w:firstLineChars="0"/>
              <w:jc w:val="center"/>
              <w:textAlignment w:val="auto"/>
              <w:outlineLvl w:val="2"/>
              <w:rPr>
                <w:rFonts w:hint="default" w:ascii="宋体" w:hAnsi="宋体" w:eastAsia="宋体" w:cs="宋体"/>
                <w:color w:val="000000"/>
                <w:sz w:val="18"/>
                <w:szCs w:val="18"/>
                <w:highlight w:val="none"/>
                <w:lang w:val="en-US" w:eastAsia="zh-CN" w:bidi="ar-SA"/>
              </w:rPr>
            </w:pPr>
            <w:r>
              <w:rPr>
                <w:rFonts w:hint="eastAsia" w:ascii="宋体" w:hAnsi="宋体" w:cs="宋体"/>
                <w:color w:val="000000"/>
                <w:sz w:val="18"/>
                <w:szCs w:val="18"/>
                <w:highlight w:val="none"/>
                <w:lang w:val="en-US" w:eastAsia="zh-CN" w:bidi="ar-SA"/>
              </w:rPr>
              <w:t>计算方式</w:t>
            </w:r>
          </w:p>
        </w:tc>
        <w:tc>
          <w:tcPr>
            <w:tcW w:w="365" w:type="pct"/>
            <w:vMerge w:val="restart"/>
            <w:tcBorders>
              <w:top w:val="single" w:color="auto" w:sz="12" w:space="0"/>
              <w:left w:val="single" w:color="auto" w:sz="4" w:space="0"/>
              <w:bottom w:val="nil"/>
              <w:right w:val="single" w:color="auto" w:sz="4" w:space="0"/>
            </w:tcBorders>
            <w:shd w:val="clear" w:color="auto" w:fill="auto"/>
            <w:noWrap w:val="0"/>
            <w:vAlign w:val="center"/>
          </w:tcPr>
          <w:p w14:paraId="5DE131DE">
            <w:pPr>
              <w:keepNext w:val="0"/>
              <w:keepLines w:val="0"/>
              <w:pageBreakBefore w:val="0"/>
              <w:widowControl w:val="0"/>
              <w:numPr>
                <w:ilvl w:val="0"/>
                <w:numId w:val="0"/>
              </w:numPr>
              <w:suppressLineNumbers w:val="0"/>
              <w:kinsoku/>
              <w:wordWrap/>
              <w:overflowPunct/>
              <w:topLinePunct w:val="0"/>
              <w:autoSpaceDE/>
              <w:autoSpaceDN/>
              <w:bidi w:val="0"/>
              <w:snapToGrid/>
              <w:spacing w:beforeAutospacing="0" w:afterAutospacing="0" w:line="240" w:lineRule="atLeast"/>
              <w:ind w:left="0" w:leftChars="0" w:right="0" w:rightChars="0" w:firstLine="0" w:firstLineChars="0"/>
              <w:jc w:val="center"/>
              <w:textAlignment w:val="auto"/>
              <w:outlineLvl w:val="2"/>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highlight w:val="none"/>
                <w:lang w:val="en-US" w:eastAsia="zh-CN" w:bidi="ar-SA"/>
              </w:rPr>
              <w:t>数据来源</w:t>
            </w:r>
          </w:p>
        </w:tc>
        <w:tc>
          <w:tcPr>
            <w:tcW w:w="378" w:type="pct"/>
            <w:vMerge w:val="restart"/>
            <w:tcBorders>
              <w:top w:val="single" w:color="auto" w:sz="12" w:space="0"/>
              <w:left w:val="single" w:color="auto" w:sz="4" w:space="0"/>
              <w:bottom w:val="nil"/>
              <w:right w:val="single" w:color="auto" w:sz="12" w:space="0"/>
            </w:tcBorders>
            <w:shd w:val="clear" w:color="auto" w:fill="auto"/>
            <w:noWrap w:val="0"/>
            <w:vAlign w:val="center"/>
          </w:tcPr>
          <w:p w14:paraId="6BD116E9">
            <w:pPr>
              <w:keepNext w:val="0"/>
              <w:keepLines w:val="0"/>
              <w:pageBreakBefore w:val="0"/>
              <w:widowControl w:val="0"/>
              <w:numPr>
                <w:ilvl w:val="0"/>
                <w:numId w:val="0"/>
              </w:numPr>
              <w:suppressLineNumbers w:val="0"/>
              <w:kinsoku/>
              <w:wordWrap/>
              <w:overflowPunct/>
              <w:topLinePunct w:val="0"/>
              <w:autoSpaceDE/>
              <w:autoSpaceDN/>
              <w:bidi w:val="0"/>
              <w:snapToGrid/>
              <w:spacing w:beforeAutospacing="0" w:afterAutospacing="0" w:line="240" w:lineRule="atLeast"/>
              <w:ind w:left="0" w:leftChars="0" w:right="0" w:rightChars="0" w:firstLine="0" w:firstLineChars="0"/>
              <w:jc w:val="center"/>
              <w:textAlignment w:val="auto"/>
              <w:outlineLvl w:val="2"/>
              <w:rPr>
                <w:rFonts w:hint="default" w:ascii="宋体" w:hAnsi="宋体" w:eastAsia="宋体" w:cs="宋体"/>
                <w:color w:val="000000"/>
                <w:sz w:val="18"/>
                <w:szCs w:val="18"/>
                <w:highlight w:val="none"/>
                <w:lang w:val="en-US" w:eastAsia="zh-CN"/>
              </w:rPr>
            </w:pPr>
            <w:r>
              <w:rPr>
                <w:rFonts w:hint="eastAsia" w:ascii="宋体" w:hAnsi="宋体" w:eastAsia="宋体" w:cs="宋体"/>
                <w:color w:val="000000"/>
                <w:sz w:val="18"/>
                <w:szCs w:val="18"/>
                <w:highlight w:val="none"/>
                <w:lang w:val="en-US" w:eastAsia="zh-CN" w:bidi="ar-SA"/>
              </w:rPr>
              <w:t>监测频次</w:t>
            </w:r>
          </w:p>
        </w:tc>
      </w:tr>
      <w:tr w14:paraId="3D978D2F">
        <w:tblPrEx>
          <w:tblBorders>
            <w:top w:val="single" w:color="auto" w:sz="4" w:space="0"/>
            <w:left w:val="single" w:color="auto" w:sz="4" w:space="0"/>
            <w:bottom w:val="single" w:color="auto" w:sz="12"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9" w:type="pct"/>
            <w:vMerge w:val="continue"/>
            <w:tcBorders>
              <w:top w:val="single" w:color="auto" w:sz="12" w:space="0"/>
              <w:left w:val="single" w:color="auto" w:sz="12" w:space="0"/>
              <w:bottom w:val="single" w:color="auto" w:sz="12" w:space="0"/>
            </w:tcBorders>
            <w:shd w:val="clear" w:color="auto" w:fill="auto"/>
            <w:noWrap w:val="0"/>
            <w:vAlign w:val="center"/>
          </w:tcPr>
          <w:p w14:paraId="14CB39BF">
            <w:pPr>
              <w:keepNext w:val="0"/>
              <w:keepLines w:val="0"/>
              <w:pageBreakBefore w:val="0"/>
              <w:widowControl w:val="0"/>
              <w:numPr>
                <w:ilvl w:val="0"/>
                <w:numId w:val="0"/>
              </w:numPr>
              <w:suppressLineNumbers w:val="0"/>
              <w:tabs>
                <w:tab w:val="left" w:pos="0"/>
              </w:tabs>
              <w:kinsoku/>
              <w:wordWrap/>
              <w:overflowPunct/>
              <w:topLinePunct w:val="0"/>
              <w:autoSpaceDE/>
              <w:autoSpaceDN/>
              <w:bidi w:val="0"/>
              <w:snapToGrid/>
              <w:spacing w:beforeAutospacing="0" w:afterAutospacing="0" w:line="240" w:lineRule="atLeast"/>
              <w:ind w:left="0" w:leftChars="0" w:right="0" w:rightChars="0"/>
              <w:jc w:val="center"/>
              <w:textAlignment w:val="auto"/>
              <w:outlineLvl w:val="2"/>
              <w:rPr>
                <w:rFonts w:hint="eastAsia" w:ascii="宋体" w:hAnsi="宋体" w:eastAsia="宋体" w:cs="宋体"/>
                <w:color w:val="000000"/>
                <w:sz w:val="18"/>
                <w:szCs w:val="18"/>
                <w:highlight w:val="none"/>
                <w:lang w:val="en-US" w:eastAsia="zh-CN" w:bidi="ar-SA"/>
              </w:rPr>
            </w:pPr>
          </w:p>
        </w:tc>
        <w:tc>
          <w:tcPr>
            <w:tcW w:w="288" w:type="pct"/>
            <w:tcBorders>
              <w:top w:val="single" w:color="auto" w:sz="4" w:space="0"/>
              <w:bottom w:val="single" w:color="auto" w:sz="12" w:space="0"/>
            </w:tcBorders>
            <w:shd w:val="clear" w:color="auto" w:fill="auto"/>
            <w:noWrap w:val="0"/>
            <w:vAlign w:val="top"/>
          </w:tcPr>
          <w:p w14:paraId="6435524F">
            <w:pPr>
              <w:keepNext w:val="0"/>
              <w:keepLines w:val="0"/>
              <w:pageBreakBefore w:val="0"/>
              <w:widowControl w:val="0"/>
              <w:numPr>
                <w:ilvl w:val="0"/>
                <w:numId w:val="0"/>
              </w:numPr>
              <w:suppressLineNumbers w:val="0"/>
              <w:kinsoku/>
              <w:wordWrap/>
              <w:overflowPunct/>
              <w:topLinePunct w:val="0"/>
              <w:autoSpaceDE/>
              <w:autoSpaceDN/>
              <w:bidi w:val="0"/>
              <w:adjustRightInd w:val="0"/>
              <w:snapToGrid/>
              <w:spacing w:beforeAutospacing="0" w:afterAutospacing="0" w:line="240" w:lineRule="atLeast"/>
              <w:ind w:left="0" w:leftChars="0" w:right="0" w:rightChars="0" w:firstLine="0" w:firstLineChars="0"/>
              <w:jc w:val="center"/>
              <w:textAlignment w:val="auto"/>
              <w:outlineLvl w:val="2"/>
              <w:rPr>
                <w:rFonts w:hint="eastAsia" w:ascii="宋体" w:hAnsi="宋体" w:eastAsia="宋体" w:cs="宋体"/>
                <w:color w:val="000000"/>
                <w:sz w:val="18"/>
                <w:szCs w:val="18"/>
                <w:highlight w:val="none"/>
                <w:lang w:val="en-US" w:eastAsia="zh-CN" w:bidi="ar-SA"/>
              </w:rPr>
            </w:pPr>
            <w:r>
              <w:rPr>
                <w:rFonts w:hint="eastAsia" w:ascii="宋体" w:hAnsi="宋体" w:cs="宋体"/>
                <w:color w:val="000000"/>
                <w:sz w:val="18"/>
                <w:szCs w:val="18"/>
                <w:highlight w:val="none"/>
                <w:lang w:val="en-US" w:eastAsia="zh-CN" w:bidi="ar-SA"/>
              </w:rPr>
              <w:t>一</w:t>
            </w:r>
            <w:r>
              <w:rPr>
                <w:rFonts w:hint="eastAsia" w:ascii="宋体" w:hAnsi="宋体" w:eastAsia="宋体" w:cs="宋体"/>
                <w:color w:val="000000"/>
                <w:sz w:val="18"/>
                <w:szCs w:val="18"/>
                <w:highlight w:val="none"/>
                <w:lang w:val="en-US" w:eastAsia="zh-CN" w:bidi="ar-SA"/>
              </w:rPr>
              <w:t>级</w:t>
            </w:r>
          </w:p>
          <w:p w14:paraId="54382FC6">
            <w:pPr>
              <w:keepNext w:val="0"/>
              <w:keepLines w:val="0"/>
              <w:pageBreakBefore w:val="0"/>
              <w:widowControl w:val="0"/>
              <w:numPr>
                <w:ilvl w:val="0"/>
                <w:numId w:val="0"/>
              </w:numPr>
              <w:suppressLineNumbers w:val="0"/>
              <w:kinsoku/>
              <w:wordWrap/>
              <w:overflowPunct/>
              <w:topLinePunct w:val="0"/>
              <w:autoSpaceDE/>
              <w:autoSpaceDN/>
              <w:bidi w:val="0"/>
              <w:adjustRightInd w:val="0"/>
              <w:snapToGrid/>
              <w:spacing w:beforeAutospacing="0" w:afterAutospacing="0" w:line="240" w:lineRule="atLeast"/>
              <w:ind w:left="0" w:leftChars="0" w:right="0" w:rightChars="0" w:firstLine="0" w:firstLineChars="0"/>
              <w:jc w:val="center"/>
              <w:textAlignment w:val="auto"/>
              <w:outlineLvl w:val="2"/>
              <w:rPr>
                <w:rFonts w:hint="eastAsia" w:ascii="宋体" w:hAnsi="宋体" w:eastAsia="宋体" w:cs="宋体"/>
                <w:color w:val="000000"/>
                <w:sz w:val="18"/>
                <w:szCs w:val="18"/>
                <w:highlight w:val="none"/>
                <w:lang w:val="en-US" w:eastAsia="zh-CN" w:bidi="ar-SA"/>
              </w:rPr>
            </w:pPr>
            <w:r>
              <w:rPr>
                <w:rFonts w:hint="eastAsia" w:ascii="宋体" w:hAnsi="宋体" w:eastAsia="宋体" w:cs="宋体"/>
                <w:color w:val="000000"/>
                <w:sz w:val="18"/>
                <w:szCs w:val="18"/>
                <w:highlight w:val="none"/>
                <w:lang w:val="en-US" w:eastAsia="zh-CN" w:bidi="ar-SA"/>
              </w:rPr>
              <w:t>指标</w:t>
            </w:r>
            <w:r>
              <w:rPr>
                <w:rFonts w:hint="eastAsia" w:ascii="宋体" w:hAnsi="宋体" w:cs="宋体"/>
                <w:color w:val="000000"/>
                <w:sz w:val="18"/>
                <w:szCs w:val="18"/>
                <w:highlight w:val="none"/>
                <w:lang w:val="en-US" w:eastAsia="zh-CN" w:bidi="ar-SA"/>
              </w:rPr>
              <w:t xml:space="preserve"> （权重）</w:t>
            </w:r>
          </w:p>
        </w:tc>
        <w:tc>
          <w:tcPr>
            <w:tcW w:w="310" w:type="pct"/>
            <w:tcBorders>
              <w:top w:val="single" w:color="auto" w:sz="4" w:space="0"/>
              <w:bottom w:val="single" w:color="auto" w:sz="12" w:space="0"/>
            </w:tcBorders>
            <w:shd w:val="clear" w:color="auto" w:fill="auto"/>
            <w:noWrap w:val="0"/>
            <w:vAlign w:val="center"/>
          </w:tcPr>
          <w:p w14:paraId="0CC0448C">
            <w:pPr>
              <w:keepNext w:val="0"/>
              <w:keepLines w:val="0"/>
              <w:pageBreakBefore w:val="0"/>
              <w:widowControl w:val="0"/>
              <w:numPr>
                <w:ilvl w:val="0"/>
                <w:numId w:val="0"/>
              </w:numPr>
              <w:suppressLineNumbers w:val="0"/>
              <w:kinsoku/>
              <w:wordWrap/>
              <w:overflowPunct/>
              <w:topLinePunct w:val="0"/>
              <w:autoSpaceDE/>
              <w:autoSpaceDN/>
              <w:bidi w:val="0"/>
              <w:snapToGrid/>
              <w:spacing w:beforeAutospacing="0" w:afterAutospacing="0" w:line="240" w:lineRule="atLeast"/>
              <w:ind w:left="0" w:right="0"/>
              <w:jc w:val="center"/>
              <w:textAlignment w:val="auto"/>
              <w:outlineLvl w:val="2"/>
              <w:rPr>
                <w:rFonts w:hint="eastAsia" w:ascii="宋体" w:hAnsi="宋体" w:eastAsia="宋体" w:cs="宋体"/>
                <w:color w:val="000000"/>
                <w:sz w:val="18"/>
                <w:szCs w:val="18"/>
                <w:highlight w:val="none"/>
                <w:lang w:val="en-US" w:eastAsia="zh-CN" w:bidi="ar-SA"/>
              </w:rPr>
            </w:pPr>
            <w:r>
              <w:rPr>
                <w:rFonts w:hint="eastAsia" w:ascii="宋体" w:hAnsi="宋体" w:eastAsia="宋体" w:cs="宋体"/>
                <w:color w:val="000000"/>
                <w:sz w:val="18"/>
                <w:szCs w:val="18"/>
                <w:highlight w:val="none"/>
                <w:lang w:val="en-US" w:eastAsia="zh-CN" w:bidi="ar-SA"/>
              </w:rPr>
              <w:t>二级</w:t>
            </w:r>
          </w:p>
          <w:p w14:paraId="4211ECAE">
            <w:pPr>
              <w:keepNext w:val="0"/>
              <w:keepLines w:val="0"/>
              <w:pageBreakBefore w:val="0"/>
              <w:widowControl w:val="0"/>
              <w:numPr>
                <w:ilvl w:val="0"/>
                <w:numId w:val="0"/>
              </w:numPr>
              <w:suppressLineNumbers w:val="0"/>
              <w:kinsoku/>
              <w:wordWrap/>
              <w:overflowPunct/>
              <w:topLinePunct w:val="0"/>
              <w:autoSpaceDE/>
              <w:autoSpaceDN/>
              <w:bidi w:val="0"/>
              <w:snapToGrid/>
              <w:spacing w:beforeAutospacing="0" w:afterAutospacing="0" w:line="240" w:lineRule="atLeast"/>
              <w:ind w:left="0" w:right="0"/>
              <w:jc w:val="center"/>
              <w:textAlignment w:val="auto"/>
              <w:outlineLvl w:val="2"/>
              <w:rPr>
                <w:rFonts w:hint="eastAsia" w:ascii="宋体" w:hAnsi="宋体" w:eastAsia="宋体" w:cs="宋体"/>
                <w:color w:val="000000"/>
                <w:sz w:val="18"/>
                <w:szCs w:val="18"/>
                <w:highlight w:val="none"/>
                <w:lang w:val="en-US" w:eastAsia="zh-CN" w:bidi="ar-SA"/>
              </w:rPr>
            </w:pPr>
            <w:r>
              <w:rPr>
                <w:rFonts w:hint="eastAsia" w:ascii="宋体" w:hAnsi="宋体" w:eastAsia="宋体" w:cs="宋体"/>
                <w:color w:val="000000"/>
                <w:sz w:val="18"/>
                <w:szCs w:val="18"/>
                <w:highlight w:val="none"/>
                <w:lang w:val="en-US" w:eastAsia="zh-CN" w:bidi="ar-SA"/>
              </w:rPr>
              <w:t>指标</w:t>
            </w:r>
          </w:p>
          <w:p w14:paraId="436D7A7C">
            <w:pPr>
              <w:keepNext w:val="0"/>
              <w:keepLines w:val="0"/>
              <w:pageBreakBefore w:val="0"/>
              <w:widowControl w:val="0"/>
              <w:suppressLineNumbers w:val="0"/>
              <w:tabs>
                <w:tab w:val="center" w:pos="4201"/>
                <w:tab w:val="right" w:leader="dot" w:pos="9298"/>
              </w:tabs>
              <w:kinsoku/>
              <w:wordWrap/>
              <w:overflowPunct/>
              <w:topLinePunct w:val="0"/>
              <w:autoSpaceDE/>
              <w:autoSpaceDN/>
              <w:bidi w:val="0"/>
              <w:snapToGrid/>
              <w:spacing w:beforeAutospacing="0" w:afterAutospacing="0" w:line="240" w:lineRule="atLeast"/>
              <w:ind w:left="0" w:leftChars="0" w:right="0" w:rightChars="0" w:firstLine="0" w:firstLineChars="0"/>
              <w:jc w:val="center"/>
              <w:textAlignment w:val="auto"/>
              <w:rPr>
                <w:rFonts w:hint="eastAsia" w:ascii="宋体" w:hAnsi="宋体" w:cs="宋体"/>
                <w:color w:val="000000"/>
                <w:sz w:val="18"/>
                <w:szCs w:val="18"/>
                <w:highlight w:val="none"/>
                <w:lang w:val="en-US" w:eastAsia="zh-CN" w:bidi="ar-SA"/>
              </w:rPr>
            </w:pPr>
            <w:r>
              <w:rPr>
                <w:rFonts w:hint="eastAsia" w:ascii="宋体" w:hAnsi="宋体" w:eastAsia="宋体" w:cs="宋体"/>
                <w:color w:val="000000"/>
                <w:sz w:val="18"/>
                <w:szCs w:val="18"/>
                <w:highlight w:val="none"/>
                <w:lang w:val="en-US" w:eastAsia="zh-CN" w:bidi="ar-SA"/>
              </w:rPr>
              <w:t>(权重）</w:t>
            </w:r>
          </w:p>
        </w:tc>
        <w:tc>
          <w:tcPr>
            <w:tcW w:w="458" w:type="pct"/>
            <w:tcBorders>
              <w:top w:val="single" w:color="auto" w:sz="4" w:space="0"/>
              <w:bottom w:val="single" w:color="auto" w:sz="12" w:space="0"/>
            </w:tcBorders>
            <w:shd w:val="clear" w:color="auto" w:fill="auto"/>
            <w:noWrap w:val="0"/>
            <w:vAlign w:val="top"/>
          </w:tcPr>
          <w:p w14:paraId="2C427770">
            <w:pPr>
              <w:keepNext w:val="0"/>
              <w:keepLines w:val="0"/>
              <w:pageBreakBefore w:val="0"/>
              <w:widowControl w:val="0"/>
              <w:numPr>
                <w:ilvl w:val="0"/>
                <w:numId w:val="0"/>
              </w:numPr>
              <w:suppressLineNumbers w:val="0"/>
              <w:kinsoku/>
              <w:wordWrap/>
              <w:overflowPunct/>
              <w:topLinePunct w:val="0"/>
              <w:autoSpaceDE/>
              <w:autoSpaceDN/>
              <w:bidi w:val="0"/>
              <w:snapToGrid/>
              <w:spacing w:beforeAutospacing="0" w:afterAutospacing="0" w:line="240" w:lineRule="atLeast"/>
              <w:ind w:left="0" w:leftChars="0" w:right="0" w:rightChars="0" w:firstLine="0" w:firstLineChars="0"/>
              <w:jc w:val="center"/>
              <w:textAlignment w:val="auto"/>
              <w:outlineLvl w:val="2"/>
              <w:rPr>
                <w:rFonts w:hint="eastAsia" w:ascii="宋体" w:hAnsi="宋体" w:cs="宋体"/>
                <w:color w:val="000000"/>
                <w:sz w:val="18"/>
                <w:szCs w:val="18"/>
                <w:highlight w:val="none"/>
                <w:lang w:val="en-US" w:eastAsia="zh-CN" w:bidi="ar-SA"/>
              </w:rPr>
            </w:pPr>
            <w:r>
              <w:rPr>
                <w:rFonts w:hint="eastAsia" w:ascii="宋体" w:hAnsi="宋体" w:eastAsia="宋体" w:cs="宋体"/>
                <w:color w:val="000000"/>
                <w:sz w:val="18"/>
                <w:szCs w:val="18"/>
                <w:highlight w:val="none"/>
                <w:lang w:val="en-US" w:eastAsia="zh-CN" w:bidi="ar-SA"/>
              </w:rPr>
              <w:t>三级指标(权重）</w:t>
            </w:r>
          </w:p>
        </w:tc>
        <w:tc>
          <w:tcPr>
            <w:tcW w:w="616" w:type="pct"/>
            <w:tcBorders>
              <w:top w:val="single" w:color="auto" w:sz="4" w:space="0"/>
              <w:bottom w:val="single" w:color="auto" w:sz="12" w:space="0"/>
              <w:right w:val="single" w:color="auto" w:sz="4" w:space="0"/>
            </w:tcBorders>
            <w:shd w:val="clear" w:color="auto" w:fill="auto"/>
            <w:noWrap w:val="0"/>
            <w:vAlign w:val="top"/>
          </w:tcPr>
          <w:p w14:paraId="152224D9">
            <w:pPr>
              <w:keepNext w:val="0"/>
              <w:keepLines w:val="0"/>
              <w:pageBreakBefore w:val="0"/>
              <w:widowControl w:val="0"/>
              <w:numPr>
                <w:ilvl w:val="0"/>
                <w:numId w:val="0"/>
              </w:numPr>
              <w:suppressLineNumbers w:val="0"/>
              <w:kinsoku/>
              <w:wordWrap/>
              <w:overflowPunct/>
              <w:topLinePunct w:val="0"/>
              <w:autoSpaceDE/>
              <w:autoSpaceDN/>
              <w:bidi w:val="0"/>
              <w:snapToGrid/>
              <w:spacing w:beforeAutospacing="0" w:afterAutospacing="0" w:line="240" w:lineRule="atLeast"/>
              <w:ind w:left="0" w:leftChars="0" w:right="0" w:rightChars="0" w:firstLine="0" w:firstLineChars="0"/>
              <w:jc w:val="center"/>
              <w:textAlignment w:val="auto"/>
              <w:outlineLvl w:val="2"/>
              <w:rPr>
                <w:rFonts w:hint="eastAsia" w:ascii="宋体" w:hAnsi="宋体" w:cs="宋体"/>
                <w:color w:val="000000" w:themeColor="text1"/>
                <w:sz w:val="18"/>
                <w:szCs w:val="18"/>
                <w:highlight w:val="none"/>
                <w:lang w:val="en-US" w:eastAsia="zh-CN"/>
                <w14:textFill>
                  <w14:solidFill>
                    <w14:schemeClr w14:val="tx1"/>
                  </w14:solidFill>
                </w14:textFill>
              </w:rPr>
            </w:pPr>
            <w:r>
              <w:rPr>
                <w:rFonts w:hint="eastAsia" w:ascii="宋体" w:hAnsi="宋体" w:eastAsia="宋体" w:cs="宋体"/>
                <w:color w:val="000000"/>
                <w:sz w:val="18"/>
                <w:szCs w:val="18"/>
                <w:highlight w:val="none"/>
                <w:lang w:val="en-US" w:eastAsia="zh-CN" w:bidi="ar-SA"/>
              </w:rPr>
              <w:t>四级指标(权重）</w:t>
            </w:r>
          </w:p>
        </w:tc>
        <w:tc>
          <w:tcPr>
            <w:tcW w:w="236" w:type="pct"/>
            <w:vMerge w:val="continue"/>
            <w:tcBorders>
              <w:top w:val="nil"/>
              <w:left w:val="single" w:color="auto" w:sz="4" w:space="0"/>
              <w:bottom w:val="single" w:color="auto" w:sz="12" w:space="0"/>
              <w:right w:val="single" w:color="auto" w:sz="4" w:space="0"/>
            </w:tcBorders>
            <w:shd w:val="clear" w:color="auto" w:fill="auto"/>
            <w:noWrap w:val="0"/>
            <w:vAlign w:val="center"/>
          </w:tcPr>
          <w:p w14:paraId="4730398F">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tLeast"/>
              <w:ind w:left="0" w:right="0"/>
              <w:jc w:val="center"/>
              <w:textAlignment w:val="auto"/>
              <w:rPr>
                <w:rFonts w:hint="eastAsia" w:ascii="宋体" w:hAnsi="宋体" w:eastAsia="宋体" w:cs="宋体"/>
                <w:color w:val="000000" w:themeColor="text1"/>
                <w:sz w:val="18"/>
                <w:szCs w:val="18"/>
                <w14:textFill>
                  <w14:solidFill>
                    <w14:schemeClr w14:val="tx1"/>
                  </w14:solidFill>
                </w14:textFill>
              </w:rPr>
            </w:pPr>
          </w:p>
        </w:tc>
        <w:tc>
          <w:tcPr>
            <w:tcW w:w="1773" w:type="pct"/>
            <w:vMerge w:val="continue"/>
            <w:tcBorders>
              <w:top w:val="nil"/>
              <w:left w:val="single" w:color="auto" w:sz="4" w:space="0"/>
              <w:bottom w:val="single" w:color="auto" w:sz="12" w:space="0"/>
              <w:right w:val="single" w:color="auto" w:sz="4" w:space="0"/>
            </w:tcBorders>
            <w:shd w:val="clear" w:color="auto" w:fill="auto"/>
            <w:noWrap w:val="0"/>
            <w:vAlign w:val="center"/>
          </w:tcPr>
          <w:p w14:paraId="5EBAFECD">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tLeast"/>
              <w:ind w:left="0" w:right="0"/>
              <w:textAlignment w:val="auto"/>
              <w:rPr>
                <w:rFonts w:hint="eastAsia" w:ascii="宋体" w:hAnsi="宋体" w:eastAsia="宋体" w:cs="宋体"/>
                <w:color w:val="000000" w:themeColor="text1"/>
                <w:sz w:val="18"/>
                <w:szCs w:val="18"/>
                <w:lang w:val="en-US" w:eastAsia="zh-CN"/>
                <w14:textFill>
                  <w14:solidFill>
                    <w14:schemeClr w14:val="tx1"/>
                  </w14:solidFill>
                </w14:textFill>
              </w:rPr>
            </w:pPr>
          </w:p>
        </w:tc>
        <w:tc>
          <w:tcPr>
            <w:tcW w:w="365" w:type="pct"/>
            <w:vMerge w:val="continue"/>
            <w:tcBorders>
              <w:left w:val="single" w:color="auto" w:sz="4" w:space="0"/>
              <w:bottom w:val="single" w:color="auto" w:sz="12" w:space="0"/>
              <w:right w:val="single" w:color="auto" w:sz="4" w:space="0"/>
            </w:tcBorders>
            <w:shd w:val="clear" w:color="auto" w:fill="auto"/>
            <w:noWrap w:val="0"/>
            <w:vAlign w:val="center"/>
          </w:tcPr>
          <w:p w14:paraId="1A80E0D6">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tLeast"/>
              <w:ind w:left="0" w:right="0"/>
              <w:jc w:val="center"/>
              <w:textAlignment w:val="auto"/>
              <w:rPr>
                <w:rFonts w:hint="eastAsia" w:ascii="宋体" w:hAnsi="宋体" w:eastAsia="宋体" w:cs="宋体"/>
                <w:color w:val="000000"/>
                <w:sz w:val="18"/>
                <w:szCs w:val="18"/>
                <w:lang w:val="en-US" w:eastAsia="zh-CN"/>
              </w:rPr>
            </w:pPr>
          </w:p>
        </w:tc>
        <w:tc>
          <w:tcPr>
            <w:tcW w:w="365" w:type="pct"/>
            <w:vMerge w:val="continue"/>
            <w:tcBorders>
              <w:top w:val="nil"/>
              <w:left w:val="single" w:color="auto" w:sz="4" w:space="0"/>
              <w:bottom w:val="single" w:color="auto" w:sz="12" w:space="0"/>
              <w:right w:val="single" w:color="auto" w:sz="4" w:space="0"/>
            </w:tcBorders>
            <w:shd w:val="clear" w:color="auto" w:fill="auto"/>
            <w:noWrap w:val="0"/>
            <w:vAlign w:val="center"/>
          </w:tcPr>
          <w:p w14:paraId="43D0C32A">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tLeast"/>
              <w:ind w:left="0" w:right="0"/>
              <w:jc w:val="center"/>
              <w:textAlignment w:val="auto"/>
              <w:rPr>
                <w:rFonts w:hint="eastAsia" w:ascii="宋体" w:hAnsi="宋体" w:eastAsia="宋体" w:cs="宋体"/>
                <w:color w:val="000000"/>
                <w:sz w:val="18"/>
                <w:szCs w:val="18"/>
                <w:lang w:val="en-US" w:eastAsia="zh-CN"/>
              </w:rPr>
            </w:pPr>
          </w:p>
        </w:tc>
        <w:tc>
          <w:tcPr>
            <w:tcW w:w="378" w:type="pct"/>
            <w:vMerge w:val="continue"/>
            <w:tcBorders>
              <w:top w:val="nil"/>
              <w:left w:val="single" w:color="auto" w:sz="4" w:space="0"/>
              <w:bottom w:val="single" w:color="auto" w:sz="12" w:space="0"/>
              <w:right w:val="single" w:color="auto" w:sz="12" w:space="0"/>
            </w:tcBorders>
            <w:shd w:val="clear" w:color="auto" w:fill="auto"/>
            <w:noWrap w:val="0"/>
            <w:vAlign w:val="center"/>
          </w:tcPr>
          <w:p w14:paraId="798118E5">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tLeast"/>
              <w:ind w:left="0" w:right="0"/>
              <w:jc w:val="center"/>
              <w:textAlignment w:val="auto"/>
              <w:rPr>
                <w:rFonts w:hint="default" w:ascii="宋体" w:hAnsi="宋体" w:eastAsia="宋体" w:cs="宋体"/>
                <w:color w:val="000000"/>
                <w:sz w:val="18"/>
                <w:szCs w:val="18"/>
                <w:highlight w:val="none"/>
                <w:lang w:val="en-US" w:eastAsia="zh-CN"/>
              </w:rPr>
            </w:pPr>
          </w:p>
        </w:tc>
      </w:tr>
      <w:tr w14:paraId="42BC2629">
        <w:tblPrEx>
          <w:tblBorders>
            <w:top w:val="single" w:color="auto" w:sz="4" w:space="0"/>
            <w:left w:val="single" w:color="auto" w:sz="4" w:space="0"/>
            <w:bottom w:val="single" w:color="auto" w:sz="12"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9" w:type="pct"/>
            <w:tcBorders>
              <w:top w:val="single" w:color="auto" w:sz="12" w:space="0"/>
              <w:left w:val="single" w:color="auto" w:sz="12" w:space="0"/>
            </w:tcBorders>
            <w:shd w:val="clear" w:color="auto" w:fill="auto"/>
            <w:noWrap w:val="0"/>
            <w:vAlign w:val="center"/>
          </w:tcPr>
          <w:p w14:paraId="4AE73690">
            <w:pPr>
              <w:keepNext w:val="0"/>
              <w:keepLines w:val="0"/>
              <w:pageBreakBefore w:val="0"/>
              <w:widowControl w:val="0"/>
              <w:numPr>
                <w:ilvl w:val="0"/>
                <w:numId w:val="35"/>
              </w:numPr>
              <w:suppressLineNumbers w:val="0"/>
              <w:kinsoku/>
              <w:wordWrap/>
              <w:overflowPunct/>
              <w:topLinePunct w:val="0"/>
              <w:autoSpaceDE/>
              <w:autoSpaceDN/>
              <w:bidi w:val="0"/>
              <w:snapToGrid/>
              <w:spacing w:beforeAutospacing="0" w:afterAutospacing="0" w:line="240" w:lineRule="atLeast"/>
              <w:ind w:right="0"/>
              <w:jc w:val="center"/>
              <w:textAlignment w:val="auto"/>
              <w:outlineLvl w:val="2"/>
              <w:rPr>
                <w:rFonts w:hint="eastAsia" w:ascii="宋体" w:hAnsi="宋体" w:eastAsia="宋体" w:cs="宋体"/>
                <w:color w:val="000000"/>
                <w:sz w:val="18"/>
                <w:szCs w:val="18"/>
                <w:highlight w:val="none"/>
                <w:lang w:val="en-US" w:eastAsia="zh-CN" w:bidi="ar-SA"/>
              </w:rPr>
            </w:pPr>
          </w:p>
        </w:tc>
        <w:tc>
          <w:tcPr>
            <w:tcW w:w="288" w:type="pct"/>
            <w:vMerge w:val="restart"/>
            <w:tcBorders>
              <w:top w:val="single" w:color="auto" w:sz="12" w:space="0"/>
            </w:tcBorders>
            <w:shd w:val="clear" w:color="auto" w:fill="auto"/>
            <w:noWrap w:val="0"/>
            <w:vAlign w:val="center"/>
          </w:tcPr>
          <w:p w14:paraId="3CE1D693">
            <w:pPr>
              <w:keepNext w:val="0"/>
              <w:keepLines w:val="0"/>
              <w:pageBreakBefore w:val="0"/>
              <w:widowControl w:val="0"/>
              <w:numPr>
                <w:ilvl w:val="0"/>
                <w:numId w:val="0"/>
              </w:numPr>
              <w:suppressLineNumbers w:val="0"/>
              <w:kinsoku/>
              <w:wordWrap/>
              <w:overflowPunct/>
              <w:topLinePunct w:val="0"/>
              <w:autoSpaceDE/>
              <w:autoSpaceDN/>
              <w:bidi w:val="0"/>
              <w:snapToGrid/>
              <w:spacing w:beforeAutospacing="0" w:afterAutospacing="0" w:line="240" w:lineRule="atLeast"/>
              <w:ind w:left="0" w:right="0"/>
              <w:jc w:val="center"/>
              <w:textAlignment w:val="auto"/>
              <w:outlineLvl w:val="2"/>
              <w:rPr>
                <w:rFonts w:hint="eastAsia" w:ascii="宋体" w:hAnsi="宋体" w:eastAsia="宋体" w:cs="宋体"/>
                <w:color w:val="000000"/>
                <w:sz w:val="18"/>
                <w:szCs w:val="18"/>
                <w:highlight w:val="none"/>
                <w:lang w:val="en-US" w:eastAsia="zh-CN" w:bidi="ar-SA"/>
              </w:rPr>
            </w:pPr>
            <w:r>
              <w:rPr>
                <w:rFonts w:hint="eastAsia" w:ascii="宋体" w:hAnsi="宋体" w:eastAsia="宋体" w:cs="宋体"/>
                <w:color w:val="000000"/>
                <w:sz w:val="18"/>
                <w:szCs w:val="18"/>
                <w:highlight w:val="none"/>
                <w:lang w:val="en-US" w:eastAsia="zh-CN" w:bidi="ar-SA"/>
              </w:rPr>
              <w:t>联合（0.4）</w:t>
            </w:r>
          </w:p>
        </w:tc>
        <w:tc>
          <w:tcPr>
            <w:tcW w:w="310" w:type="pct"/>
            <w:tcBorders>
              <w:top w:val="single" w:color="auto" w:sz="12" w:space="0"/>
            </w:tcBorders>
            <w:shd w:val="clear" w:color="auto" w:fill="auto"/>
            <w:noWrap w:val="0"/>
            <w:vAlign w:val="center"/>
          </w:tcPr>
          <w:p w14:paraId="1FEFF100">
            <w:pPr>
              <w:keepNext w:val="0"/>
              <w:keepLines w:val="0"/>
              <w:pageBreakBefore w:val="0"/>
              <w:widowControl w:val="0"/>
              <w:numPr>
                <w:ilvl w:val="0"/>
                <w:numId w:val="0"/>
              </w:numPr>
              <w:suppressLineNumbers w:val="0"/>
              <w:kinsoku/>
              <w:wordWrap/>
              <w:overflowPunct/>
              <w:topLinePunct w:val="0"/>
              <w:autoSpaceDE/>
              <w:autoSpaceDN/>
              <w:bidi w:val="0"/>
              <w:adjustRightInd w:val="0"/>
              <w:snapToGrid/>
              <w:spacing w:beforeAutospacing="0" w:afterAutospacing="0" w:line="240" w:lineRule="atLeast"/>
              <w:ind w:left="0" w:leftChars="0" w:right="0" w:rightChars="0" w:firstLine="0" w:firstLineChars="0"/>
              <w:jc w:val="center"/>
              <w:textAlignment w:val="auto"/>
              <w:outlineLvl w:val="2"/>
              <w:rPr>
                <w:rFonts w:hint="eastAsia" w:ascii="宋体" w:hAnsi="宋体" w:cs="宋体"/>
                <w:color w:val="000000"/>
                <w:sz w:val="18"/>
                <w:szCs w:val="18"/>
                <w:highlight w:val="none"/>
                <w:lang w:val="en-US" w:eastAsia="zh-CN" w:bidi="ar-SA"/>
              </w:rPr>
            </w:pPr>
            <w:r>
              <w:rPr>
                <w:rFonts w:hint="eastAsia" w:ascii="宋体" w:hAnsi="宋体" w:cs="宋体"/>
                <w:color w:val="000000"/>
                <w:sz w:val="18"/>
                <w:szCs w:val="18"/>
                <w:highlight w:val="none"/>
                <w:lang w:val="en-US" w:eastAsia="zh-CN" w:bidi="ar-SA"/>
              </w:rPr>
              <w:t>资源</w:t>
            </w:r>
          </w:p>
          <w:p w14:paraId="6D6DFE66">
            <w:pPr>
              <w:keepNext w:val="0"/>
              <w:keepLines w:val="0"/>
              <w:pageBreakBefore w:val="0"/>
              <w:widowControl w:val="0"/>
              <w:numPr>
                <w:ilvl w:val="0"/>
                <w:numId w:val="0"/>
              </w:numPr>
              <w:suppressLineNumbers w:val="0"/>
              <w:kinsoku/>
              <w:wordWrap/>
              <w:overflowPunct/>
              <w:topLinePunct w:val="0"/>
              <w:autoSpaceDE/>
              <w:autoSpaceDN/>
              <w:bidi w:val="0"/>
              <w:adjustRightInd w:val="0"/>
              <w:snapToGrid/>
              <w:spacing w:beforeAutospacing="0" w:afterAutospacing="0" w:line="240" w:lineRule="atLeast"/>
              <w:ind w:left="0" w:leftChars="0" w:right="0" w:rightChars="0" w:firstLine="0" w:firstLineChars="0"/>
              <w:jc w:val="center"/>
              <w:textAlignment w:val="auto"/>
              <w:outlineLvl w:val="2"/>
              <w:rPr>
                <w:rFonts w:hint="eastAsia" w:ascii="宋体" w:hAnsi="宋体" w:cs="宋体"/>
                <w:color w:val="000000"/>
                <w:sz w:val="18"/>
                <w:szCs w:val="18"/>
                <w:highlight w:val="none"/>
                <w:lang w:val="en-US" w:eastAsia="zh-CN" w:bidi="ar-SA"/>
              </w:rPr>
            </w:pPr>
            <w:r>
              <w:rPr>
                <w:rFonts w:hint="eastAsia" w:ascii="宋体" w:hAnsi="宋体" w:cs="宋体"/>
                <w:color w:val="000000"/>
                <w:sz w:val="18"/>
                <w:szCs w:val="18"/>
                <w:highlight w:val="none"/>
                <w:lang w:val="en-US" w:eastAsia="zh-CN" w:bidi="ar-SA"/>
              </w:rPr>
              <w:t>整合（0.3）</w:t>
            </w:r>
          </w:p>
        </w:tc>
        <w:tc>
          <w:tcPr>
            <w:tcW w:w="458" w:type="pct"/>
            <w:tcBorders>
              <w:top w:val="single" w:color="auto" w:sz="12" w:space="0"/>
            </w:tcBorders>
            <w:shd w:val="clear" w:color="auto" w:fill="auto"/>
            <w:noWrap w:val="0"/>
            <w:vAlign w:val="center"/>
          </w:tcPr>
          <w:p w14:paraId="7E01DD32">
            <w:pPr>
              <w:keepNext w:val="0"/>
              <w:keepLines w:val="0"/>
              <w:pageBreakBefore w:val="0"/>
              <w:widowControl w:val="0"/>
              <w:numPr>
                <w:ilvl w:val="0"/>
                <w:numId w:val="0"/>
              </w:numPr>
              <w:suppressLineNumbers w:val="0"/>
              <w:kinsoku/>
              <w:wordWrap/>
              <w:overflowPunct/>
              <w:topLinePunct w:val="0"/>
              <w:autoSpaceDE/>
              <w:autoSpaceDN/>
              <w:bidi w:val="0"/>
              <w:snapToGrid/>
              <w:spacing w:beforeAutospacing="0" w:afterAutospacing="0" w:line="240" w:lineRule="atLeast"/>
              <w:ind w:left="0" w:leftChars="0" w:right="0" w:rightChars="0" w:firstLine="0" w:firstLineChars="0"/>
              <w:jc w:val="center"/>
              <w:textAlignment w:val="auto"/>
              <w:outlineLvl w:val="2"/>
              <w:rPr>
                <w:rFonts w:hint="default" w:ascii="宋体" w:hAnsi="宋体" w:cs="宋体"/>
                <w:color w:val="000000"/>
                <w:sz w:val="18"/>
                <w:szCs w:val="18"/>
                <w:highlight w:val="none"/>
                <w:lang w:val="en-US" w:eastAsia="zh-CN" w:bidi="ar-SA"/>
              </w:rPr>
            </w:pPr>
            <w:r>
              <w:rPr>
                <w:rFonts w:hint="eastAsia" w:ascii="宋体" w:hAnsi="宋体" w:cs="宋体"/>
                <w:color w:val="000000" w:themeColor="text1"/>
                <w:sz w:val="18"/>
                <w:szCs w:val="18"/>
                <w:highlight w:val="none"/>
                <w:lang w:val="en-US" w:eastAsia="zh-CN" w:bidi="ar-SA"/>
                <w14:textFill>
                  <w14:solidFill>
                    <w14:schemeClr w14:val="tx1"/>
                  </w14:solidFill>
                </w14:textFill>
              </w:rPr>
              <w:t>产业联盟（0.4）</w:t>
            </w:r>
          </w:p>
        </w:tc>
        <w:tc>
          <w:tcPr>
            <w:tcW w:w="616" w:type="pct"/>
            <w:tcBorders>
              <w:top w:val="single" w:color="auto" w:sz="12" w:space="0"/>
              <w:right w:val="single" w:color="auto" w:sz="4" w:space="0"/>
            </w:tcBorders>
            <w:shd w:val="clear" w:color="auto" w:fill="auto"/>
            <w:noWrap w:val="0"/>
            <w:vAlign w:val="center"/>
          </w:tcPr>
          <w:p w14:paraId="721C3C62">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tLeast"/>
              <w:ind w:left="0" w:leftChars="0" w:right="0" w:rightChars="0"/>
              <w:textAlignment w:val="auto"/>
              <w:rPr>
                <w:rFonts w:hint="eastAsia" w:ascii="宋体" w:hAnsi="宋体" w:cs="宋体"/>
                <w:color w:val="000000" w:themeColor="text1"/>
                <w:sz w:val="18"/>
                <w:szCs w:val="18"/>
                <w:highlight w:val="none"/>
                <w:lang w:val="en-US" w:eastAsia="zh-CN"/>
                <w14:textFill>
                  <w14:solidFill>
                    <w14:schemeClr w14:val="tx1"/>
                  </w14:solidFill>
                </w14:textFill>
              </w:rPr>
            </w:pPr>
            <w:r>
              <w:rPr>
                <w:rFonts w:hint="eastAsia" w:ascii="宋体" w:hAnsi="宋体" w:cs="宋体"/>
                <w:color w:val="auto"/>
                <w:sz w:val="18"/>
                <w:szCs w:val="18"/>
                <w:highlight w:val="none"/>
                <w:lang w:val="en-US" w:eastAsia="zh-CN"/>
              </w:rPr>
              <w:t>产业联合体主体数量（评分制）</w:t>
            </w:r>
          </w:p>
        </w:tc>
        <w:tc>
          <w:tcPr>
            <w:tcW w:w="236" w:type="pct"/>
            <w:tcBorders>
              <w:top w:val="single" w:color="auto" w:sz="12" w:space="0"/>
              <w:left w:val="single" w:color="auto" w:sz="4" w:space="0"/>
              <w:right w:val="single" w:color="auto" w:sz="4" w:space="0"/>
            </w:tcBorders>
            <w:shd w:val="clear" w:color="auto" w:fill="auto"/>
            <w:noWrap w:val="0"/>
            <w:vAlign w:val="center"/>
          </w:tcPr>
          <w:p w14:paraId="4C308A3B">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tLeast"/>
              <w:ind w:left="0" w:leftChars="0" w:right="0" w:rightChars="0"/>
              <w:jc w:val="center"/>
              <w:textAlignment w:val="auto"/>
              <w:rPr>
                <w:rFonts w:hint="eastAsia" w:ascii="宋体" w:hAnsi="宋体" w:cs="宋体"/>
                <w:color w:val="000000" w:themeColor="text1"/>
                <w:sz w:val="18"/>
                <w:szCs w:val="18"/>
                <w:lang w:val="en-US" w:eastAsia="zh-CN"/>
                <w14:textFill>
                  <w14:solidFill>
                    <w14:schemeClr w14:val="tx1"/>
                  </w14:solidFill>
                </w14:textFill>
              </w:rPr>
            </w:pPr>
            <w:r>
              <w:rPr>
                <w:rFonts w:hint="eastAsia" w:ascii="宋体" w:hAnsi="宋体" w:cs="宋体"/>
                <w:color w:val="auto"/>
                <w:sz w:val="18"/>
                <w:szCs w:val="18"/>
                <w:highlight w:val="none"/>
                <w:lang w:val="en-US" w:eastAsia="zh-CN"/>
              </w:rPr>
              <w:t>个</w:t>
            </w:r>
          </w:p>
        </w:tc>
        <w:tc>
          <w:tcPr>
            <w:tcW w:w="1773" w:type="pct"/>
            <w:tcBorders>
              <w:top w:val="single" w:color="auto" w:sz="12" w:space="0"/>
              <w:left w:val="single" w:color="auto" w:sz="4" w:space="0"/>
              <w:right w:val="single" w:color="auto" w:sz="4" w:space="0"/>
            </w:tcBorders>
            <w:shd w:val="clear" w:color="auto" w:fill="auto"/>
            <w:noWrap w:val="0"/>
            <w:vAlign w:val="center"/>
          </w:tcPr>
          <w:p w14:paraId="6386504E">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tLeast"/>
              <w:ind w:left="0" w:leftChars="0" w:right="0" w:rightChars="0"/>
              <w:textAlignment w:val="auto"/>
              <w:rPr>
                <w:rFonts w:hint="default" w:ascii="宋体" w:hAnsi="宋体" w:cs="宋体"/>
                <w:color w:val="000000" w:themeColor="text1"/>
                <w:sz w:val="18"/>
                <w:szCs w:val="18"/>
                <w:lang w:val="en-US" w:eastAsia="zh-CN"/>
                <w14:textFill>
                  <w14:solidFill>
                    <w14:schemeClr w14:val="tx1"/>
                  </w14:solidFill>
                </w14:textFill>
              </w:rPr>
            </w:pPr>
            <w:r>
              <w:rPr>
                <w:rFonts w:hint="eastAsia" w:ascii="宋体" w:hAnsi="宋体" w:cs="宋体"/>
                <w:color w:val="auto"/>
                <w:sz w:val="18"/>
                <w:szCs w:val="18"/>
                <w:highlight w:val="none"/>
                <w:lang w:val="en-US" w:eastAsia="zh-CN"/>
              </w:rPr>
              <w:t>联合体内符合要求的相关经营主体（含企业、社会组织、合作社、个体工商户、居民（农户等））加入辖区内与康养产业相关的“</w:t>
            </w:r>
            <w:r>
              <w:rPr>
                <w:rFonts w:hint="default" w:ascii="宋体" w:hAnsi="宋体" w:cs="宋体"/>
                <w:color w:val="auto"/>
                <w:sz w:val="18"/>
                <w:szCs w:val="18"/>
                <w:highlight w:val="none"/>
                <w:lang w:val="en-US" w:eastAsia="zh-CN"/>
              </w:rPr>
              <w:t>医养</w:t>
            </w:r>
            <w:r>
              <w:rPr>
                <w:rFonts w:hint="eastAsia" w:ascii="宋体" w:hAnsi="宋体" w:cs="宋体"/>
                <w:color w:val="auto"/>
                <w:sz w:val="18"/>
                <w:szCs w:val="18"/>
                <w:highlight w:val="none"/>
                <w:lang w:val="en-US" w:eastAsia="zh-CN"/>
              </w:rPr>
              <w:t>康养产业联盟”“康养旅居产业联盟”等专业化产业联盟的实际数量，反映联合体产业协同与资源整合能力。具体要求：需满足注册资本≥30万元或年营业额≥50万元或具备相应行业资质认证（如民宿备案证、餐饮服务许可证等）；审核标准需提供近1年经营台账、资质证明文件等相关材料进行审核备案。(评分标准： 0～5个得60分； 6～10个得80分；11个及以上得100分)</w:t>
            </w:r>
          </w:p>
        </w:tc>
        <w:tc>
          <w:tcPr>
            <w:tcW w:w="365" w:type="pct"/>
            <w:tcBorders>
              <w:top w:val="single" w:color="auto" w:sz="12" w:space="0"/>
              <w:left w:val="single" w:color="auto" w:sz="4" w:space="0"/>
              <w:right w:val="single" w:color="auto" w:sz="4" w:space="0"/>
            </w:tcBorders>
            <w:shd w:val="clear" w:color="auto" w:fill="auto"/>
            <w:noWrap w:val="0"/>
            <w:vAlign w:val="center"/>
          </w:tcPr>
          <w:p w14:paraId="075679F3">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tLeast"/>
              <w:ind w:left="0" w:leftChars="0" w:right="0" w:rightChars="0"/>
              <w:jc w:val="center"/>
              <w:textAlignment w:val="auto"/>
              <w:rPr>
                <w:rFonts w:hint="eastAsia" w:ascii="宋体" w:hAnsi="宋体" w:cs="宋体"/>
                <w:color w:val="000000" w:themeColor="text1"/>
                <w:sz w:val="18"/>
                <w:szCs w:val="18"/>
                <w:lang w:val="en-US" w:eastAsia="zh-CN"/>
                <w14:textFill>
                  <w14:solidFill>
                    <w14:schemeClr w14:val="tx1"/>
                  </w14:solidFill>
                </w14:textFill>
              </w:rPr>
            </w:pPr>
            <w:r>
              <w:rPr>
                <w:rFonts w:hint="eastAsia" w:ascii="宋体" w:hAnsi="宋体" w:cs="宋体"/>
                <w:color w:val="000000" w:themeColor="text1"/>
                <w:sz w:val="18"/>
                <w:szCs w:val="18"/>
                <w:lang w:val="en-US" w:eastAsia="zh-CN"/>
                <w14:textFill>
                  <w14:solidFill>
                    <w14:schemeClr w14:val="tx1"/>
                  </w14:solidFill>
                </w14:textFill>
              </w:rPr>
              <w:t>直接计数后按评分标准转换</w:t>
            </w:r>
          </w:p>
        </w:tc>
        <w:tc>
          <w:tcPr>
            <w:tcW w:w="365" w:type="pct"/>
            <w:tcBorders>
              <w:top w:val="single" w:color="auto" w:sz="12" w:space="0"/>
              <w:left w:val="single" w:color="auto" w:sz="4" w:space="0"/>
              <w:right w:val="single" w:color="auto" w:sz="4" w:space="0"/>
            </w:tcBorders>
            <w:shd w:val="clear" w:color="auto" w:fill="auto"/>
            <w:noWrap w:val="0"/>
            <w:vAlign w:val="center"/>
          </w:tcPr>
          <w:p w14:paraId="573083A9">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tLeast"/>
              <w:ind w:left="0" w:leftChars="0" w:right="0" w:rightChars="0"/>
              <w:jc w:val="center"/>
              <w:textAlignment w:val="auto"/>
              <w:rPr>
                <w:rFonts w:hint="eastAsia" w:ascii="宋体" w:hAnsi="宋体" w:eastAsia="宋体" w:cs="宋体"/>
                <w:color w:val="000000"/>
                <w:sz w:val="18"/>
                <w:szCs w:val="18"/>
                <w:lang w:val="en-US" w:eastAsia="zh-CN"/>
              </w:rPr>
            </w:pPr>
            <w:r>
              <w:rPr>
                <w:rFonts w:hint="eastAsia" w:ascii="宋体" w:hAnsi="宋体" w:cs="宋体"/>
                <w:color w:val="000000" w:themeColor="text1"/>
                <w:sz w:val="18"/>
                <w:szCs w:val="18"/>
                <w:lang w:val="en-US" w:eastAsia="zh-CN"/>
                <w14:textFill>
                  <w14:solidFill>
                    <w14:schemeClr w14:val="tx1"/>
                  </w14:solidFill>
                </w14:textFill>
              </w:rPr>
              <w:t>创富工作形成数据</w:t>
            </w:r>
          </w:p>
        </w:tc>
        <w:tc>
          <w:tcPr>
            <w:tcW w:w="378" w:type="pct"/>
            <w:tcBorders>
              <w:top w:val="single" w:color="auto" w:sz="12" w:space="0"/>
              <w:left w:val="single" w:color="auto" w:sz="4" w:space="0"/>
              <w:right w:val="single" w:color="auto" w:sz="12" w:space="0"/>
            </w:tcBorders>
            <w:shd w:val="clear" w:color="auto" w:fill="auto"/>
            <w:noWrap w:val="0"/>
            <w:vAlign w:val="center"/>
          </w:tcPr>
          <w:p w14:paraId="6C2E7B6A">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tLeast"/>
              <w:ind w:left="0" w:right="0"/>
              <w:jc w:val="center"/>
              <w:textAlignment w:val="auto"/>
              <w:rPr>
                <w:rFonts w:hint="default" w:ascii="宋体" w:hAnsi="宋体" w:eastAsia="宋体" w:cs="宋体"/>
                <w:color w:val="000000"/>
                <w:sz w:val="18"/>
                <w:szCs w:val="18"/>
                <w:highlight w:val="none"/>
                <w:lang w:val="en-US" w:eastAsia="zh-CN"/>
              </w:rPr>
            </w:pPr>
            <w:r>
              <w:rPr>
                <w:rFonts w:hint="default" w:ascii="宋体" w:hAnsi="宋体" w:eastAsia="宋体" w:cs="宋体"/>
                <w:color w:val="000000"/>
                <w:sz w:val="18"/>
                <w:szCs w:val="18"/>
                <w:highlight w:val="none"/>
                <w:lang w:val="en-US" w:eastAsia="zh-CN"/>
              </w:rPr>
              <w:t>每</w:t>
            </w:r>
            <w:r>
              <w:rPr>
                <w:rFonts w:hint="eastAsia" w:ascii="宋体" w:hAnsi="宋体" w:cs="宋体"/>
                <w:color w:val="000000"/>
                <w:sz w:val="18"/>
                <w:szCs w:val="18"/>
                <w:highlight w:val="none"/>
                <w:lang w:val="en-US" w:eastAsia="zh-CN"/>
              </w:rPr>
              <w:t>季度</w:t>
            </w:r>
          </w:p>
          <w:p w14:paraId="34C62BCE">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tLeast"/>
              <w:ind w:left="0" w:leftChars="0" w:right="0" w:rightChars="0"/>
              <w:jc w:val="center"/>
              <w:textAlignment w:val="auto"/>
              <w:rPr>
                <w:rFonts w:hint="default" w:ascii="宋体" w:hAnsi="宋体" w:eastAsia="宋体" w:cs="宋体"/>
                <w:color w:val="000000"/>
                <w:sz w:val="18"/>
                <w:szCs w:val="18"/>
                <w:highlight w:val="none"/>
                <w:lang w:val="en-US" w:eastAsia="zh-CN"/>
              </w:rPr>
            </w:pPr>
            <w:r>
              <w:rPr>
                <w:rFonts w:hint="default" w:ascii="宋体" w:hAnsi="宋体" w:eastAsia="宋体" w:cs="宋体"/>
                <w:color w:val="000000"/>
                <w:sz w:val="18"/>
                <w:szCs w:val="18"/>
                <w:highlight w:val="none"/>
                <w:lang w:val="en-US" w:eastAsia="zh-CN"/>
              </w:rPr>
              <w:t>1次</w:t>
            </w:r>
          </w:p>
        </w:tc>
      </w:tr>
      <w:tr w14:paraId="2E90725F">
        <w:tblPrEx>
          <w:tblBorders>
            <w:top w:val="single" w:color="auto" w:sz="4" w:space="0"/>
            <w:left w:val="single" w:color="auto" w:sz="4" w:space="0"/>
            <w:bottom w:val="single" w:color="auto" w:sz="12"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9" w:type="pct"/>
            <w:tcBorders>
              <w:left w:val="single" w:color="auto" w:sz="12" w:space="0"/>
            </w:tcBorders>
            <w:shd w:val="clear" w:color="auto" w:fill="auto"/>
            <w:noWrap w:val="0"/>
            <w:vAlign w:val="center"/>
          </w:tcPr>
          <w:p w14:paraId="2E798507">
            <w:pPr>
              <w:keepNext w:val="0"/>
              <w:keepLines w:val="0"/>
              <w:pageBreakBefore w:val="0"/>
              <w:widowControl w:val="0"/>
              <w:numPr>
                <w:ilvl w:val="0"/>
                <w:numId w:val="35"/>
              </w:numPr>
              <w:suppressLineNumbers w:val="0"/>
              <w:kinsoku/>
              <w:wordWrap/>
              <w:overflowPunct/>
              <w:topLinePunct w:val="0"/>
              <w:autoSpaceDE/>
              <w:autoSpaceDN/>
              <w:bidi w:val="0"/>
              <w:snapToGrid/>
              <w:spacing w:beforeAutospacing="0" w:afterAutospacing="0" w:line="240" w:lineRule="atLeast"/>
              <w:ind w:right="0"/>
              <w:jc w:val="center"/>
              <w:textAlignment w:val="auto"/>
              <w:outlineLvl w:val="2"/>
              <w:rPr>
                <w:rFonts w:hint="eastAsia" w:ascii="宋体" w:hAnsi="宋体" w:eastAsia="宋体" w:cs="宋体"/>
                <w:color w:val="000000"/>
                <w:sz w:val="18"/>
                <w:szCs w:val="18"/>
                <w:highlight w:val="none"/>
                <w:lang w:val="en-US" w:eastAsia="zh-CN" w:bidi="ar-SA"/>
              </w:rPr>
            </w:pPr>
          </w:p>
        </w:tc>
        <w:tc>
          <w:tcPr>
            <w:tcW w:w="288" w:type="pct"/>
            <w:vMerge w:val="continue"/>
            <w:shd w:val="clear" w:color="auto" w:fill="auto"/>
            <w:noWrap w:val="0"/>
            <w:vAlign w:val="top"/>
          </w:tcPr>
          <w:p w14:paraId="72E5F6E3">
            <w:pPr>
              <w:keepNext w:val="0"/>
              <w:keepLines w:val="0"/>
              <w:pageBreakBefore w:val="0"/>
              <w:widowControl w:val="0"/>
              <w:numPr>
                <w:ilvl w:val="0"/>
                <w:numId w:val="0"/>
              </w:numPr>
              <w:suppressLineNumbers w:val="0"/>
              <w:kinsoku/>
              <w:wordWrap/>
              <w:overflowPunct/>
              <w:topLinePunct w:val="0"/>
              <w:autoSpaceDE/>
              <w:autoSpaceDN/>
              <w:bidi w:val="0"/>
              <w:snapToGrid/>
              <w:spacing w:beforeAutospacing="0" w:afterAutospacing="0" w:line="240" w:lineRule="atLeast"/>
              <w:ind w:left="0" w:right="0"/>
              <w:textAlignment w:val="auto"/>
              <w:outlineLvl w:val="2"/>
              <w:rPr>
                <w:rFonts w:hint="default" w:ascii="宋体" w:hAnsi="宋体" w:eastAsia="宋体" w:cs="宋体"/>
                <w:color w:val="000000"/>
                <w:sz w:val="18"/>
                <w:szCs w:val="18"/>
                <w:highlight w:val="none"/>
                <w:lang w:val="en-US" w:eastAsia="zh-CN" w:bidi="ar-SA"/>
              </w:rPr>
            </w:pPr>
          </w:p>
        </w:tc>
        <w:tc>
          <w:tcPr>
            <w:tcW w:w="310" w:type="pct"/>
            <w:vMerge w:val="restart"/>
            <w:shd w:val="clear" w:color="auto" w:fill="auto"/>
            <w:noWrap w:val="0"/>
            <w:vAlign w:val="center"/>
          </w:tcPr>
          <w:p w14:paraId="4170FA68">
            <w:pPr>
              <w:keepNext w:val="0"/>
              <w:keepLines w:val="0"/>
              <w:pageBreakBefore w:val="0"/>
              <w:widowControl w:val="0"/>
              <w:numPr>
                <w:ilvl w:val="0"/>
                <w:numId w:val="0"/>
              </w:numPr>
              <w:suppressLineNumbers w:val="0"/>
              <w:kinsoku/>
              <w:wordWrap/>
              <w:overflowPunct/>
              <w:topLinePunct w:val="0"/>
              <w:autoSpaceDE/>
              <w:autoSpaceDN/>
              <w:bidi w:val="0"/>
              <w:adjustRightInd w:val="0"/>
              <w:snapToGrid/>
              <w:spacing w:beforeAutospacing="0" w:afterAutospacing="0" w:line="240" w:lineRule="atLeast"/>
              <w:ind w:left="0" w:right="0"/>
              <w:jc w:val="center"/>
              <w:textAlignment w:val="auto"/>
              <w:outlineLvl w:val="2"/>
              <w:rPr>
                <w:rFonts w:hint="eastAsia" w:ascii="宋体" w:hAnsi="宋体" w:cs="宋体"/>
                <w:color w:val="000000"/>
                <w:sz w:val="18"/>
                <w:szCs w:val="18"/>
                <w:highlight w:val="none"/>
                <w:lang w:val="en-US" w:eastAsia="zh-CN" w:bidi="ar-SA"/>
              </w:rPr>
            </w:pPr>
            <w:r>
              <w:rPr>
                <w:rFonts w:hint="eastAsia" w:ascii="宋体" w:hAnsi="宋体" w:cs="宋体"/>
                <w:color w:val="000000"/>
                <w:sz w:val="18"/>
                <w:szCs w:val="18"/>
                <w:highlight w:val="none"/>
                <w:lang w:val="en-US" w:eastAsia="zh-CN" w:bidi="ar-SA"/>
              </w:rPr>
              <w:t>利益</w:t>
            </w:r>
          </w:p>
          <w:p w14:paraId="5365C1B8">
            <w:pPr>
              <w:keepNext w:val="0"/>
              <w:keepLines w:val="0"/>
              <w:pageBreakBefore w:val="0"/>
              <w:widowControl w:val="0"/>
              <w:numPr>
                <w:ilvl w:val="0"/>
                <w:numId w:val="0"/>
              </w:numPr>
              <w:suppressLineNumbers w:val="0"/>
              <w:kinsoku/>
              <w:wordWrap/>
              <w:overflowPunct/>
              <w:topLinePunct w:val="0"/>
              <w:autoSpaceDE/>
              <w:autoSpaceDN/>
              <w:bidi w:val="0"/>
              <w:adjustRightInd w:val="0"/>
              <w:snapToGrid/>
              <w:spacing w:beforeAutospacing="0" w:afterAutospacing="0" w:line="240" w:lineRule="atLeast"/>
              <w:ind w:left="0" w:right="0"/>
              <w:jc w:val="center"/>
              <w:textAlignment w:val="auto"/>
              <w:outlineLvl w:val="2"/>
              <w:rPr>
                <w:rFonts w:hint="default" w:ascii="宋体" w:hAnsi="宋体" w:eastAsia="宋体" w:cs="宋体"/>
                <w:color w:val="000000"/>
                <w:sz w:val="18"/>
                <w:szCs w:val="18"/>
                <w:highlight w:val="none"/>
                <w:lang w:val="en-US" w:eastAsia="zh-CN" w:bidi="ar-SA"/>
              </w:rPr>
            </w:pPr>
            <w:r>
              <w:rPr>
                <w:rFonts w:hint="default" w:ascii="宋体" w:hAnsi="宋体" w:eastAsia="宋体" w:cs="宋体"/>
                <w:color w:val="000000"/>
                <w:sz w:val="18"/>
                <w:szCs w:val="18"/>
                <w:highlight w:val="none"/>
                <w:lang w:val="en-US" w:eastAsia="zh-CN" w:bidi="ar-SA"/>
              </w:rPr>
              <w:t>分配（0.</w:t>
            </w:r>
            <w:r>
              <w:rPr>
                <w:rFonts w:hint="eastAsia" w:ascii="宋体" w:hAnsi="宋体" w:cs="宋体"/>
                <w:color w:val="000000"/>
                <w:sz w:val="18"/>
                <w:szCs w:val="18"/>
                <w:highlight w:val="none"/>
                <w:lang w:val="en-US" w:eastAsia="zh-CN" w:bidi="ar-SA"/>
              </w:rPr>
              <w:t>4</w:t>
            </w:r>
            <w:r>
              <w:rPr>
                <w:rFonts w:hint="default" w:ascii="宋体" w:hAnsi="宋体" w:eastAsia="宋体" w:cs="宋体"/>
                <w:color w:val="000000"/>
                <w:sz w:val="18"/>
                <w:szCs w:val="18"/>
                <w:highlight w:val="none"/>
                <w:lang w:val="en-US" w:eastAsia="zh-CN" w:bidi="ar-SA"/>
              </w:rPr>
              <w:t>）</w:t>
            </w:r>
          </w:p>
        </w:tc>
        <w:tc>
          <w:tcPr>
            <w:tcW w:w="458" w:type="pct"/>
            <w:shd w:val="clear" w:color="auto" w:fill="auto"/>
            <w:noWrap w:val="0"/>
            <w:vAlign w:val="center"/>
          </w:tcPr>
          <w:p w14:paraId="0DE76DC9">
            <w:pPr>
              <w:keepNext w:val="0"/>
              <w:keepLines w:val="0"/>
              <w:pageBreakBefore w:val="0"/>
              <w:widowControl w:val="0"/>
              <w:numPr>
                <w:ilvl w:val="0"/>
                <w:numId w:val="0"/>
              </w:numPr>
              <w:suppressLineNumbers w:val="0"/>
              <w:kinsoku/>
              <w:wordWrap/>
              <w:overflowPunct/>
              <w:topLinePunct w:val="0"/>
              <w:autoSpaceDE/>
              <w:autoSpaceDN/>
              <w:bidi w:val="0"/>
              <w:snapToGrid/>
              <w:spacing w:beforeAutospacing="0" w:afterAutospacing="0" w:line="240" w:lineRule="atLeast"/>
              <w:ind w:left="0" w:leftChars="0" w:right="0" w:rightChars="0" w:firstLine="0" w:firstLineChars="0"/>
              <w:jc w:val="center"/>
              <w:textAlignment w:val="auto"/>
              <w:outlineLvl w:val="2"/>
              <w:rPr>
                <w:rFonts w:hint="default" w:ascii="宋体" w:hAnsi="宋体" w:eastAsia="宋体" w:cs="宋体"/>
                <w:color w:val="000000"/>
                <w:kern w:val="2"/>
                <w:sz w:val="18"/>
                <w:szCs w:val="18"/>
                <w:highlight w:val="none"/>
                <w:lang w:val="en-US" w:eastAsia="zh-CN" w:bidi="ar-SA"/>
              </w:rPr>
            </w:pPr>
            <w:r>
              <w:rPr>
                <w:rFonts w:hint="eastAsia" w:ascii="宋体" w:hAnsi="宋体" w:cs="宋体"/>
                <w:color w:val="000000"/>
                <w:sz w:val="18"/>
                <w:szCs w:val="18"/>
                <w:highlight w:val="none"/>
                <w:lang w:val="en-US" w:eastAsia="zh-CN" w:bidi="ar-SA"/>
              </w:rPr>
              <w:t>按劳分配（0.4）</w:t>
            </w:r>
          </w:p>
          <w:p w14:paraId="229177BD">
            <w:pPr>
              <w:keepNext w:val="0"/>
              <w:keepLines w:val="0"/>
              <w:pageBreakBefore w:val="0"/>
              <w:widowControl w:val="0"/>
              <w:numPr>
                <w:ilvl w:val="0"/>
                <w:numId w:val="0"/>
              </w:numPr>
              <w:suppressLineNumbers w:val="0"/>
              <w:kinsoku/>
              <w:wordWrap/>
              <w:overflowPunct/>
              <w:topLinePunct w:val="0"/>
              <w:autoSpaceDE/>
              <w:autoSpaceDN/>
              <w:bidi w:val="0"/>
              <w:snapToGrid/>
              <w:spacing w:beforeAutospacing="0" w:afterAutospacing="0" w:line="240" w:lineRule="atLeast"/>
              <w:ind w:left="0" w:leftChars="0" w:right="0" w:firstLine="0" w:firstLineChars="0"/>
              <w:jc w:val="center"/>
              <w:textAlignment w:val="auto"/>
              <w:outlineLvl w:val="2"/>
              <w:rPr>
                <w:rFonts w:hint="default" w:ascii="宋体" w:hAnsi="宋体" w:cs="宋体"/>
                <w:color w:val="000000"/>
                <w:sz w:val="18"/>
                <w:szCs w:val="18"/>
                <w:highlight w:val="none"/>
                <w:lang w:val="en-US" w:eastAsia="zh-CN" w:bidi="ar-SA"/>
              </w:rPr>
            </w:pPr>
          </w:p>
        </w:tc>
        <w:tc>
          <w:tcPr>
            <w:tcW w:w="616" w:type="pct"/>
            <w:tcBorders>
              <w:right w:val="single" w:color="auto" w:sz="4" w:space="0"/>
            </w:tcBorders>
            <w:shd w:val="clear" w:color="auto" w:fill="auto"/>
            <w:noWrap w:val="0"/>
            <w:vAlign w:val="center"/>
          </w:tcPr>
          <w:p w14:paraId="378F2A90">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tLeast"/>
              <w:ind w:left="0" w:right="0"/>
              <w:textAlignment w:val="auto"/>
              <w:rPr>
                <w:rFonts w:hint="eastAsia" w:ascii="宋体" w:hAnsi="宋体" w:cs="宋体"/>
                <w:color w:val="000000" w:themeColor="text1"/>
                <w:sz w:val="18"/>
                <w:szCs w:val="18"/>
                <w:highlight w:val="none"/>
                <w:lang w:val="en-US" w:eastAsia="zh-CN"/>
                <w14:textFill>
                  <w14:solidFill>
                    <w14:schemeClr w14:val="tx1"/>
                  </w14:solidFill>
                </w14:textFill>
              </w:rPr>
            </w:pPr>
            <w:r>
              <w:rPr>
                <w:rFonts w:hint="eastAsia" w:ascii="宋体" w:hAnsi="宋体" w:cs="宋体"/>
                <w:color w:val="000000" w:themeColor="text1"/>
                <w:sz w:val="18"/>
                <w:szCs w:val="18"/>
                <w:highlight w:val="none"/>
                <w:lang w:val="en-US" w:eastAsia="zh-CN"/>
                <w14:textFill>
                  <w14:solidFill>
                    <w14:schemeClr w14:val="tx1"/>
                  </w14:solidFill>
                </w14:textFill>
              </w:rPr>
              <w:t>康养产业从业人员</w:t>
            </w:r>
          </w:p>
          <w:p w14:paraId="10D380BE">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tLeast"/>
              <w:ind w:left="0" w:right="0"/>
              <w:textAlignment w:val="auto"/>
              <w:rPr>
                <w:rFonts w:hint="eastAsia" w:ascii="宋体" w:hAnsi="宋体" w:eastAsia="宋体" w:cs="宋体"/>
                <w:color w:val="000000" w:themeColor="text1"/>
                <w:sz w:val="18"/>
                <w:szCs w:val="18"/>
                <w:highlight w:val="none"/>
                <w:lang w:eastAsia="zh-CN"/>
                <w14:textFill>
                  <w14:solidFill>
                    <w14:schemeClr w14:val="tx1"/>
                  </w14:solidFill>
                </w14:textFill>
              </w:rPr>
            </w:pPr>
            <w:r>
              <w:rPr>
                <w:rFonts w:hint="eastAsia" w:ascii="宋体" w:hAnsi="宋体" w:cs="宋体"/>
                <w:color w:val="000000" w:themeColor="text1"/>
                <w:sz w:val="18"/>
                <w:szCs w:val="18"/>
                <w:highlight w:val="none"/>
                <w:lang w:val="en-US" w:eastAsia="zh-CN"/>
                <w14:textFill>
                  <w14:solidFill>
                    <w14:schemeClr w14:val="tx1"/>
                  </w14:solidFill>
                </w14:textFill>
              </w:rPr>
              <w:t>年平均工资</w:t>
            </w:r>
          </w:p>
        </w:tc>
        <w:tc>
          <w:tcPr>
            <w:tcW w:w="236" w:type="pct"/>
            <w:tcBorders>
              <w:left w:val="single" w:color="auto" w:sz="4" w:space="0"/>
              <w:right w:val="single" w:color="auto" w:sz="4" w:space="0"/>
            </w:tcBorders>
            <w:shd w:val="clear" w:color="auto" w:fill="auto"/>
            <w:noWrap w:val="0"/>
            <w:vAlign w:val="center"/>
          </w:tcPr>
          <w:p w14:paraId="30E15053">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tLeast"/>
              <w:ind w:left="0" w:right="0"/>
              <w:jc w:val="center"/>
              <w:textAlignment w:val="auto"/>
              <w:rPr>
                <w:rFonts w:hint="eastAsia" w:ascii="宋体" w:hAnsi="宋体" w:eastAsia="宋体" w:cs="宋体"/>
                <w:color w:val="000000" w:themeColor="text1"/>
                <w:sz w:val="18"/>
                <w:szCs w:val="18"/>
                <w:lang w:val="en-US" w:eastAsia="zh-CN"/>
                <w14:textFill>
                  <w14:solidFill>
                    <w14:schemeClr w14:val="tx1"/>
                  </w14:solidFill>
                </w14:textFill>
              </w:rPr>
            </w:pPr>
            <w:r>
              <w:rPr>
                <w:rFonts w:hint="eastAsia" w:ascii="宋体" w:hAnsi="宋体" w:cs="宋体"/>
                <w:color w:val="000000" w:themeColor="text1"/>
                <w:sz w:val="18"/>
                <w:szCs w:val="18"/>
                <w:lang w:val="en-US" w:eastAsia="zh-CN"/>
                <w14:textFill>
                  <w14:solidFill>
                    <w14:schemeClr w14:val="tx1"/>
                  </w14:solidFill>
                </w14:textFill>
              </w:rPr>
              <w:t>万元</w:t>
            </w:r>
          </w:p>
        </w:tc>
        <w:tc>
          <w:tcPr>
            <w:tcW w:w="1773" w:type="pct"/>
            <w:tcBorders>
              <w:left w:val="single" w:color="auto" w:sz="4" w:space="0"/>
              <w:right w:val="single" w:color="auto" w:sz="4" w:space="0"/>
            </w:tcBorders>
            <w:shd w:val="clear" w:color="auto" w:fill="auto"/>
            <w:noWrap w:val="0"/>
            <w:vAlign w:val="center"/>
          </w:tcPr>
          <w:p w14:paraId="01C60BC9">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tLeast"/>
              <w:ind w:left="0" w:right="0"/>
              <w:textAlignment w:val="auto"/>
              <w:rPr>
                <w:rFonts w:hint="eastAsia" w:ascii="宋体" w:hAnsi="宋体" w:eastAsia="宋体" w:cs="宋体"/>
                <w:color w:val="000000" w:themeColor="text1"/>
                <w:sz w:val="18"/>
                <w:szCs w:val="18"/>
                <w:lang w:val="en-US" w:eastAsia="zh-CN"/>
                <w14:textFill>
                  <w14:solidFill>
                    <w14:schemeClr w14:val="tx1"/>
                  </w14:solidFill>
                </w14:textFill>
              </w:rPr>
            </w:pPr>
            <w:r>
              <w:rPr>
                <w:rFonts w:hint="eastAsia" w:ascii="宋体" w:hAnsi="宋体" w:cs="宋体"/>
                <w:color w:val="000000" w:themeColor="text1"/>
                <w:sz w:val="18"/>
                <w:szCs w:val="18"/>
                <w:lang w:val="en-US" w:eastAsia="zh-CN"/>
                <w14:textFill>
                  <w14:solidFill>
                    <w14:schemeClr w14:val="tx1"/>
                  </w14:solidFill>
                </w14:textFill>
              </w:rPr>
              <w:t>指报告年度内，联合体内从事</w:t>
            </w:r>
            <w:r>
              <w:rPr>
                <w:rFonts w:hint="eastAsia" w:ascii="宋体" w:hAnsi="宋体" w:cs="宋体"/>
                <w:color w:val="000000" w:themeColor="text1"/>
                <w:sz w:val="18"/>
                <w:szCs w:val="18"/>
                <w:highlight w:val="none"/>
                <w:lang w:val="en-US" w:eastAsia="zh-CN"/>
                <w14:textFill>
                  <w14:solidFill>
                    <w14:schemeClr w14:val="tx1"/>
                  </w14:solidFill>
                </w14:textFill>
              </w:rPr>
              <w:t>康养产业的从业人员工资总额</w:t>
            </w:r>
            <w:r>
              <w:rPr>
                <w:rFonts w:hint="eastAsia" w:ascii="宋体" w:hAnsi="宋体" w:cs="宋体"/>
                <w:color w:val="000000" w:themeColor="text1"/>
                <w:sz w:val="18"/>
                <w:szCs w:val="18"/>
                <w:lang w:val="en-US" w:eastAsia="zh-CN"/>
                <w14:textFill>
                  <w14:solidFill>
                    <w14:schemeClr w14:val="tx1"/>
                  </w14:solidFill>
                </w14:textFill>
              </w:rPr>
              <w:t>与从业人员平均人数的比值</w:t>
            </w:r>
            <w:r>
              <w:rPr>
                <w:rFonts w:hint="eastAsia" w:ascii="宋体" w:hAnsi="宋体" w:cs="宋体"/>
                <w:color w:val="000000" w:themeColor="text1"/>
                <w:sz w:val="18"/>
                <w:szCs w:val="18"/>
                <w:highlight w:val="none"/>
                <w:lang w:val="en-US" w:eastAsia="zh-CN"/>
                <w14:textFill>
                  <w14:solidFill>
                    <w14:schemeClr w14:val="tx1"/>
                  </w14:solidFill>
                </w14:textFill>
              </w:rPr>
              <w:t xml:space="preserve"> 。</w:t>
            </w:r>
            <w:r>
              <w:rPr>
                <w:rFonts w:hint="eastAsia" w:ascii="宋体" w:hAnsi="宋体" w:eastAsia="宋体" w:cs="宋体"/>
                <w:i w:val="0"/>
                <w:iCs w:val="0"/>
                <w:caps w:val="0"/>
                <w:color w:val="000000" w:themeColor="text1"/>
                <w:spacing w:val="0"/>
                <w:sz w:val="18"/>
                <w:szCs w:val="18"/>
                <w:shd w:val="clear" w:fill="auto"/>
                <w14:textFill>
                  <w14:solidFill>
                    <w14:schemeClr w14:val="tx1"/>
                  </w14:solidFill>
                </w14:textFill>
              </w:rPr>
              <w:t>其中，工资总额包括基本工资、奖金、津贴、补贴、加班费等税前收入，</w:t>
            </w:r>
            <w:r>
              <w:rPr>
                <w:rFonts w:hint="eastAsia" w:ascii="宋体" w:hAnsi="宋体" w:cs="宋体"/>
                <w:i w:val="0"/>
                <w:iCs w:val="0"/>
                <w:caps w:val="0"/>
                <w:color w:val="000000" w:themeColor="text1"/>
                <w:spacing w:val="0"/>
                <w:sz w:val="18"/>
                <w:szCs w:val="18"/>
                <w:shd w:val="clear"/>
                <w:lang w:val="en-US" w:eastAsia="zh-CN"/>
                <w14:textFill>
                  <w14:solidFill>
                    <w14:schemeClr w14:val="tx1"/>
                  </w14:solidFill>
                </w14:textFill>
              </w:rPr>
              <w:t>包括代扣或代缴的个人所得税、</w:t>
            </w:r>
            <w:r>
              <w:rPr>
                <w:rFonts w:hint="eastAsia" w:ascii="宋体" w:hAnsi="宋体" w:eastAsia="宋体" w:cs="宋体"/>
                <w:i w:val="0"/>
                <w:iCs w:val="0"/>
                <w:caps w:val="0"/>
                <w:color w:val="000000" w:themeColor="text1"/>
                <w:spacing w:val="0"/>
                <w:sz w:val="18"/>
                <w:szCs w:val="18"/>
                <w:shd w:val="clear" w:fill="auto"/>
                <w14:textFill>
                  <w14:solidFill>
                    <w14:schemeClr w14:val="tx1"/>
                  </w14:solidFill>
                </w14:textFill>
              </w:rPr>
              <w:t>社保</w:t>
            </w:r>
            <w:r>
              <w:rPr>
                <w:rFonts w:hint="eastAsia" w:ascii="宋体" w:hAnsi="宋体" w:cs="宋体"/>
                <w:i w:val="0"/>
                <w:iCs w:val="0"/>
                <w:caps w:val="0"/>
                <w:color w:val="000000" w:themeColor="text1"/>
                <w:spacing w:val="0"/>
                <w:sz w:val="18"/>
                <w:szCs w:val="18"/>
                <w:shd w:val="clear"/>
                <w:lang w:val="en-US" w:eastAsia="zh-CN"/>
                <w14:textFill>
                  <w14:solidFill>
                    <w14:schemeClr w14:val="tx1"/>
                  </w14:solidFill>
                </w14:textFill>
              </w:rPr>
              <w:t>以及</w:t>
            </w:r>
            <w:r>
              <w:rPr>
                <w:rFonts w:hint="eastAsia" w:ascii="宋体" w:hAnsi="宋体" w:eastAsia="宋体" w:cs="宋体"/>
                <w:i w:val="0"/>
                <w:iCs w:val="0"/>
                <w:caps w:val="0"/>
                <w:color w:val="000000" w:themeColor="text1"/>
                <w:spacing w:val="0"/>
                <w:sz w:val="18"/>
                <w:szCs w:val="18"/>
                <w:shd w:val="clear" w:fill="auto"/>
                <w14:textFill>
                  <w14:solidFill>
                    <w14:schemeClr w14:val="tx1"/>
                  </w14:solidFill>
                </w14:textFill>
              </w:rPr>
              <w:t>公积金个人缴纳部分</w:t>
            </w:r>
            <w:r>
              <w:rPr>
                <w:rFonts w:hint="eastAsia" w:ascii="宋体" w:hAnsi="宋体" w:cs="宋体"/>
                <w:i w:val="0"/>
                <w:iCs w:val="0"/>
                <w:caps w:val="0"/>
                <w:color w:val="000000" w:themeColor="text1"/>
                <w:spacing w:val="0"/>
                <w:sz w:val="18"/>
                <w:szCs w:val="18"/>
                <w:shd w:val="clear"/>
                <w:lang w:eastAsia="zh-CN"/>
                <w14:textFill>
                  <w14:solidFill>
                    <w14:schemeClr w14:val="tx1"/>
                  </w14:solidFill>
                </w14:textFill>
              </w:rPr>
              <w:t>，反映联合体内康养产业从业人员的整体收入水平</w:t>
            </w:r>
            <w:r>
              <w:rPr>
                <w:rFonts w:hint="eastAsia" w:ascii="宋体" w:hAnsi="宋体" w:cs="宋体"/>
                <w:i w:val="0"/>
                <w:iCs w:val="0"/>
                <w:caps w:val="0"/>
                <w:color w:val="000000" w:themeColor="text1"/>
                <w:spacing w:val="0"/>
                <w:sz w:val="18"/>
                <w:szCs w:val="18"/>
                <w:shd w:val="clear"/>
                <w:lang w:val="en-US" w:eastAsia="zh-CN"/>
                <w14:textFill>
                  <w14:solidFill>
                    <w14:schemeClr w14:val="tx1"/>
                  </w14:solidFill>
                </w14:textFill>
              </w:rPr>
              <w:t>（评分标准：工资＜4万元得60分； 4≤工资＜6万元得80分 ；工资≥6万元得100分）</w:t>
            </w:r>
            <w:r>
              <w:rPr>
                <w:rFonts w:hint="default" w:ascii="Arial" w:hAnsi="Arial" w:eastAsia="Arial" w:cs="Arial"/>
                <w:i w:val="0"/>
                <w:iCs w:val="0"/>
                <w:caps w:val="0"/>
                <w:color w:val="333333"/>
                <w:spacing w:val="0"/>
                <w:sz w:val="19"/>
                <w:szCs w:val="19"/>
                <w:shd w:val="clear" w:fill="FFFFFF"/>
              </w:rPr>
              <w:t>‌</w:t>
            </w:r>
          </w:p>
        </w:tc>
        <w:tc>
          <w:tcPr>
            <w:tcW w:w="365" w:type="pct"/>
            <w:tcBorders>
              <w:left w:val="single" w:color="auto" w:sz="4" w:space="0"/>
              <w:right w:val="single" w:color="auto" w:sz="4" w:space="0"/>
            </w:tcBorders>
            <w:shd w:val="clear" w:color="auto" w:fill="auto"/>
            <w:noWrap w:val="0"/>
            <w:vAlign w:val="center"/>
          </w:tcPr>
          <w:p w14:paraId="111F84FC">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tLeast"/>
              <w:ind w:left="0" w:right="0"/>
              <w:jc w:val="center"/>
              <w:textAlignment w:val="auto"/>
              <w:rPr>
                <w:rFonts w:hint="eastAsia" w:ascii="宋体" w:hAnsi="宋体" w:cs="宋体"/>
                <w:color w:val="000000" w:themeColor="text1"/>
                <w:sz w:val="18"/>
                <w:szCs w:val="18"/>
                <w:lang w:val="en-US" w:eastAsia="zh-CN"/>
                <w14:textFill>
                  <w14:solidFill>
                    <w14:schemeClr w14:val="tx1"/>
                  </w14:solidFill>
                </w14:textFill>
              </w:rPr>
            </w:pPr>
            <w:r>
              <w:rPr>
                <w:rFonts w:hint="eastAsia" w:ascii="宋体" w:hAnsi="宋体" w:cs="宋体"/>
                <w:color w:val="000000" w:themeColor="text1"/>
                <w:sz w:val="18"/>
                <w:szCs w:val="18"/>
                <w:lang w:val="en-US" w:eastAsia="zh-CN"/>
                <w14:textFill>
                  <w14:solidFill>
                    <w14:schemeClr w14:val="tx1"/>
                  </w14:solidFill>
                </w14:textFill>
              </w:rPr>
              <w:t>报告期内康养产业从业人员工资总额 /从业人员平均人数</w:t>
            </w:r>
          </w:p>
        </w:tc>
        <w:tc>
          <w:tcPr>
            <w:tcW w:w="365" w:type="pct"/>
            <w:tcBorders>
              <w:left w:val="single" w:color="auto" w:sz="4" w:space="0"/>
              <w:right w:val="single" w:color="auto" w:sz="4" w:space="0"/>
            </w:tcBorders>
            <w:shd w:val="clear" w:color="auto" w:fill="auto"/>
            <w:noWrap w:val="0"/>
            <w:vAlign w:val="center"/>
          </w:tcPr>
          <w:p w14:paraId="66604F51">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tLeast"/>
              <w:ind w:left="0" w:right="0"/>
              <w:jc w:val="center"/>
              <w:textAlignment w:val="auto"/>
              <w:rPr>
                <w:rFonts w:hint="eastAsia" w:ascii="宋体" w:hAnsi="宋体" w:eastAsia="宋体" w:cs="宋体"/>
                <w:color w:val="000000"/>
                <w:sz w:val="18"/>
                <w:szCs w:val="18"/>
                <w:lang w:val="en-US" w:eastAsia="zh-CN"/>
              </w:rPr>
            </w:pPr>
            <w:r>
              <w:rPr>
                <w:rFonts w:hint="eastAsia" w:ascii="宋体" w:hAnsi="宋体" w:cs="宋体"/>
                <w:color w:val="000000" w:themeColor="text1"/>
                <w:sz w:val="18"/>
                <w:szCs w:val="18"/>
                <w:lang w:val="en-US" w:eastAsia="zh-CN"/>
                <w14:textFill>
                  <w14:solidFill>
                    <w14:schemeClr w14:val="tx1"/>
                  </w14:solidFill>
                </w14:textFill>
              </w:rPr>
              <w:t>创富工作形成数据</w:t>
            </w:r>
          </w:p>
        </w:tc>
        <w:tc>
          <w:tcPr>
            <w:tcW w:w="378" w:type="pct"/>
            <w:vMerge w:val="restart"/>
            <w:tcBorders>
              <w:left w:val="single" w:color="auto" w:sz="4" w:space="0"/>
              <w:right w:val="single" w:color="auto" w:sz="12" w:space="0"/>
            </w:tcBorders>
            <w:shd w:val="clear" w:color="auto" w:fill="auto"/>
            <w:noWrap w:val="0"/>
            <w:vAlign w:val="center"/>
          </w:tcPr>
          <w:p w14:paraId="2BA63D8D">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tLeast"/>
              <w:ind w:left="0" w:right="0"/>
              <w:jc w:val="center"/>
              <w:textAlignment w:val="auto"/>
              <w:rPr>
                <w:rFonts w:hint="default" w:ascii="宋体" w:hAnsi="宋体" w:eastAsia="宋体" w:cs="宋体"/>
                <w:color w:val="000000"/>
                <w:sz w:val="18"/>
                <w:szCs w:val="18"/>
                <w:highlight w:val="none"/>
                <w:lang w:val="en-US" w:eastAsia="zh-CN"/>
              </w:rPr>
            </w:pPr>
            <w:r>
              <w:rPr>
                <w:rFonts w:hint="default" w:ascii="宋体" w:hAnsi="宋体" w:eastAsia="宋体" w:cs="宋体"/>
                <w:color w:val="000000"/>
                <w:sz w:val="18"/>
                <w:szCs w:val="18"/>
                <w:highlight w:val="none"/>
                <w:lang w:val="en-US" w:eastAsia="zh-CN"/>
              </w:rPr>
              <w:t>每</w:t>
            </w:r>
            <w:r>
              <w:rPr>
                <w:rFonts w:hint="eastAsia" w:ascii="宋体" w:hAnsi="宋体" w:cs="宋体"/>
                <w:color w:val="000000"/>
                <w:sz w:val="18"/>
                <w:szCs w:val="18"/>
                <w:highlight w:val="none"/>
                <w:lang w:val="en-US" w:eastAsia="zh-CN"/>
              </w:rPr>
              <w:t>年</w:t>
            </w:r>
          </w:p>
          <w:p w14:paraId="04CB2D7D">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tLeast"/>
              <w:ind w:left="0" w:right="0"/>
              <w:jc w:val="center"/>
              <w:textAlignment w:val="auto"/>
              <w:rPr>
                <w:rFonts w:hint="default" w:ascii="宋体" w:hAnsi="宋体" w:eastAsia="宋体" w:cs="宋体"/>
                <w:color w:val="000000"/>
                <w:sz w:val="18"/>
                <w:szCs w:val="18"/>
                <w:highlight w:val="none"/>
                <w:lang w:val="en-US" w:eastAsia="zh-CN"/>
              </w:rPr>
            </w:pPr>
            <w:r>
              <w:rPr>
                <w:rFonts w:hint="default" w:ascii="宋体" w:hAnsi="宋体" w:eastAsia="宋体" w:cs="宋体"/>
                <w:color w:val="000000"/>
                <w:sz w:val="18"/>
                <w:szCs w:val="18"/>
                <w:highlight w:val="none"/>
                <w:lang w:val="en-US" w:eastAsia="zh-CN"/>
              </w:rPr>
              <w:t>1次</w:t>
            </w:r>
          </w:p>
        </w:tc>
      </w:tr>
      <w:tr w14:paraId="6F1D3511">
        <w:tblPrEx>
          <w:tblBorders>
            <w:top w:val="single" w:color="auto" w:sz="4" w:space="0"/>
            <w:left w:val="single" w:color="auto" w:sz="4" w:space="0"/>
            <w:bottom w:val="single" w:color="auto" w:sz="12"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9" w:type="pct"/>
            <w:tcBorders>
              <w:left w:val="single" w:color="auto" w:sz="12" w:space="0"/>
            </w:tcBorders>
            <w:shd w:val="clear" w:color="auto" w:fill="auto"/>
            <w:noWrap w:val="0"/>
            <w:vAlign w:val="center"/>
          </w:tcPr>
          <w:p w14:paraId="332F97F4">
            <w:pPr>
              <w:keepNext w:val="0"/>
              <w:keepLines w:val="0"/>
              <w:pageBreakBefore w:val="0"/>
              <w:widowControl w:val="0"/>
              <w:numPr>
                <w:ilvl w:val="0"/>
                <w:numId w:val="35"/>
              </w:numPr>
              <w:suppressLineNumbers w:val="0"/>
              <w:kinsoku/>
              <w:wordWrap/>
              <w:overflowPunct/>
              <w:topLinePunct w:val="0"/>
              <w:autoSpaceDE/>
              <w:autoSpaceDN/>
              <w:bidi w:val="0"/>
              <w:snapToGrid/>
              <w:spacing w:beforeAutospacing="0" w:afterAutospacing="0" w:line="240" w:lineRule="atLeast"/>
              <w:ind w:right="0"/>
              <w:jc w:val="center"/>
              <w:textAlignment w:val="auto"/>
              <w:outlineLvl w:val="2"/>
              <w:rPr>
                <w:rFonts w:hint="eastAsia" w:ascii="宋体" w:hAnsi="宋体" w:eastAsia="宋体" w:cs="宋体"/>
                <w:color w:val="000000"/>
                <w:sz w:val="18"/>
                <w:szCs w:val="18"/>
                <w:highlight w:val="none"/>
                <w:lang w:val="en-US" w:eastAsia="zh-CN" w:bidi="ar-SA"/>
              </w:rPr>
            </w:pPr>
          </w:p>
        </w:tc>
        <w:tc>
          <w:tcPr>
            <w:tcW w:w="288" w:type="pct"/>
            <w:vMerge w:val="continue"/>
            <w:shd w:val="clear" w:color="auto" w:fill="auto"/>
            <w:noWrap w:val="0"/>
            <w:vAlign w:val="top"/>
          </w:tcPr>
          <w:p w14:paraId="0021FA8F">
            <w:pPr>
              <w:keepNext w:val="0"/>
              <w:keepLines w:val="0"/>
              <w:pageBreakBefore w:val="0"/>
              <w:widowControl w:val="0"/>
              <w:numPr>
                <w:ilvl w:val="0"/>
                <w:numId w:val="0"/>
              </w:numPr>
              <w:suppressLineNumbers w:val="0"/>
              <w:kinsoku/>
              <w:wordWrap/>
              <w:overflowPunct/>
              <w:topLinePunct w:val="0"/>
              <w:autoSpaceDE/>
              <w:autoSpaceDN/>
              <w:bidi w:val="0"/>
              <w:snapToGrid/>
              <w:spacing w:beforeAutospacing="0" w:afterAutospacing="0" w:line="240" w:lineRule="atLeast"/>
              <w:ind w:left="0" w:right="0"/>
              <w:textAlignment w:val="auto"/>
              <w:outlineLvl w:val="2"/>
              <w:rPr>
                <w:rFonts w:hint="default" w:ascii="宋体" w:hAnsi="宋体" w:eastAsia="宋体" w:cs="宋体"/>
                <w:color w:val="000000"/>
                <w:sz w:val="18"/>
                <w:szCs w:val="18"/>
                <w:highlight w:val="none"/>
                <w:lang w:val="en-US" w:eastAsia="zh-CN" w:bidi="ar-SA"/>
              </w:rPr>
            </w:pPr>
          </w:p>
        </w:tc>
        <w:tc>
          <w:tcPr>
            <w:tcW w:w="310" w:type="pct"/>
            <w:vMerge w:val="continue"/>
            <w:shd w:val="clear" w:color="auto" w:fill="auto"/>
            <w:noWrap w:val="0"/>
            <w:vAlign w:val="center"/>
          </w:tcPr>
          <w:p w14:paraId="3562B1D1">
            <w:pPr>
              <w:keepNext w:val="0"/>
              <w:keepLines w:val="0"/>
              <w:pageBreakBefore w:val="0"/>
              <w:widowControl w:val="0"/>
              <w:numPr>
                <w:ilvl w:val="0"/>
                <w:numId w:val="0"/>
              </w:numPr>
              <w:suppressLineNumbers w:val="0"/>
              <w:kinsoku/>
              <w:wordWrap/>
              <w:overflowPunct/>
              <w:topLinePunct w:val="0"/>
              <w:autoSpaceDE/>
              <w:autoSpaceDN/>
              <w:bidi w:val="0"/>
              <w:snapToGrid/>
              <w:spacing w:beforeAutospacing="0" w:afterAutospacing="0" w:line="240" w:lineRule="atLeast"/>
              <w:ind w:left="0" w:right="0"/>
              <w:jc w:val="center"/>
              <w:textAlignment w:val="auto"/>
              <w:outlineLvl w:val="2"/>
              <w:rPr>
                <w:rFonts w:hint="eastAsia" w:ascii="宋体" w:hAnsi="宋体" w:cs="宋体"/>
                <w:color w:val="000000"/>
                <w:sz w:val="18"/>
                <w:szCs w:val="18"/>
                <w:highlight w:val="none"/>
                <w:lang w:val="en-US" w:eastAsia="zh-CN" w:bidi="ar-SA"/>
              </w:rPr>
            </w:pPr>
          </w:p>
        </w:tc>
        <w:tc>
          <w:tcPr>
            <w:tcW w:w="458" w:type="pct"/>
            <w:shd w:val="clear" w:color="auto" w:fill="auto"/>
            <w:noWrap w:val="0"/>
            <w:vAlign w:val="center"/>
          </w:tcPr>
          <w:p w14:paraId="701246D6">
            <w:pPr>
              <w:keepNext w:val="0"/>
              <w:keepLines w:val="0"/>
              <w:pageBreakBefore w:val="0"/>
              <w:widowControl w:val="0"/>
              <w:numPr>
                <w:ilvl w:val="0"/>
                <w:numId w:val="0"/>
              </w:numPr>
              <w:suppressLineNumbers w:val="0"/>
              <w:kinsoku/>
              <w:wordWrap/>
              <w:overflowPunct/>
              <w:topLinePunct w:val="0"/>
              <w:autoSpaceDE/>
              <w:autoSpaceDN/>
              <w:bidi w:val="0"/>
              <w:snapToGrid/>
              <w:spacing w:beforeAutospacing="0" w:afterAutospacing="0" w:line="240" w:lineRule="atLeast"/>
              <w:ind w:left="0" w:leftChars="0" w:right="0" w:firstLine="0" w:firstLineChars="0"/>
              <w:jc w:val="center"/>
              <w:textAlignment w:val="auto"/>
              <w:outlineLvl w:val="2"/>
              <w:rPr>
                <w:rFonts w:hint="default" w:ascii="宋体" w:hAnsi="宋体" w:cs="宋体"/>
                <w:color w:val="000000"/>
                <w:sz w:val="18"/>
                <w:szCs w:val="18"/>
                <w:highlight w:val="none"/>
                <w:lang w:val="en-US" w:eastAsia="zh-CN" w:bidi="ar-SA"/>
              </w:rPr>
            </w:pPr>
            <w:r>
              <w:rPr>
                <w:rFonts w:hint="eastAsia" w:ascii="宋体" w:hAnsi="宋体" w:cs="宋体"/>
                <w:color w:val="000000"/>
                <w:sz w:val="18"/>
                <w:szCs w:val="18"/>
                <w:highlight w:val="none"/>
                <w:lang w:val="en-US" w:eastAsia="zh-CN" w:bidi="ar-SA"/>
              </w:rPr>
              <w:t>股权分红（0.3）</w:t>
            </w:r>
          </w:p>
        </w:tc>
        <w:tc>
          <w:tcPr>
            <w:tcW w:w="616" w:type="pct"/>
            <w:tcBorders>
              <w:right w:val="single" w:color="auto" w:sz="4" w:space="0"/>
            </w:tcBorders>
            <w:shd w:val="clear" w:color="auto" w:fill="auto"/>
            <w:noWrap w:val="0"/>
            <w:vAlign w:val="center"/>
          </w:tcPr>
          <w:p w14:paraId="6B9D5511">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tLeast"/>
              <w:ind w:left="0" w:right="0"/>
              <w:textAlignment w:val="auto"/>
              <w:rPr>
                <w:rFonts w:hint="default" w:ascii="宋体" w:hAnsi="宋体" w:cs="宋体"/>
                <w:color w:val="000000" w:themeColor="text1"/>
                <w:sz w:val="18"/>
                <w:szCs w:val="18"/>
                <w:highlight w:val="none"/>
                <w:lang w:val="en-US"/>
                <w14:textFill>
                  <w14:solidFill>
                    <w14:schemeClr w14:val="tx1"/>
                  </w14:solidFill>
                </w14:textFill>
              </w:rPr>
            </w:pPr>
            <w:r>
              <w:rPr>
                <w:rFonts w:hint="eastAsia" w:ascii="宋体" w:hAnsi="宋体" w:cs="宋体"/>
                <w:color w:val="000000"/>
                <w:sz w:val="18"/>
                <w:szCs w:val="18"/>
                <w:highlight w:val="none"/>
                <w:lang w:val="en-US" w:eastAsia="zh-CN" w:bidi="ar-SA"/>
              </w:rPr>
              <w:t>每股分红（0.25）</w:t>
            </w:r>
          </w:p>
        </w:tc>
        <w:tc>
          <w:tcPr>
            <w:tcW w:w="236" w:type="pct"/>
            <w:tcBorders>
              <w:left w:val="single" w:color="auto" w:sz="4" w:space="0"/>
              <w:right w:val="single" w:color="auto" w:sz="4" w:space="0"/>
            </w:tcBorders>
            <w:shd w:val="clear" w:color="auto" w:fill="auto"/>
            <w:noWrap w:val="0"/>
            <w:vAlign w:val="center"/>
          </w:tcPr>
          <w:p w14:paraId="018ECDB7">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tLeast"/>
              <w:ind w:left="0" w:right="0"/>
              <w:jc w:val="center"/>
              <w:textAlignment w:val="auto"/>
              <w:rPr>
                <w:rFonts w:hint="eastAsia" w:ascii="宋体" w:hAnsi="宋体" w:eastAsia="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lang w:val="en-US" w:eastAsia="zh-CN"/>
                <w14:textFill>
                  <w14:solidFill>
                    <w14:schemeClr w14:val="tx1"/>
                  </w14:solidFill>
                </w14:textFill>
              </w:rPr>
              <w:t>元</w:t>
            </w:r>
          </w:p>
        </w:tc>
        <w:tc>
          <w:tcPr>
            <w:tcW w:w="1773" w:type="pct"/>
            <w:tcBorders>
              <w:left w:val="single" w:color="auto" w:sz="4" w:space="0"/>
              <w:right w:val="single" w:color="auto" w:sz="4" w:space="0"/>
            </w:tcBorders>
            <w:shd w:val="clear" w:color="auto" w:fill="auto"/>
            <w:noWrap w:val="0"/>
            <w:vAlign w:val="center"/>
          </w:tcPr>
          <w:p w14:paraId="2074DE6D">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tLeast"/>
              <w:ind w:left="0" w:right="0"/>
              <w:textAlignment w:val="auto"/>
              <w:rPr>
                <w:rFonts w:hint="default" w:ascii="宋体" w:hAnsi="宋体" w:eastAsia="宋体" w:cs="宋体"/>
                <w:color w:val="000000" w:themeColor="text1"/>
                <w:sz w:val="18"/>
                <w:szCs w:val="18"/>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18"/>
                <w:szCs w:val="18"/>
                <w:shd w:val="clear" w:fill="auto"/>
                <w14:textFill>
                  <w14:solidFill>
                    <w14:schemeClr w14:val="tx1"/>
                  </w14:solidFill>
                </w14:textFill>
              </w:rPr>
              <w:t>指联合体内股东按持股比例实际分得的现金分红金额，不包括实物分红、股权增值等非现金形式收益</w:t>
            </w:r>
            <w:r>
              <w:rPr>
                <w:rFonts w:hint="eastAsia" w:ascii="宋体" w:hAnsi="宋体" w:cs="宋体"/>
                <w:i w:val="0"/>
                <w:iCs w:val="0"/>
                <w:caps w:val="0"/>
                <w:color w:val="000000" w:themeColor="text1"/>
                <w:spacing w:val="0"/>
                <w:sz w:val="18"/>
                <w:szCs w:val="18"/>
                <w:shd w:val="clear" w:fill="auto"/>
                <w:lang w:eastAsia="zh-CN"/>
                <w14:textFill>
                  <w14:solidFill>
                    <w14:schemeClr w14:val="tx1"/>
                  </w14:solidFill>
                </w14:textFill>
              </w:rPr>
              <w:t>，</w:t>
            </w:r>
            <w:r>
              <w:rPr>
                <w:rFonts w:hint="eastAsia" w:ascii="宋体" w:hAnsi="宋体" w:eastAsia="宋体" w:cs="宋体"/>
                <w:i w:val="0"/>
                <w:iCs w:val="0"/>
                <w:caps w:val="0"/>
                <w:color w:val="000000" w:themeColor="text1"/>
                <w:spacing w:val="0"/>
                <w:sz w:val="18"/>
                <w:szCs w:val="18"/>
                <w:shd w:val="clear" w:fill="auto"/>
                <w14:textFill>
                  <w14:solidFill>
                    <w14:schemeClr w14:val="tx1"/>
                  </w14:solidFill>
                </w14:textFill>
              </w:rPr>
              <w:t>直接反映</w:t>
            </w:r>
            <w:r>
              <w:rPr>
                <w:rFonts w:hint="eastAsia" w:ascii="宋体" w:hAnsi="宋体" w:eastAsia="宋体" w:cs="宋体"/>
                <w:i w:val="0"/>
                <w:iCs w:val="0"/>
                <w:caps w:val="0"/>
                <w:color w:val="000000" w:themeColor="text1"/>
                <w:spacing w:val="0"/>
                <w:sz w:val="18"/>
                <w:szCs w:val="18"/>
                <w:shd w:val="clear" w:fill="auto"/>
                <w:lang w:val="en-US" w:eastAsia="zh-CN"/>
                <w14:textFill>
                  <w14:solidFill>
                    <w14:schemeClr w14:val="tx1"/>
                  </w14:solidFill>
                </w14:textFill>
              </w:rPr>
              <w:t>联合体内</w:t>
            </w:r>
            <w:r>
              <w:rPr>
                <w:rFonts w:hint="eastAsia" w:ascii="宋体" w:hAnsi="宋体" w:eastAsia="宋体" w:cs="宋体"/>
                <w:i w:val="0"/>
                <w:iCs w:val="0"/>
                <w:caps w:val="0"/>
                <w:color w:val="000000" w:themeColor="text1"/>
                <w:spacing w:val="0"/>
                <w:sz w:val="18"/>
                <w:szCs w:val="18"/>
                <w:shd w:val="clear" w:fill="auto"/>
                <w14:textFill>
                  <w14:solidFill>
                    <w14:schemeClr w14:val="tx1"/>
                  </w14:solidFill>
                </w14:textFill>
              </w:rPr>
              <w:t>股东收益</w:t>
            </w:r>
            <w:r>
              <w:rPr>
                <w:rFonts w:hint="eastAsia" w:ascii="宋体" w:hAnsi="宋体" w:cs="宋体"/>
                <w:i w:val="0"/>
                <w:iCs w:val="0"/>
                <w:caps w:val="0"/>
                <w:color w:val="000000" w:themeColor="text1"/>
                <w:spacing w:val="0"/>
                <w:sz w:val="18"/>
                <w:szCs w:val="18"/>
                <w:shd w:val="clear" w:fill="auto"/>
                <w:lang w:eastAsia="zh-CN"/>
                <w14:textFill>
                  <w14:solidFill>
                    <w14:schemeClr w14:val="tx1"/>
                  </w14:solidFill>
                </w14:textFill>
              </w:rPr>
              <w:t>。</w:t>
            </w:r>
            <w:r>
              <w:rPr>
                <w:rFonts w:hint="eastAsia" w:ascii="宋体" w:hAnsi="宋体" w:eastAsia="宋体" w:cs="宋体"/>
                <w:i w:val="0"/>
                <w:iCs w:val="0"/>
                <w:caps w:val="0"/>
                <w:color w:val="000000" w:themeColor="text1"/>
                <w:spacing w:val="0"/>
                <w:sz w:val="18"/>
                <w:szCs w:val="18"/>
                <w:shd w:val="clear" w:fill="auto"/>
                <w:lang w:val="en-US" w:eastAsia="zh-CN"/>
                <w14:textFill>
                  <w14:solidFill>
                    <w14:schemeClr w14:val="tx1"/>
                  </w14:solidFill>
                </w14:textFill>
              </w:rPr>
              <w:t>（评分标准：每股分红＜</w:t>
            </w:r>
            <w:r>
              <w:rPr>
                <w:rFonts w:hint="eastAsia" w:ascii="宋体" w:hAnsi="宋体" w:cs="宋体"/>
                <w:i w:val="0"/>
                <w:iCs w:val="0"/>
                <w:caps w:val="0"/>
                <w:color w:val="000000" w:themeColor="text1"/>
                <w:spacing w:val="0"/>
                <w:sz w:val="18"/>
                <w:szCs w:val="18"/>
                <w:shd w:val="clear" w:fill="auto"/>
                <w:lang w:val="en-US" w:eastAsia="zh-CN"/>
                <w14:textFill>
                  <w14:solidFill>
                    <w14:schemeClr w14:val="tx1"/>
                  </w14:solidFill>
                </w14:textFill>
              </w:rPr>
              <w:t>1</w:t>
            </w:r>
            <w:r>
              <w:rPr>
                <w:rFonts w:hint="eastAsia" w:ascii="宋体" w:hAnsi="宋体" w:eastAsia="宋体" w:cs="宋体"/>
                <w:i w:val="0"/>
                <w:iCs w:val="0"/>
                <w:caps w:val="0"/>
                <w:color w:val="000000" w:themeColor="text1"/>
                <w:spacing w:val="0"/>
                <w:sz w:val="18"/>
                <w:szCs w:val="18"/>
                <w:shd w:val="clear" w:fill="auto"/>
                <w:lang w:val="en-US" w:eastAsia="zh-CN"/>
                <w14:textFill>
                  <w14:solidFill>
                    <w14:schemeClr w14:val="tx1"/>
                  </w14:solidFill>
                </w14:textFill>
              </w:rPr>
              <w:t xml:space="preserve">元得60分； </w:t>
            </w:r>
            <w:r>
              <w:rPr>
                <w:rFonts w:hint="eastAsia" w:ascii="宋体" w:hAnsi="宋体" w:cs="宋体"/>
                <w:i w:val="0"/>
                <w:iCs w:val="0"/>
                <w:caps w:val="0"/>
                <w:color w:val="000000" w:themeColor="text1"/>
                <w:spacing w:val="0"/>
                <w:sz w:val="18"/>
                <w:szCs w:val="18"/>
                <w:shd w:val="clear" w:fill="auto"/>
                <w:lang w:val="en-US" w:eastAsia="zh-CN"/>
                <w14:textFill>
                  <w14:solidFill>
                    <w14:schemeClr w14:val="tx1"/>
                  </w14:solidFill>
                </w14:textFill>
              </w:rPr>
              <w:t>1</w:t>
            </w:r>
            <w:r>
              <w:rPr>
                <w:rFonts w:hint="eastAsia" w:ascii="宋体" w:hAnsi="宋体" w:eastAsia="宋体" w:cs="宋体"/>
                <w:i w:val="0"/>
                <w:iCs w:val="0"/>
                <w:caps w:val="0"/>
                <w:color w:val="000000" w:themeColor="text1"/>
                <w:spacing w:val="0"/>
                <w:sz w:val="18"/>
                <w:szCs w:val="18"/>
                <w:shd w:val="clear" w:fill="auto"/>
                <w:lang w:val="en-US" w:eastAsia="zh-CN"/>
                <w14:textFill>
                  <w14:solidFill>
                    <w14:schemeClr w14:val="tx1"/>
                  </w14:solidFill>
                </w14:textFill>
              </w:rPr>
              <w:t>≤每股分红＜</w:t>
            </w:r>
            <w:r>
              <w:rPr>
                <w:rFonts w:hint="eastAsia" w:ascii="宋体" w:hAnsi="宋体" w:cs="宋体"/>
                <w:i w:val="0"/>
                <w:iCs w:val="0"/>
                <w:caps w:val="0"/>
                <w:color w:val="000000" w:themeColor="text1"/>
                <w:spacing w:val="0"/>
                <w:sz w:val="18"/>
                <w:szCs w:val="18"/>
                <w:shd w:val="clear" w:fill="auto"/>
                <w:lang w:val="en-US" w:eastAsia="zh-CN"/>
                <w14:textFill>
                  <w14:solidFill>
                    <w14:schemeClr w14:val="tx1"/>
                  </w14:solidFill>
                </w14:textFill>
              </w:rPr>
              <w:t>5</w:t>
            </w:r>
            <w:r>
              <w:rPr>
                <w:rFonts w:hint="eastAsia" w:ascii="宋体" w:hAnsi="宋体" w:eastAsia="宋体" w:cs="宋体"/>
                <w:i w:val="0"/>
                <w:iCs w:val="0"/>
                <w:caps w:val="0"/>
                <w:color w:val="000000" w:themeColor="text1"/>
                <w:spacing w:val="0"/>
                <w:sz w:val="18"/>
                <w:szCs w:val="18"/>
                <w:shd w:val="clear" w:fill="auto"/>
                <w:lang w:val="en-US" w:eastAsia="zh-CN"/>
                <w14:textFill>
                  <w14:solidFill>
                    <w14:schemeClr w14:val="tx1"/>
                  </w14:solidFill>
                </w14:textFill>
              </w:rPr>
              <w:t>万元得80分 ；每股分红</w:t>
            </w:r>
            <w:r>
              <w:rPr>
                <w:rFonts w:hint="eastAsia" w:ascii="宋体" w:hAnsi="宋体" w:cs="宋体"/>
                <w:i w:val="0"/>
                <w:iCs w:val="0"/>
                <w:caps w:val="0"/>
                <w:color w:val="000000" w:themeColor="text1"/>
                <w:spacing w:val="0"/>
                <w:sz w:val="18"/>
                <w:szCs w:val="18"/>
                <w:shd w:val="clear" w:fill="auto"/>
                <w:lang w:val="en-US" w:eastAsia="zh-CN"/>
                <w14:textFill>
                  <w14:solidFill>
                    <w14:schemeClr w14:val="tx1"/>
                  </w14:solidFill>
                </w14:textFill>
              </w:rPr>
              <w:t>≥5</w:t>
            </w:r>
            <w:r>
              <w:rPr>
                <w:rFonts w:hint="eastAsia" w:ascii="宋体" w:hAnsi="宋体" w:eastAsia="宋体" w:cs="宋体"/>
                <w:i w:val="0"/>
                <w:iCs w:val="0"/>
                <w:caps w:val="0"/>
                <w:color w:val="000000" w:themeColor="text1"/>
                <w:spacing w:val="0"/>
                <w:sz w:val="18"/>
                <w:szCs w:val="18"/>
                <w:shd w:val="clear" w:fill="auto"/>
                <w:lang w:val="en-US" w:eastAsia="zh-CN"/>
                <w14:textFill>
                  <w14:solidFill>
                    <w14:schemeClr w14:val="tx1"/>
                  </w14:solidFill>
                </w14:textFill>
              </w:rPr>
              <w:t>元得100分）</w:t>
            </w:r>
            <w:r>
              <w:rPr>
                <w:rFonts w:hint="eastAsia" w:ascii="宋体" w:hAnsi="宋体" w:eastAsia="宋体" w:cs="宋体"/>
                <w:i w:val="0"/>
                <w:iCs w:val="0"/>
                <w:caps w:val="0"/>
                <w:color w:val="000000" w:themeColor="text1"/>
                <w:spacing w:val="0"/>
                <w:sz w:val="18"/>
                <w:szCs w:val="18"/>
                <w:shd w:val="clear" w:fill="auto"/>
                <w14:textFill>
                  <w14:solidFill>
                    <w14:schemeClr w14:val="tx1"/>
                  </w14:solidFill>
                </w14:textFill>
              </w:rPr>
              <w:t>‌</w:t>
            </w:r>
          </w:p>
        </w:tc>
        <w:tc>
          <w:tcPr>
            <w:tcW w:w="365" w:type="pct"/>
            <w:tcBorders>
              <w:left w:val="single" w:color="auto" w:sz="4" w:space="0"/>
              <w:right w:val="single" w:color="auto" w:sz="4" w:space="0"/>
            </w:tcBorders>
            <w:shd w:val="clear" w:color="auto" w:fill="auto"/>
            <w:noWrap w:val="0"/>
            <w:vAlign w:val="center"/>
          </w:tcPr>
          <w:p w14:paraId="13F1C844">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tLeast"/>
              <w:ind w:left="0" w:leftChars="0" w:right="0" w:rightChars="0"/>
              <w:jc w:val="center"/>
              <w:textAlignment w:val="auto"/>
              <w:rPr>
                <w:rFonts w:hint="eastAsia" w:ascii="宋体" w:hAnsi="宋体" w:cs="宋体"/>
                <w:color w:val="000000" w:themeColor="text1"/>
                <w:sz w:val="18"/>
                <w:szCs w:val="18"/>
                <w:lang w:val="en-US" w:eastAsia="zh-CN"/>
                <w14:textFill>
                  <w14:solidFill>
                    <w14:schemeClr w14:val="tx1"/>
                  </w14:solidFill>
                </w14:textFill>
              </w:rPr>
            </w:pPr>
            <w:r>
              <w:rPr>
                <w:rFonts w:hint="eastAsia" w:ascii="宋体" w:hAnsi="宋体" w:cs="宋体"/>
                <w:color w:val="000000" w:themeColor="text1"/>
                <w:sz w:val="18"/>
                <w:szCs w:val="18"/>
                <w:lang w:val="en-US" w:eastAsia="zh-CN"/>
                <w14:textFill>
                  <w14:solidFill>
                    <w14:schemeClr w14:val="tx1"/>
                  </w14:solidFill>
                </w14:textFill>
              </w:rPr>
              <w:t>联合体年度分红总额/总股数</w:t>
            </w:r>
          </w:p>
        </w:tc>
        <w:tc>
          <w:tcPr>
            <w:tcW w:w="365" w:type="pct"/>
            <w:tcBorders>
              <w:left w:val="single" w:color="auto" w:sz="4" w:space="0"/>
              <w:right w:val="single" w:color="auto" w:sz="4" w:space="0"/>
            </w:tcBorders>
            <w:shd w:val="clear" w:color="auto" w:fill="auto"/>
            <w:noWrap w:val="0"/>
            <w:vAlign w:val="center"/>
          </w:tcPr>
          <w:p w14:paraId="5F3ABE60">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tLeast"/>
              <w:ind w:left="0" w:leftChars="0" w:right="0" w:rightChars="0"/>
              <w:jc w:val="center"/>
              <w:textAlignment w:val="auto"/>
              <w:rPr>
                <w:rFonts w:hint="eastAsia" w:ascii="宋体" w:hAnsi="宋体" w:eastAsia="宋体" w:cs="宋体"/>
                <w:color w:val="000000"/>
                <w:kern w:val="2"/>
                <w:sz w:val="18"/>
                <w:szCs w:val="18"/>
                <w:lang w:val="en-US" w:eastAsia="zh-CN" w:bidi="ar-SA"/>
              </w:rPr>
            </w:pPr>
            <w:r>
              <w:rPr>
                <w:rFonts w:hint="eastAsia" w:ascii="宋体" w:hAnsi="宋体" w:cs="宋体"/>
                <w:color w:val="000000" w:themeColor="text1"/>
                <w:sz w:val="18"/>
                <w:szCs w:val="18"/>
                <w:lang w:val="en-US" w:eastAsia="zh-CN"/>
                <w14:textFill>
                  <w14:solidFill>
                    <w14:schemeClr w14:val="tx1"/>
                  </w14:solidFill>
                </w14:textFill>
              </w:rPr>
              <w:t>创富工作形成数据</w:t>
            </w:r>
          </w:p>
        </w:tc>
        <w:tc>
          <w:tcPr>
            <w:tcW w:w="378" w:type="pct"/>
            <w:vMerge w:val="continue"/>
            <w:tcBorders>
              <w:left w:val="single" w:color="auto" w:sz="4" w:space="0"/>
              <w:right w:val="single" w:color="auto" w:sz="12" w:space="0"/>
            </w:tcBorders>
            <w:shd w:val="clear" w:color="auto" w:fill="auto"/>
            <w:noWrap w:val="0"/>
            <w:vAlign w:val="center"/>
          </w:tcPr>
          <w:p w14:paraId="62A70795">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tLeast"/>
              <w:ind w:left="0" w:right="0"/>
              <w:jc w:val="center"/>
              <w:textAlignment w:val="auto"/>
              <w:rPr>
                <w:rFonts w:hint="default" w:ascii="宋体" w:hAnsi="宋体" w:eastAsia="宋体" w:cs="宋体"/>
                <w:color w:val="000000"/>
                <w:sz w:val="18"/>
                <w:szCs w:val="18"/>
                <w:highlight w:val="none"/>
                <w:lang w:val="en-US" w:eastAsia="zh-CN"/>
              </w:rPr>
            </w:pPr>
          </w:p>
        </w:tc>
      </w:tr>
    </w:tbl>
    <w:p w14:paraId="139F52BC">
      <w:pPr>
        <w:keepNext w:val="0"/>
        <w:keepLines w:val="0"/>
        <w:pageBreakBefore w:val="0"/>
        <w:widowControl w:val="0"/>
        <w:kinsoku/>
        <w:wordWrap/>
        <w:overflowPunct/>
        <w:topLinePunct w:val="0"/>
        <w:autoSpaceDE/>
        <w:autoSpaceDN/>
        <w:bidi w:val="0"/>
        <w:adjustRightInd w:val="0"/>
        <w:snapToGrid/>
        <w:spacing w:before="156" w:beforeLines="50" w:after="156" w:afterLines="50" w:line="240" w:lineRule="auto"/>
        <w:jc w:val="center"/>
        <w:textAlignment w:val="auto"/>
        <w:rPr>
          <w:rFonts w:hint="eastAsia" w:ascii="黑体" w:hAnsi="黑体" w:eastAsia="黑体"/>
          <w:szCs w:val="21"/>
        </w:rPr>
      </w:pPr>
      <w:r>
        <w:rPr>
          <w:rFonts w:hint="eastAsia" w:ascii="黑体" w:hAnsi="黑体" w:eastAsia="黑体"/>
          <w:szCs w:val="21"/>
        </w:rPr>
        <w:t xml:space="preserve"> </w:t>
      </w:r>
    </w:p>
    <w:p w14:paraId="178BA3DA">
      <w:pPr>
        <w:rPr>
          <w:rFonts w:hint="eastAsia" w:ascii="黑体" w:hAnsi="黑体" w:eastAsia="黑体"/>
          <w:szCs w:val="21"/>
        </w:rPr>
      </w:pPr>
      <w:r>
        <w:rPr>
          <w:rFonts w:hint="eastAsia" w:ascii="黑体" w:hAnsi="黑体" w:eastAsia="黑体"/>
          <w:szCs w:val="21"/>
        </w:rPr>
        <w:br w:type="page"/>
      </w:r>
    </w:p>
    <w:p w14:paraId="79E08232">
      <w:pPr>
        <w:keepNext w:val="0"/>
        <w:keepLines w:val="0"/>
        <w:pageBreakBefore w:val="0"/>
        <w:widowControl w:val="0"/>
        <w:kinsoku/>
        <w:wordWrap/>
        <w:overflowPunct/>
        <w:topLinePunct w:val="0"/>
        <w:autoSpaceDE/>
        <w:autoSpaceDN/>
        <w:bidi w:val="0"/>
        <w:adjustRightInd w:val="0"/>
        <w:snapToGrid/>
        <w:spacing w:before="156" w:beforeLines="50" w:after="156" w:afterLines="50" w:line="240" w:lineRule="auto"/>
        <w:jc w:val="center"/>
        <w:textAlignment w:val="auto"/>
        <w:rPr>
          <w:rFonts w:hint="eastAsia" w:ascii="宋体" w:hAnsi="宋体" w:eastAsia="宋体" w:cs="宋体"/>
          <w:szCs w:val="21"/>
          <w:lang w:eastAsia="zh-CN"/>
        </w:rPr>
      </w:pPr>
      <w:r>
        <w:rPr>
          <w:rFonts w:hint="eastAsia" w:ascii="黑体" w:hAnsi="黑体" w:eastAsia="黑体"/>
          <w:szCs w:val="21"/>
        </w:rPr>
        <w:t>表1 康养创富联合体统计监测指标体系内容</w:t>
      </w:r>
      <w:r>
        <w:rPr>
          <w:rFonts w:hint="eastAsia" w:ascii="宋体" w:hAnsi="宋体" w:eastAsia="宋体" w:cs="宋体"/>
          <w:szCs w:val="21"/>
          <w:lang w:eastAsia="zh-CN"/>
        </w:rPr>
        <w:t>（</w:t>
      </w:r>
      <w:r>
        <w:rPr>
          <w:rFonts w:hint="eastAsia" w:ascii="宋体" w:hAnsi="宋体" w:eastAsia="宋体" w:cs="宋体"/>
          <w:szCs w:val="21"/>
          <w:lang w:val="en-US" w:eastAsia="zh-CN"/>
        </w:rPr>
        <w:t>续</w:t>
      </w:r>
      <w:r>
        <w:rPr>
          <w:rFonts w:hint="eastAsia" w:ascii="宋体" w:hAnsi="宋体" w:eastAsia="宋体" w:cs="宋体"/>
          <w:szCs w:val="21"/>
          <w:lang w:eastAsia="zh-CN"/>
        </w:rPr>
        <w:t>）</w:t>
      </w:r>
    </w:p>
    <w:tbl>
      <w:tblPr>
        <w:tblStyle w:val="31"/>
        <w:tblW w:w="4998" w:type="pct"/>
        <w:tblInd w:w="0" w:type="dxa"/>
        <w:tblBorders>
          <w:top w:val="single" w:color="auto" w:sz="4" w:space="0"/>
          <w:left w:val="single" w:color="auto" w:sz="4" w:space="0"/>
          <w:bottom w:val="single" w:color="auto" w:sz="12"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0"/>
        <w:gridCol w:w="868"/>
        <w:gridCol w:w="934"/>
        <w:gridCol w:w="1380"/>
        <w:gridCol w:w="1857"/>
        <w:gridCol w:w="711"/>
        <w:gridCol w:w="5343"/>
        <w:gridCol w:w="1100"/>
        <w:gridCol w:w="1100"/>
        <w:gridCol w:w="1140"/>
      </w:tblGrid>
      <w:tr w14:paraId="01F59104">
        <w:tblPrEx>
          <w:tblBorders>
            <w:top w:val="single" w:color="auto" w:sz="4" w:space="0"/>
            <w:left w:val="single" w:color="auto" w:sz="4" w:space="0"/>
            <w:bottom w:val="single" w:color="auto" w:sz="12"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9" w:type="pct"/>
            <w:vMerge w:val="restart"/>
            <w:tcBorders>
              <w:top w:val="single" w:color="auto" w:sz="12" w:space="0"/>
              <w:left w:val="single" w:color="auto" w:sz="12" w:space="0"/>
            </w:tcBorders>
            <w:shd w:val="clear" w:color="auto" w:fill="auto"/>
            <w:noWrap w:val="0"/>
            <w:vAlign w:val="center"/>
          </w:tcPr>
          <w:p w14:paraId="1A837655">
            <w:pPr>
              <w:keepNext w:val="0"/>
              <w:keepLines w:val="0"/>
              <w:pageBreakBefore w:val="0"/>
              <w:widowControl w:val="0"/>
              <w:numPr>
                <w:numId w:val="0"/>
              </w:numPr>
              <w:suppressLineNumbers w:val="0"/>
              <w:tabs>
                <w:tab w:val="left" w:pos="0"/>
              </w:tabs>
              <w:kinsoku/>
              <w:wordWrap/>
              <w:overflowPunct/>
              <w:topLinePunct w:val="0"/>
              <w:autoSpaceDE/>
              <w:autoSpaceDN/>
              <w:bidi w:val="0"/>
              <w:snapToGrid/>
              <w:spacing w:beforeAutospacing="0" w:afterAutospacing="0" w:line="240" w:lineRule="atLeast"/>
              <w:ind w:leftChars="0" w:right="0" w:rightChars="0"/>
              <w:jc w:val="center"/>
              <w:textAlignment w:val="auto"/>
              <w:outlineLvl w:val="2"/>
              <w:rPr>
                <w:rFonts w:hint="default" w:ascii="宋体" w:hAnsi="宋体" w:eastAsia="宋体" w:cs="宋体"/>
                <w:color w:val="000000"/>
                <w:sz w:val="18"/>
                <w:szCs w:val="18"/>
                <w:highlight w:val="none"/>
                <w:lang w:val="en-US" w:eastAsia="zh-CN" w:bidi="ar-SA"/>
              </w:rPr>
            </w:pPr>
            <w:r>
              <w:rPr>
                <w:rFonts w:hint="eastAsia" w:ascii="宋体" w:hAnsi="宋体" w:cs="宋体"/>
                <w:color w:val="000000"/>
                <w:sz w:val="18"/>
                <w:szCs w:val="18"/>
                <w:highlight w:val="none"/>
                <w:lang w:val="en-US" w:eastAsia="zh-CN" w:bidi="ar-SA"/>
              </w:rPr>
              <w:t>序号</w:t>
            </w:r>
          </w:p>
        </w:tc>
        <w:tc>
          <w:tcPr>
            <w:tcW w:w="1672" w:type="pct"/>
            <w:gridSpan w:val="4"/>
            <w:tcBorders>
              <w:top w:val="single" w:color="auto" w:sz="12" w:space="0"/>
              <w:right w:val="single" w:color="auto" w:sz="4" w:space="0"/>
            </w:tcBorders>
            <w:shd w:val="clear" w:color="auto" w:fill="auto"/>
            <w:noWrap w:val="0"/>
            <w:vAlign w:val="top"/>
          </w:tcPr>
          <w:p w14:paraId="4AC89D43">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tLeast"/>
              <w:ind w:left="0" w:leftChars="0" w:right="0" w:rightChars="0"/>
              <w:jc w:val="center"/>
              <w:textAlignment w:val="auto"/>
              <w:rPr>
                <w:rFonts w:hint="eastAsia" w:ascii="宋体" w:hAnsi="宋体" w:cs="宋体"/>
                <w:color w:val="000000" w:themeColor="text1"/>
                <w:kern w:val="2"/>
                <w:sz w:val="18"/>
                <w:szCs w:val="18"/>
                <w:highlight w:val="none"/>
                <w:lang w:val="en-US" w:eastAsia="zh-CN" w:bidi="ar-SA"/>
                <w14:textFill>
                  <w14:solidFill>
                    <w14:schemeClr w14:val="tx1"/>
                  </w14:solidFill>
                </w14:textFill>
              </w:rPr>
            </w:pPr>
            <w:r>
              <w:rPr>
                <w:rFonts w:hint="eastAsia" w:ascii="宋体" w:hAnsi="宋体" w:cs="宋体"/>
                <w:color w:val="000000" w:themeColor="text1"/>
                <w:kern w:val="2"/>
                <w:sz w:val="18"/>
                <w:szCs w:val="18"/>
                <w:highlight w:val="none"/>
                <w:lang w:val="en-US" w:eastAsia="zh-CN" w:bidi="ar-SA"/>
                <w14:textFill>
                  <w14:solidFill>
                    <w14:schemeClr w14:val="tx1"/>
                  </w14:solidFill>
                </w14:textFill>
              </w:rPr>
              <w:t>指标名称</w:t>
            </w:r>
          </w:p>
        </w:tc>
        <w:tc>
          <w:tcPr>
            <w:tcW w:w="236" w:type="pct"/>
            <w:vMerge w:val="restart"/>
            <w:tcBorders>
              <w:top w:val="single" w:color="auto" w:sz="12" w:space="0"/>
              <w:left w:val="single" w:color="auto" w:sz="4" w:space="0"/>
              <w:bottom w:val="nil"/>
              <w:right w:val="single" w:color="auto" w:sz="4" w:space="0"/>
            </w:tcBorders>
            <w:shd w:val="clear" w:color="auto" w:fill="auto"/>
            <w:noWrap w:val="0"/>
            <w:vAlign w:val="center"/>
          </w:tcPr>
          <w:p w14:paraId="3191D671">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tLeast"/>
              <w:ind w:left="0" w:leftChars="0" w:right="0" w:rightChars="0"/>
              <w:jc w:val="center"/>
              <w:textAlignment w:val="auto"/>
              <w:rPr>
                <w:rFonts w:hint="eastAsia" w:ascii="宋体" w:hAnsi="宋体" w:cs="宋体"/>
                <w:color w:val="000000" w:themeColor="text1"/>
                <w:sz w:val="18"/>
                <w:szCs w:val="18"/>
                <w:lang w:val="en-US" w:eastAsia="zh-CN"/>
                <w14:textFill>
                  <w14:solidFill>
                    <w14:schemeClr w14:val="tx1"/>
                  </w14:solidFill>
                </w14:textFill>
              </w:rPr>
            </w:pPr>
            <w:r>
              <w:rPr>
                <w:rFonts w:hint="eastAsia" w:ascii="宋体" w:hAnsi="宋体" w:cs="宋体"/>
                <w:color w:val="000000" w:themeColor="text1"/>
                <w:sz w:val="18"/>
                <w:szCs w:val="18"/>
                <w:lang w:val="en-US" w:eastAsia="zh-CN"/>
                <w14:textFill>
                  <w14:solidFill>
                    <w14:schemeClr w14:val="tx1"/>
                  </w14:solidFill>
                </w14:textFill>
              </w:rPr>
              <w:t>计量</w:t>
            </w:r>
          </w:p>
          <w:p w14:paraId="6E6CB452">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tLeast"/>
              <w:ind w:left="0" w:leftChars="0" w:right="0" w:rightChars="0"/>
              <w:jc w:val="center"/>
              <w:textAlignment w:val="auto"/>
              <w:rPr>
                <w:rFonts w:hint="eastAsia" w:ascii="宋体" w:hAnsi="宋体" w:eastAsia="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lang w:val="en-US" w:eastAsia="zh-CN"/>
                <w14:textFill>
                  <w14:solidFill>
                    <w14:schemeClr w14:val="tx1"/>
                  </w14:solidFill>
                </w14:textFill>
              </w:rPr>
              <w:t>单位</w:t>
            </w:r>
          </w:p>
        </w:tc>
        <w:tc>
          <w:tcPr>
            <w:tcW w:w="1773" w:type="pct"/>
            <w:vMerge w:val="restart"/>
            <w:tcBorders>
              <w:top w:val="single" w:color="auto" w:sz="12" w:space="0"/>
              <w:left w:val="single" w:color="auto" w:sz="4" w:space="0"/>
              <w:bottom w:val="nil"/>
              <w:right w:val="single" w:color="auto" w:sz="4" w:space="0"/>
            </w:tcBorders>
            <w:shd w:val="clear" w:color="auto" w:fill="auto"/>
            <w:noWrap w:val="0"/>
            <w:vAlign w:val="center"/>
          </w:tcPr>
          <w:p w14:paraId="37FBDB87">
            <w:pPr>
              <w:keepNext w:val="0"/>
              <w:keepLines w:val="0"/>
              <w:pageBreakBefore w:val="0"/>
              <w:widowControl w:val="0"/>
              <w:numPr>
                <w:ilvl w:val="0"/>
                <w:numId w:val="0"/>
              </w:numPr>
              <w:suppressLineNumbers w:val="0"/>
              <w:kinsoku/>
              <w:wordWrap/>
              <w:overflowPunct/>
              <w:topLinePunct w:val="0"/>
              <w:autoSpaceDE/>
              <w:autoSpaceDN/>
              <w:bidi w:val="0"/>
              <w:snapToGrid/>
              <w:spacing w:beforeAutospacing="0" w:afterAutospacing="0" w:line="240" w:lineRule="atLeast"/>
              <w:ind w:left="0" w:leftChars="0" w:right="0" w:rightChars="0" w:firstLine="0" w:firstLineChars="0"/>
              <w:jc w:val="center"/>
              <w:textAlignment w:val="auto"/>
              <w:outlineLvl w:val="2"/>
              <w:rPr>
                <w:rFonts w:hint="eastAsia" w:ascii="宋体" w:hAnsi="宋体" w:eastAsia="宋体" w:cs="宋体"/>
                <w:i w:val="0"/>
                <w:iCs w:val="0"/>
                <w:caps w:val="0"/>
                <w:color w:val="000000" w:themeColor="text1"/>
                <w:spacing w:val="0"/>
                <w:sz w:val="18"/>
                <w:szCs w:val="18"/>
                <w:shd w:val="clear" w:fill="auto"/>
                <w14:textFill>
                  <w14:solidFill>
                    <w14:schemeClr w14:val="tx1"/>
                  </w14:solidFill>
                </w14:textFill>
              </w:rPr>
            </w:pPr>
            <w:r>
              <w:rPr>
                <w:rFonts w:hint="eastAsia" w:ascii="宋体" w:hAnsi="宋体" w:eastAsia="宋体" w:cs="宋体"/>
                <w:color w:val="000000"/>
                <w:sz w:val="18"/>
                <w:szCs w:val="18"/>
                <w:highlight w:val="none"/>
                <w:lang w:val="en-US" w:eastAsia="zh-CN" w:bidi="ar-SA"/>
              </w:rPr>
              <w:t>指</w:t>
            </w:r>
            <w:r>
              <w:rPr>
                <w:rFonts w:hint="eastAsia" w:ascii="宋体" w:hAnsi="宋体" w:cs="宋体"/>
                <w:color w:val="000000"/>
                <w:sz w:val="18"/>
                <w:szCs w:val="18"/>
                <w:highlight w:val="none"/>
                <w:lang w:val="en-US" w:eastAsia="zh-CN" w:bidi="ar-SA"/>
              </w:rPr>
              <w:t>标</w:t>
            </w:r>
            <w:r>
              <w:rPr>
                <w:rFonts w:hint="eastAsia" w:ascii="宋体" w:hAnsi="宋体" w:eastAsia="宋体" w:cs="宋体"/>
                <w:color w:val="000000"/>
                <w:sz w:val="18"/>
                <w:szCs w:val="18"/>
                <w:highlight w:val="none"/>
                <w:lang w:val="en-US" w:eastAsia="zh-CN" w:bidi="ar-SA"/>
              </w:rPr>
              <w:t>释义</w:t>
            </w:r>
          </w:p>
        </w:tc>
        <w:tc>
          <w:tcPr>
            <w:tcW w:w="365" w:type="pct"/>
            <w:vMerge w:val="restart"/>
            <w:tcBorders>
              <w:top w:val="single" w:color="auto" w:sz="12" w:space="0"/>
              <w:left w:val="single" w:color="auto" w:sz="4" w:space="0"/>
              <w:bottom w:val="nil"/>
              <w:right w:val="single" w:color="auto" w:sz="4" w:space="0"/>
            </w:tcBorders>
            <w:shd w:val="clear" w:color="auto" w:fill="auto"/>
            <w:noWrap w:val="0"/>
            <w:vAlign w:val="center"/>
          </w:tcPr>
          <w:p w14:paraId="23B80C83">
            <w:pPr>
              <w:keepNext w:val="0"/>
              <w:keepLines w:val="0"/>
              <w:pageBreakBefore w:val="0"/>
              <w:widowControl w:val="0"/>
              <w:numPr>
                <w:ilvl w:val="0"/>
                <w:numId w:val="0"/>
              </w:numPr>
              <w:suppressLineNumbers w:val="0"/>
              <w:kinsoku/>
              <w:wordWrap/>
              <w:overflowPunct/>
              <w:topLinePunct w:val="0"/>
              <w:autoSpaceDE/>
              <w:autoSpaceDN/>
              <w:bidi w:val="0"/>
              <w:snapToGrid/>
              <w:spacing w:beforeAutospacing="0" w:afterAutospacing="0" w:line="240" w:lineRule="atLeast"/>
              <w:ind w:left="0" w:leftChars="0" w:right="0" w:rightChars="0" w:firstLine="0" w:firstLineChars="0"/>
              <w:jc w:val="center"/>
              <w:textAlignment w:val="auto"/>
              <w:outlineLvl w:val="2"/>
              <w:rPr>
                <w:rFonts w:hint="eastAsia" w:ascii="宋体" w:hAnsi="宋体" w:cs="宋体"/>
                <w:color w:val="000000" w:themeColor="text1"/>
                <w:sz w:val="18"/>
                <w:szCs w:val="18"/>
                <w:lang w:val="en-US" w:eastAsia="zh-CN"/>
                <w14:textFill>
                  <w14:solidFill>
                    <w14:schemeClr w14:val="tx1"/>
                  </w14:solidFill>
                </w14:textFill>
              </w:rPr>
            </w:pPr>
            <w:r>
              <w:rPr>
                <w:rFonts w:hint="eastAsia" w:ascii="宋体" w:hAnsi="宋体" w:cs="宋体"/>
                <w:color w:val="000000"/>
                <w:sz w:val="18"/>
                <w:szCs w:val="18"/>
                <w:highlight w:val="none"/>
                <w:lang w:val="en-US" w:eastAsia="zh-CN" w:bidi="ar-SA"/>
              </w:rPr>
              <w:t>计算方式</w:t>
            </w:r>
          </w:p>
        </w:tc>
        <w:tc>
          <w:tcPr>
            <w:tcW w:w="365" w:type="pct"/>
            <w:vMerge w:val="restart"/>
            <w:tcBorders>
              <w:top w:val="single" w:color="auto" w:sz="12" w:space="0"/>
              <w:left w:val="single" w:color="auto" w:sz="4" w:space="0"/>
              <w:bottom w:val="nil"/>
              <w:right w:val="single" w:color="auto" w:sz="4" w:space="0"/>
            </w:tcBorders>
            <w:shd w:val="clear" w:color="auto" w:fill="auto"/>
            <w:noWrap w:val="0"/>
            <w:vAlign w:val="center"/>
          </w:tcPr>
          <w:p w14:paraId="7124B818">
            <w:pPr>
              <w:keepNext w:val="0"/>
              <w:keepLines w:val="0"/>
              <w:pageBreakBefore w:val="0"/>
              <w:widowControl w:val="0"/>
              <w:numPr>
                <w:ilvl w:val="0"/>
                <w:numId w:val="0"/>
              </w:numPr>
              <w:suppressLineNumbers w:val="0"/>
              <w:kinsoku/>
              <w:wordWrap/>
              <w:overflowPunct/>
              <w:topLinePunct w:val="0"/>
              <w:autoSpaceDE/>
              <w:autoSpaceDN/>
              <w:bidi w:val="0"/>
              <w:snapToGrid/>
              <w:spacing w:beforeAutospacing="0" w:afterAutospacing="0" w:line="240" w:lineRule="atLeast"/>
              <w:ind w:left="0" w:leftChars="0" w:right="0" w:rightChars="0" w:firstLine="0" w:firstLineChars="0"/>
              <w:jc w:val="center"/>
              <w:textAlignment w:val="auto"/>
              <w:outlineLvl w:val="2"/>
              <w:rPr>
                <w:rFonts w:hint="eastAsia" w:ascii="宋体" w:hAnsi="宋体" w:cs="宋体"/>
                <w:color w:val="000000" w:themeColor="text1"/>
                <w:sz w:val="18"/>
                <w:szCs w:val="18"/>
                <w:lang w:val="en-US" w:eastAsia="zh-CN"/>
                <w14:textFill>
                  <w14:solidFill>
                    <w14:schemeClr w14:val="tx1"/>
                  </w14:solidFill>
                </w14:textFill>
              </w:rPr>
            </w:pPr>
            <w:r>
              <w:rPr>
                <w:rFonts w:hint="eastAsia" w:ascii="宋体" w:hAnsi="宋体" w:eastAsia="宋体" w:cs="宋体"/>
                <w:color w:val="000000"/>
                <w:sz w:val="18"/>
                <w:szCs w:val="18"/>
                <w:highlight w:val="none"/>
                <w:lang w:val="en-US" w:eastAsia="zh-CN" w:bidi="ar-SA"/>
              </w:rPr>
              <w:t>数据来源</w:t>
            </w:r>
          </w:p>
        </w:tc>
        <w:tc>
          <w:tcPr>
            <w:tcW w:w="378" w:type="pct"/>
            <w:vMerge w:val="restart"/>
            <w:tcBorders>
              <w:top w:val="single" w:color="auto" w:sz="12" w:space="0"/>
              <w:left w:val="single" w:color="auto" w:sz="4" w:space="0"/>
              <w:bottom w:val="nil"/>
              <w:right w:val="single" w:color="auto" w:sz="12" w:space="0"/>
            </w:tcBorders>
            <w:shd w:val="clear" w:color="auto" w:fill="auto"/>
            <w:noWrap w:val="0"/>
            <w:vAlign w:val="center"/>
          </w:tcPr>
          <w:p w14:paraId="58A29DF7">
            <w:pPr>
              <w:keepNext w:val="0"/>
              <w:keepLines w:val="0"/>
              <w:pageBreakBefore w:val="0"/>
              <w:widowControl w:val="0"/>
              <w:numPr>
                <w:ilvl w:val="0"/>
                <w:numId w:val="0"/>
              </w:numPr>
              <w:suppressLineNumbers w:val="0"/>
              <w:kinsoku/>
              <w:wordWrap/>
              <w:overflowPunct/>
              <w:topLinePunct w:val="0"/>
              <w:autoSpaceDE/>
              <w:autoSpaceDN/>
              <w:bidi w:val="0"/>
              <w:snapToGrid/>
              <w:spacing w:beforeAutospacing="0" w:afterAutospacing="0" w:line="240" w:lineRule="atLeast"/>
              <w:ind w:left="0" w:leftChars="0" w:right="0" w:rightChars="0" w:firstLine="0" w:firstLineChars="0"/>
              <w:jc w:val="center"/>
              <w:textAlignment w:val="auto"/>
              <w:outlineLvl w:val="2"/>
              <w:rPr>
                <w:rFonts w:hint="default" w:ascii="宋体" w:hAnsi="宋体" w:eastAsia="宋体" w:cs="宋体"/>
                <w:color w:val="000000"/>
                <w:sz w:val="18"/>
                <w:szCs w:val="18"/>
                <w:highlight w:val="none"/>
                <w:lang w:val="en-US" w:eastAsia="zh-CN"/>
              </w:rPr>
            </w:pPr>
            <w:r>
              <w:rPr>
                <w:rFonts w:hint="eastAsia" w:ascii="宋体" w:hAnsi="宋体" w:eastAsia="宋体" w:cs="宋体"/>
                <w:color w:val="000000"/>
                <w:sz w:val="18"/>
                <w:szCs w:val="18"/>
                <w:highlight w:val="none"/>
                <w:lang w:val="en-US" w:eastAsia="zh-CN" w:bidi="ar-SA"/>
              </w:rPr>
              <w:t>监测频次</w:t>
            </w:r>
          </w:p>
        </w:tc>
      </w:tr>
      <w:tr w14:paraId="17A79E7C">
        <w:tblPrEx>
          <w:tblBorders>
            <w:top w:val="single" w:color="auto" w:sz="4" w:space="0"/>
            <w:left w:val="single" w:color="auto" w:sz="4" w:space="0"/>
            <w:bottom w:val="single" w:color="auto" w:sz="12"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9" w:type="pct"/>
            <w:vMerge w:val="continue"/>
            <w:tcBorders>
              <w:left w:val="single" w:color="auto" w:sz="12" w:space="0"/>
              <w:bottom w:val="single" w:color="auto" w:sz="12" w:space="0"/>
            </w:tcBorders>
            <w:shd w:val="clear" w:color="auto" w:fill="auto"/>
            <w:noWrap w:val="0"/>
            <w:vAlign w:val="center"/>
          </w:tcPr>
          <w:p w14:paraId="1F64A96F">
            <w:pPr>
              <w:keepNext w:val="0"/>
              <w:keepLines w:val="0"/>
              <w:pageBreakBefore w:val="0"/>
              <w:widowControl w:val="0"/>
              <w:numPr>
                <w:numId w:val="0"/>
              </w:numPr>
              <w:suppressLineNumbers w:val="0"/>
              <w:tabs>
                <w:tab w:val="left" w:pos="0"/>
              </w:tabs>
              <w:kinsoku/>
              <w:wordWrap/>
              <w:overflowPunct/>
              <w:topLinePunct w:val="0"/>
              <w:autoSpaceDE/>
              <w:autoSpaceDN/>
              <w:bidi w:val="0"/>
              <w:snapToGrid/>
              <w:spacing w:beforeAutospacing="0" w:afterAutospacing="0" w:line="240" w:lineRule="atLeast"/>
              <w:ind w:leftChars="0" w:right="0" w:rightChars="0"/>
              <w:jc w:val="center"/>
              <w:textAlignment w:val="auto"/>
              <w:outlineLvl w:val="2"/>
              <w:rPr>
                <w:rFonts w:hint="eastAsia" w:ascii="宋体" w:hAnsi="宋体" w:eastAsia="宋体" w:cs="宋体"/>
                <w:color w:val="000000"/>
                <w:sz w:val="18"/>
                <w:szCs w:val="18"/>
                <w:highlight w:val="none"/>
                <w:lang w:val="en-US" w:eastAsia="zh-CN" w:bidi="ar-SA"/>
              </w:rPr>
            </w:pPr>
          </w:p>
        </w:tc>
        <w:tc>
          <w:tcPr>
            <w:tcW w:w="288" w:type="pct"/>
            <w:tcBorders>
              <w:bottom w:val="single" w:color="auto" w:sz="12" w:space="0"/>
            </w:tcBorders>
            <w:shd w:val="clear" w:color="auto" w:fill="auto"/>
            <w:noWrap w:val="0"/>
            <w:vAlign w:val="top"/>
          </w:tcPr>
          <w:p w14:paraId="154A9A1A">
            <w:pPr>
              <w:keepNext w:val="0"/>
              <w:keepLines w:val="0"/>
              <w:pageBreakBefore w:val="0"/>
              <w:widowControl w:val="0"/>
              <w:numPr>
                <w:ilvl w:val="0"/>
                <w:numId w:val="0"/>
              </w:numPr>
              <w:suppressLineNumbers w:val="0"/>
              <w:kinsoku/>
              <w:wordWrap/>
              <w:overflowPunct/>
              <w:topLinePunct w:val="0"/>
              <w:autoSpaceDE/>
              <w:autoSpaceDN/>
              <w:bidi w:val="0"/>
              <w:adjustRightInd w:val="0"/>
              <w:snapToGrid/>
              <w:spacing w:beforeAutospacing="0" w:afterAutospacing="0" w:line="240" w:lineRule="atLeast"/>
              <w:ind w:left="0" w:leftChars="0" w:right="0" w:rightChars="0" w:firstLine="0" w:firstLineChars="0"/>
              <w:jc w:val="center"/>
              <w:textAlignment w:val="auto"/>
              <w:outlineLvl w:val="2"/>
              <w:rPr>
                <w:rFonts w:hint="eastAsia" w:ascii="宋体" w:hAnsi="宋体" w:eastAsia="宋体" w:cs="宋体"/>
                <w:color w:val="000000"/>
                <w:sz w:val="18"/>
                <w:szCs w:val="18"/>
                <w:highlight w:val="none"/>
                <w:lang w:val="en-US" w:eastAsia="zh-CN" w:bidi="ar-SA"/>
              </w:rPr>
            </w:pPr>
            <w:r>
              <w:rPr>
                <w:rFonts w:hint="eastAsia" w:ascii="宋体" w:hAnsi="宋体" w:cs="宋体"/>
                <w:color w:val="000000"/>
                <w:sz w:val="18"/>
                <w:szCs w:val="18"/>
                <w:highlight w:val="none"/>
                <w:lang w:val="en-US" w:eastAsia="zh-CN" w:bidi="ar-SA"/>
              </w:rPr>
              <w:t>一</w:t>
            </w:r>
            <w:r>
              <w:rPr>
                <w:rFonts w:hint="eastAsia" w:ascii="宋体" w:hAnsi="宋体" w:eastAsia="宋体" w:cs="宋体"/>
                <w:color w:val="000000"/>
                <w:sz w:val="18"/>
                <w:szCs w:val="18"/>
                <w:highlight w:val="none"/>
                <w:lang w:val="en-US" w:eastAsia="zh-CN" w:bidi="ar-SA"/>
              </w:rPr>
              <w:t>级</w:t>
            </w:r>
          </w:p>
          <w:p w14:paraId="6D158C58">
            <w:pPr>
              <w:keepNext w:val="0"/>
              <w:keepLines w:val="0"/>
              <w:pageBreakBefore w:val="0"/>
              <w:widowControl w:val="0"/>
              <w:numPr>
                <w:ilvl w:val="0"/>
                <w:numId w:val="0"/>
              </w:numPr>
              <w:suppressLineNumbers w:val="0"/>
              <w:kinsoku/>
              <w:wordWrap/>
              <w:overflowPunct/>
              <w:topLinePunct w:val="0"/>
              <w:autoSpaceDE/>
              <w:autoSpaceDN/>
              <w:bidi w:val="0"/>
              <w:adjustRightInd w:val="0"/>
              <w:snapToGrid/>
              <w:spacing w:beforeAutospacing="0" w:afterAutospacing="0" w:line="240" w:lineRule="atLeast"/>
              <w:ind w:left="0" w:leftChars="0" w:right="0" w:rightChars="0" w:firstLine="0" w:firstLineChars="0"/>
              <w:jc w:val="center"/>
              <w:textAlignment w:val="auto"/>
              <w:outlineLvl w:val="2"/>
              <w:rPr>
                <w:rFonts w:hint="eastAsia" w:ascii="宋体" w:hAnsi="宋体" w:eastAsia="宋体" w:cs="宋体"/>
                <w:color w:val="000000"/>
                <w:sz w:val="18"/>
                <w:szCs w:val="18"/>
                <w:highlight w:val="none"/>
                <w:lang w:val="en-US" w:eastAsia="zh-CN" w:bidi="ar-SA"/>
              </w:rPr>
            </w:pPr>
            <w:r>
              <w:rPr>
                <w:rFonts w:hint="eastAsia" w:ascii="宋体" w:hAnsi="宋体" w:eastAsia="宋体" w:cs="宋体"/>
                <w:color w:val="000000"/>
                <w:sz w:val="18"/>
                <w:szCs w:val="18"/>
                <w:highlight w:val="none"/>
                <w:lang w:val="en-US" w:eastAsia="zh-CN" w:bidi="ar-SA"/>
              </w:rPr>
              <w:t>指标</w:t>
            </w:r>
            <w:r>
              <w:rPr>
                <w:rFonts w:hint="eastAsia" w:ascii="宋体" w:hAnsi="宋体" w:cs="宋体"/>
                <w:color w:val="000000"/>
                <w:sz w:val="18"/>
                <w:szCs w:val="18"/>
                <w:highlight w:val="none"/>
                <w:lang w:val="en-US" w:eastAsia="zh-CN" w:bidi="ar-SA"/>
              </w:rPr>
              <w:t xml:space="preserve"> （权重）</w:t>
            </w:r>
          </w:p>
        </w:tc>
        <w:tc>
          <w:tcPr>
            <w:tcW w:w="310" w:type="pct"/>
            <w:tcBorders>
              <w:bottom w:val="single" w:color="auto" w:sz="12" w:space="0"/>
            </w:tcBorders>
            <w:shd w:val="clear" w:color="auto" w:fill="auto"/>
            <w:noWrap w:val="0"/>
            <w:vAlign w:val="center"/>
          </w:tcPr>
          <w:p w14:paraId="36E268D5">
            <w:pPr>
              <w:keepNext w:val="0"/>
              <w:keepLines w:val="0"/>
              <w:pageBreakBefore w:val="0"/>
              <w:widowControl w:val="0"/>
              <w:numPr>
                <w:ilvl w:val="0"/>
                <w:numId w:val="0"/>
              </w:numPr>
              <w:suppressLineNumbers w:val="0"/>
              <w:kinsoku/>
              <w:wordWrap/>
              <w:overflowPunct/>
              <w:topLinePunct w:val="0"/>
              <w:autoSpaceDE/>
              <w:autoSpaceDN/>
              <w:bidi w:val="0"/>
              <w:snapToGrid/>
              <w:spacing w:beforeAutospacing="0" w:afterAutospacing="0" w:line="240" w:lineRule="atLeast"/>
              <w:ind w:left="0" w:right="0"/>
              <w:jc w:val="center"/>
              <w:textAlignment w:val="auto"/>
              <w:outlineLvl w:val="2"/>
              <w:rPr>
                <w:rFonts w:hint="eastAsia" w:ascii="宋体" w:hAnsi="宋体" w:eastAsia="宋体" w:cs="宋体"/>
                <w:color w:val="000000"/>
                <w:sz w:val="18"/>
                <w:szCs w:val="18"/>
                <w:highlight w:val="none"/>
                <w:lang w:val="en-US" w:eastAsia="zh-CN" w:bidi="ar-SA"/>
              </w:rPr>
            </w:pPr>
            <w:r>
              <w:rPr>
                <w:rFonts w:hint="eastAsia" w:ascii="宋体" w:hAnsi="宋体" w:eastAsia="宋体" w:cs="宋体"/>
                <w:color w:val="000000"/>
                <w:sz w:val="18"/>
                <w:szCs w:val="18"/>
                <w:highlight w:val="none"/>
                <w:lang w:val="en-US" w:eastAsia="zh-CN" w:bidi="ar-SA"/>
              </w:rPr>
              <w:t>二级</w:t>
            </w:r>
          </w:p>
          <w:p w14:paraId="1581D805">
            <w:pPr>
              <w:keepNext w:val="0"/>
              <w:keepLines w:val="0"/>
              <w:pageBreakBefore w:val="0"/>
              <w:widowControl w:val="0"/>
              <w:numPr>
                <w:ilvl w:val="0"/>
                <w:numId w:val="0"/>
              </w:numPr>
              <w:suppressLineNumbers w:val="0"/>
              <w:kinsoku/>
              <w:wordWrap/>
              <w:overflowPunct/>
              <w:topLinePunct w:val="0"/>
              <w:autoSpaceDE/>
              <w:autoSpaceDN/>
              <w:bidi w:val="0"/>
              <w:snapToGrid/>
              <w:spacing w:beforeAutospacing="0" w:afterAutospacing="0" w:line="240" w:lineRule="atLeast"/>
              <w:ind w:left="0" w:right="0"/>
              <w:jc w:val="center"/>
              <w:textAlignment w:val="auto"/>
              <w:outlineLvl w:val="2"/>
              <w:rPr>
                <w:rFonts w:hint="eastAsia" w:ascii="宋体" w:hAnsi="宋体" w:eastAsia="宋体" w:cs="宋体"/>
                <w:color w:val="000000"/>
                <w:sz w:val="18"/>
                <w:szCs w:val="18"/>
                <w:highlight w:val="none"/>
                <w:lang w:val="en-US" w:eastAsia="zh-CN" w:bidi="ar-SA"/>
              </w:rPr>
            </w:pPr>
            <w:r>
              <w:rPr>
                <w:rFonts w:hint="eastAsia" w:ascii="宋体" w:hAnsi="宋体" w:eastAsia="宋体" w:cs="宋体"/>
                <w:color w:val="000000"/>
                <w:sz w:val="18"/>
                <w:szCs w:val="18"/>
                <w:highlight w:val="none"/>
                <w:lang w:val="en-US" w:eastAsia="zh-CN" w:bidi="ar-SA"/>
              </w:rPr>
              <w:t>指标</w:t>
            </w:r>
          </w:p>
          <w:p w14:paraId="775B5058">
            <w:pPr>
              <w:keepNext w:val="0"/>
              <w:keepLines w:val="0"/>
              <w:pageBreakBefore w:val="0"/>
              <w:widowControl w:val="0"/>
              <w:suppressLineNumbers w:val="0"/>
              <w:tabs>
                <w:tab w:val="center" w:pos="4201"/>
                <w:tab w:val="right" w:leader="dot" w:pos="9298"/>
              </w:tabs>
              <w:kinsoku/>
              <w:wordWrap/>
              <w:overflowPunct/>
              <w:topLinePunct w:val="0"/>
              <w:autoSpaceDE/>
              <w:autoSpaceDN/>
              <w:bidi w:val="0"/>
              <w:snapToGrid/>
              <w:spacing w:beforeAutospacing="0" w:afterAutospacing="0" w:line="240" w:lineRule="atLeast"/>
              <w:ind w:left="0" w:leftChars="0" w:right="0" w:rightChars="0" w:firstLine="0" w:firstLineChars="0"/>
              <w:jc w:val="center"/>
              <w:textAlignment w:val="auto"/>
              <w:rPr>
                <w:rFonts w:hint="eastAsia" w:ascii="宋体" w:hAnsi="宋体" w:cs="宋体"/>
                <w:color w:val="000000"/>
                <w:sz w:val="18"/>
                <w:szCs w:val="18"/>
                <w:highlight w:val="none"/>
                <w:lang w:val="en-US" w:eastAsia="zh-CN" w:bidi="ar-SA"/>
              </w:rPr>
            </w:pPr>
            <w:r>
              <w:rPr>
                <w:rFonts w:hint="eastAsia" w:ascii="宋体" w:hAnsi="宋体" w:eastAsia="宋体" w:cs="宋体"/>
                <w:color w:val="000000"/>
                <w:sz w:val="18"/>
                <w:szCs w:val="18"/>
                <w:highlight w:val="none"/>
                <w:lang w:val="en-US" w:eastAsia="zh-CN" w:bidi="ar-SA"/>
              </w:rPr>
              <w:t>(权重）</w:t>
            </w:r>
          </w:p>
        </w:tc>
        <w:tc>
          <w:tcPr>
            <w:tcW w:w="458" w:type="pct"/>
            <w:tcBorders>
              <w:bottom w:val="single" w:color="auto" w:sz="12" w:space="0"/>
            </w:tcBorders>
            <w:shd w:val="clear" w:color="auto" w:fill="auto"/>
            <w:noWrap w:val="0"/>
            <w:vAlign w:val="top"/>
          </w:tcPr>
          <w:p w14:paraId="36FE5B55">
            <w:pPr>
              <w:keepNext w:val="0"/>
              <w:keepLines w:val="0"/>
              <w:pageBreakBefore w:val="0"/>
              <w:widowControl w:val="0"/>
              <w:numPr>
                <w:ilvl w:val="0"/>
                <w:numId w:val="0"/>
              </w:numPr>
              <w:suppressLineNumbers w:val="0"/>
              <w:kinsoku/>
              <w:wordWrap/>
              <w:overflowPunct/>
              <w:topLinePunct w:val="0"/>
              <w:autoSpaceDE/>
              <w:autoSpaceDN/>
              <w:bidi w:val="0"/>
              <w:snapToGrid/>
              <w:spacing w:beforeAutospacing="0" w:afterAutospacing="0" w:line="240" w:lineRule="atLeast"/>
              <w:ind w:left="0" w:leftChars="0" w:right="0" w:rightChars="0" w:firstLine="0" w:firstLineChars="0"/>
              <w:jc w:val="center"/>
              <w:textAlignment w:val="auto"/>
              <w:outlineLvl w:val="2"/>
              <w:rPr>
                <w:rFonts w:hint="eastAsia" w:ascii="宋体" w:hAnsi="宋体" w:eastAsia="宋体" w:cs="宋体"/>
                <w:color w:val="000000"/>
                <w:sz w:val="18"/>
                <w:szCs w:val="18"/>
                <w:highlight w:val="none"/>
                <w:lang w:val="en-US" w:eastAsia="zh-CN" w:bidi="ar-SA"/>
              </w:rPr>
            </w:pPr>
            <w:r>
              <w:rPr>
                <w:rFonts w:hint="eastAsia" w:ascii="宋体" w:hAnsi="宋体" w:eastAsia="宋体" w:cs="宋体"/>
                <w:color w:val="000000"/>
                <w:sz w:val="18"/>
                <w:szCs w:val="18"/>
                <w:highlight w:val="none"/>
                <w:lang w:val="en-US" w:eastAsia="zh-CN" w:bidi="ar-SA"/>
              </w:rPr>
              <w:t>三级指标</w:t>
            </w:r>
          </w:p>
          <w:p w14:paraId="76FC3587">
            <w:pPr>
              <w:keepNext w:val="0"/>
              <w:keepLines w:val="0"/>
              <w:pageBreakBefore w:val="0"/>
              <w:widowControl w:val="0"/>
              <w:numPr>
                <w:ilvl w:val="0"/>
                <w:numId w:val="0"/>
              </w:numPr>
              <w:suppressLineNumbers w:val="0"/>
              <w:kinsoku/>
              <w:wordWrap/>
              <w:overflowPunct/>
              <w:topLinePunct w:val="0"/>
              <w:autoSpaceDE/>
              <w:autoSpaceDN/>
              <w:bidi w:val="0"/>
              <w:snapToGrid/>
              <w:spacing w:beforeAutospacing="0" w:afterAutospacing="0" w:line="240" w:lineRule="atLeast"/>
              <w:ind w:left="0" w:leftChars="0" w:right="0" w:rightChars="0" w:firstLine="0" w:firstLineChars="0"/>
              <w:jc w:val="center"/>
              <w:textAlignment w:val="auto"/>
              <w:outlineLvl w:val="2"/>
              <w:rPr>
                <w:rFonts w:hint="default" w:ascii="宋体" w:hAnsi="宋体" w:cs="宋体"/>
                <w:color w:val="000000"/>
                <w:sz w:val="18"/>
                <w:szCs w:val="18"/>
                <w:highlight w:val="none"/>
                <w:lang w:val="en-US" w:eastAsia="zh-CN" w:bidi="ar-SA"/>
              </w:rPr>
            </w:pPr>
            <w:r>
              <w:rPr>
                <w:rFonts w:hint="eastAsia" w:ascii="宋体" w:hAnsi="宋体" w:eastAsia="宋体" w:cs="宋体"/>
                <w:color w:val="000000"/>
                <w:sz w:val="18"/>
                <w:szCs w:val="18"/>
                <w:highlight w:val="none"/>
                <w:lang w:val="en-US" w:eastAsia="zh-CN" w:bidi="ar-SA"/>
              </w:rPr>
              <w:t>(权重）</w:t>
            </w:r>
          </w:p>
        </w:tc>
        <w:tc>
          <w:tcPr>
            <w:tcW w:w="616" w:type="pct"/>
            <w:tcBorders>
              <w:bottom w:val="single" w:color="auto" w:sz="12" w:space="0"/>
              <w:right w:val="single" w:color="auto" w:sz="4" w:space="0"/>
            </w:tcBorders>
            <w:shd w:val="clear" w:color="auto" w:fill="auto"/>
            <w:noWrap w:val="0"/>
            <w:vAlign w:val="top"/>
          </w:tcPr>
          <w:p w14:paraId="1B6D7438">
            <w:pPr>
              <w:keepNext w:val="0"/>
              <w:keepLines w:val="0"/>
              <w:pageBreakBefore w:val="0"/>
              <w:widowControl w:val="0"/>
              <w:numPr>
                <w:ilvl w:val="0"/>
                <w:numId w:val="0"/>
              </w:numPr>
              <w:suppressLineNumbers w:val="0"/>
              <w:kinsoku/>
              <w:wordWrap/>
              <w:overflowPunct/>
              <w:topLinePunct w:val="0"/>
              <w:autoSpaceDE/>
              <w:autoSpaceDN/>
              <w:bidi w:val="0"/>
              <w:snapToGrid/>
              <w:spacing w:beforeAutospacing="0" w:afterAutospacing="0" w:line="240" w:lineRule="atLeast"/>
              <w:ind w:left="0" w:leftChars="0" w:right="0" w:rightChars="0" w:firstLine="0" w:firstLineChars="0"/>
              <w:jc w:val="center"/>
              <w:textAlignment w:val="auto"/>
              <w:outlineLvl w:val="2"/>
              <w:rPr>
                <w:rFonts w:hint="eastAsia" w:ascii="宋体" w:hAnsi="宋体" w:cs="宋体"/>
                <w:color w:val="000000" w:themeColor="text1"/>
                <w:kern w:val="2"/>
                <w:sz w:val="18"/>
                <w:szCs w:val="18"/>
                <w:highlight w:val="none"/>
                <w:lang w:val="en-US" w:eastAsia="zh-CN" w:bidi="ar-SA"/>
                <w14:textFill>
                  <w14:solidFill>
                    <w14:schemeClr w14:val="tx1"/>
                  </w14:solidFill>
                </w14:textFill>
              </w:rPr>
            </w:pPr>
            <w:r>
              <w:rPr>
                <w:rFonts w:hint="eastAsia" w:ascii="宋体" w:hAnsi="宋体" w:eastAsia="宋体" w:cs="宋体"/>
                <w:color w:val="000000"/>
                <w:sz w:val="18"/>
                <w:szCs w:val="18"/>
                <w:highlight w:val="none"/>
                <w:lang w:val="en-US" w:eastAsia="zh-CN" w:bidi="ar-SA"/>
              </w:rPr>
              <w:t>四级指标(权重）</w:t>
            </w:r>
          </w:p>
        </w:tc>
        <w:tc>
          <w:tcPr>
            <w:tcW w:w="236" w:type="pct"/>
            <w:vMerge w:val="continue"/>
            <w:tcBorders>
              <w:top w:val="nil"/>
              <w:left w:val="single" w:color="auto" w:sz="4" w:space="0"/>
              <w:bottom w:val="single" w:color="auto" w:sz="12" w:space="0"/>
              <w:right w:val="single" w:color="auto" w:sz="4" w:space="0"/>
            </w:tcBorders>
            <w:shd w:val="clear" w:color="auto" w:fill="auto"/>
            <w:noWrap w:val="0"/>
            <w:vAlign w:val="center"/>
          </w:tcPr>
          <w:p w14:paraId="356256C1">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tLeast"/>
              <w:ind w:left="0" w:leftChars="0" w:right="0" w:rightChars="0"/>
              <w:jc w:val="center"/>
              <w:textAlignment w:val="auto"/>
              <w:rPr>
                <w:rFonts w:hint="eastAsia" w:ascii="宋体" w:hAnsi="宋体" w:eastAsia="宋体" w:cs="宋体"/>
                <w:color w:val="000000" w:themeColor="text1"/>
                <w:sz w:val="18"/>
                <w:szCs w:val="18"/>
                <w14:textFill>
                  <w14:solidFill>
                    <w14:schemeClr w14:val="tx1"/>
                  </w14:solidFill>
                </w14:textFill>
              </w:rPr>
            </w:pPr>
          </w:p>
        </w:tc>
        <w:tc>
          <w:tcPr>
            <w:tcW w:w="1773" w:type="pct"/>
            <w:vMerge w:val="continue"/>
            <w:tcBorders>
              <w:top w:val="nil"/>
              <w:left w:val="single" w:color="auto" w:sz="4" w:space="0"/>
              <w:bottom w:val="single" w:color="auto" w:sz="12" w:space="0"/>
              <w:right w:val="single" w:color="auto" w:sz="4" w:space="0"/>
            </w:tcBorders>
            <w:shd w:val="clear" w:color="auto" w:fill="auto"/>
            <w:noWrap w:val="0"/>
            <w:vAlign w:val="center"/>
          </w:tcPr>
          <w:p w14:paraId="0EF00CD2">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tLeast"/>
              <w:ind w:left="0" w:leftChars="0" w:right="0" w:rightChars="0"/>
              <w:textAlignment w:val="auto"/>
              <w:rPr>
                <w:rFonts w:hint="eastAsia" w:ascii="宋体" w:hAnsi="宋体" w:eastAsia="宋体" w:cs="宋体"/>
                <w:i w:val="0"/>
                <w:iCs w:val="0"/>
                <w:caps w:val="0"/>
                <w:color w:val="000000" w:themeColor="text1"/>
                <w:spacing w:val="0"/>
                <w:sz w:val="18"/>
                <w:szCs w:val="18"/>
                <w:shd w:val="clear" w:fill="auto"/>
                <w14:textFill>
                  <w14:solidFill>
                    <w14:schemeClr w14:val="tx1"/>
                  </w14:solidFill>
                </w14:textFill>
              </w:rPr>
            </w:pPr>
          </w:p>
        </w:tc>
        <w:tc>
          <w:tcPr>
            <w:tcW w:w="365" w:type="pct"/>
            <w:vMerge w:val="continue"/>
            <w:tcBorders>
              <w:top w:val="nil"/>
              <w:left w:val="single" w:color="auto" w:sz="4" w:space="0"/>
              <w:bottom w:val="single" w:color="auto" w:sz="12" w:space="0"/>
              <w:right w:val="single" w:color="auto" w:sz="4" w:space="0"/>
            </w:tcBorders>
            <w:shd w:val="clear" w:color="auto" w:fill="auto"/>
            <w:noWrap w:val="0"/>
            <w:vAlign w:val="center"/>
          </w:tcPr>
          <w:p w14:paraId="6D47B3AB">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tLeast"/>
              <w:ind w:left="0" w:leftChars="0" w:right="0" w:rightChars="0"/>
              <w:jc w:val="center"/>
              <w:textAlignment w:val="auto"/>
              <w:rPr>
                <w:rFonts w:hint="eastAsia" w:ascii="宋体" w:hAnsi="宋体" w:cs="宋体"/>
                <w:color w:val="000000" w:themeColor="text1"/>
                <w:sz w:val="18"/>
                <w:szCs w:val="18"/>
                <w:lang w:val="en-US" w:eastAsia="zh-CN"/>
                <w14:textFill>
                  <w14:solidFill>
                    <w14:schemeClr w14:val="tx1"/>
                  </w14:solidFill>
                </w14:textFill>
              </w:rPr>
            </w:pPr>
          </w:p>
        </w:tc>
        <w:tc>
          <w:tcPr>
            <w:tcW w:w="365" w:type="pct"/>
            <w:vMerge w:val="continue"/>
            <w:tcBorders>
              <w:top w:val="nil"/>
              <w:left w:val="single" w:color="auto" w:sz="4" w:space="0"/>
              <w:bottom w:val="single" w:color="auto" w:sz="12" w:space="0"/>
              <w:right w:val="single" w:color="auto" w:sz="4" w:space="0"/>
            </w:tcBorders>
            <w:shd w:val="clear" w:color="auto" w:fill="auto"/>
            <w:noWrap w:val="0"/>
            <w:vAlign w:val="center"/>
          </w:tcPr>
          <w:p w14:paraId="63590CFA">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tLeast"/>
              <w:ind w:left="0" w:leftChars="0" w:right="0" w:rightChars="0"/>
              <w:jc w:val="center"/>
              <w:textAlignment w:val="auto"/>
              <w:rPr>
                <w:rFonts w:hint="eastAsia" w:ascii="宋体" w:hAnsi="宋体" w:cs="宋体"/>
                <w:color w:val="000000" w:themeColor="text1"/>
                <w:sz w:val="18"/>
                <w:szCs w:val="18"/>
                <w:lang w:val="en-US" w:eastAsia="zh-CN"/>
                <w14:textFill>
                  <w14:solidFill>
                    <w14:schemeClr w14:val="tx1"/>
                  </w14:solidFill>
                </w14:textFill>
              </w:rPr>
            </w:pPr>
          </w:p>
        </w:tc>
        <w:tc>
          <w:tcPr>
            <w:tcW w:w="378" w:type="pct"/>
            <w:vMerge w:val="continue"/>
            <w:tcBorders>
              <w:top w:val="nil"/>
              <w:left w:val="single" w:color="auto" w:sz="4" w:space="0"/>
              <w:bottom w:val="single" w:color="auto" w:sz="12" w:space="0"/>
              <w:right w:val="single" w:color="auto" w:sz="12" w:space="0"/>
            </w:tcBorders>
            <w:shd w:val="clear" w:color="auto" w:fill="auto"/>
            <w:noWrap w:val="0"/>
            <w:vAlign w:val="center"/>
          </w:tcPr>
          <w:p w14:paraId="503A5AE8">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tLeast"/>
              <w:ind w:left="0" w:right="0"/>
              <w:jc w:val="center"/>
              <w:textAlignment w:val="auto"/>
              <w:rPr>
                <w:rFonts w:hint="default" w:ascii="宋体" w:hAnsi="宋体" w:eastAsia="宋体" w:cs="宋体"/>
                <w:color w:val="000000"/>
                <w:sz w:val="18"/>
                <w:szCs w:val="18"/>
                <w:highlight w:val="none"/>
                <w:lang w:val="en-US" w:eastAsia="zh-CN"/>
              </w:rPr>
            </w:pPr>
          </w:p>
        </w:tc>
      </w:tr>
      <w:tr w14:paraId="652169F7">
        <w:tblPrEx>
          <w:tblBorders>
            <w:top w:val="single" w:color="auto" w:sz="4" w:space="0"/>
            <w:left w:val="single" w:color="auto" w:sz="4" w:space="0"/>
            <w:bottom w:val="single" w:color="auto" w:sz="12"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9" w:type="pct"/>
            <w:tcBorders>
              <w:top w:val="single" w:color="auto" w:sz="12" w:space="0"/>
              <w:left w:val="single" w:color="auto" w:sz="12" w:space="0"/>
            </w:tcBorders>
            <w:shd w:val="clear" w:color="auto" w:fill="auto"/>
            <w:noWrap w:val="0"/>
            <w:vAlign w:val="center"/>
          </w:tcPr>
          <w:p w14:paraId="2C998BAD">
            <w:pPr>
              <w:keepNext w:val="0"/>
              <w:keepLines w:val="0"/>
              <w:pageBreakBefore w:val="0"/>
              <w:widowControl w:val="0"/>
              <w:numPr>
                <w:ilvl w:val="0"/>
                <w:numId w:val="35"/>
              </w:numPr>
              <w:suppressLineNumbers w:val="0"/>
              <w:kinsoku/>
              <w:wordWrap/>
              <w:overflowPunct/>
              <w:topLinePunct w:val="0"/>
              <w:autoSpaceDE/>
              <w:autoSpaceDN/>
              <w:bidi w:val="0"/>
              <w:snapToGrid/>
              <w:spacing w:beforeAutospacing="0" w:afterAutospacing="0" w:line="240" w:lineRule="atLeast"/>
              <w:ind w:right="0"/>
              <w:jc w:val="center"/>
              <w:textAlignment w:val="auto"/>
              <w:outlineLvl w:val="2"/>
              <w:rPr>
                <w:rFonts w:hint="eastAsia" w:ascii="宋体" w:hAnsi="宋体" w:eastAsia="宋体" w:cs="宋体"/>
                <w:color w:val="000000"/>
                <w:sz w:val="18"/>
                <w:szCs w:val="18"/>
                <w:highlight w:val="none"/>
                <w:lang w:val="en-US" w:eastAsia="zh-CN" w:bidi="ar-SA"/>
              </w:rPr>
            </w:pPr>
          </w:p>
        </w:tc>
        <w:tc>
          <w:tcPr>
            <w:tcW w:w="288" w:type="pct"/>
            <w:vMerge w:val="restart"/>
            <w:tcBorders>
              <w:top w:val="single" w:color="auto" w:sz="12" w:space="0"/>
            </w:tcBorders>
            <w:shd w:val="clear" w:color="auto" w:fill="auto"/>
            <w:noWrap w:val="0"/>
            <w:vAlign w:val="center"/>
          </w:tcPr>
          <w:p w14:paraId="2340196F">
            <w:pPr>
              <w:keepNext w:val="0"/>
              <w:keepLines w:val="0"/>
              <w:pageBreakBefore w:val="0"/>
              <w:widowControl w:val="0"/>
              <w:numPr>
                <w:ilvl w:val="0"/>
                <w:numId w:val="0"/>
              </w:numPr>
              <w:suppressLineNumbers w:val="0"/>
              <w:kinsoku/>
              <w:wordWrap/>
              <w:overflowPunct/>
              <w:topLinePunct w:val="0"/>
              <w:autoSpaceDE/>
              <w:autoSpaceDN/>
              <w:bidi w:val="0"/>
              <w:snapToGrid/>
              <w:spacing w:beforeAutospacing="0" w:afterAutospacing="0" w:line="240" w:lineRule="atLeast"/>
              <w:ind w:left="0" w:right="0"/>
              <w:jc w:val="center"/>
              <w:textAlignment w:val="auto"/>
              <w:outlineLvl w:val="2"/>
              <w:rPr>
                <w:rFonts w:hint="eastAsia" w:ascii="宋体" w:hAnsi="宋体" w:eastAsia="宋体" w:cs="宋体"/>
                <w:color w:val="000000"/>
                <w:sz w:val="18"/>
                <w:szCs w:val="18"/>
                <w:highlight w:val="none"/>
                <w:lang w:val="en-US" w:eastAsia="zh-CN" w:bidi="ar-SA"/>
              </w:rPr>
            </w:pPr>
            <w:r>
              <w:rPr>
                <w:rFonts w:hint="eastAsia" w:ascii="宋体" w:hAnsi="宋体" w:eastAsia="宋体" w:cs="宋体"/>
                <w:color w:val="000000"/>
                <w:sz w:val="18"/>
                <w:szCs w:val="18"/>
                <w:highlight w:val="none"/>
                <w:lang w:val="en-US" w:eastAsia="zh-CN" w:bidi="ar-SA"/>
              </w:rPr>
              <w:t>联合（0.4）</w:t>
            </w:r>
          </w:p>
        </w:tc>
        <w:tc>
          <w:tcPr>
            <w:tcW w:w="310" w:type="pct"/>
            <w:vMerge w:val="restart"/>
            <w:tcBorders>
              <w:top w:val="single" w:color="auto" w:sz="12" w:space="0"/>
            </w:tcBorders>
            <w:shd w:val="clear" w:color="auto" w:fill="auto"/>
            <w:noWrap w:val="0"/>
            <w:vAlign w:val="center"/>
          </w:tcPr>
          <w:p w14:paraId="3C623370">
            <w:pPr>
              <w:keepNext w:val="0"/>
              <w:keepLines w:val="0"/>
              <w:pageBreakBefore w:val="0"/>
              <w:widowControl w:val="0"/>
              <w:numPr>
                <w:ilvl w:val="0"/>
                <w:numId w:val="0"/>
              </w:numPr>
              <w:suppressLineNumbers w:val="0"/>
              <w:kinsoku/>
              <w:wordWrap/>
              <w:overflowPunct/>
              <w:topLinePunct w:val="0"/>
              <w:autoSpaceDE/>
              <w:autoSpaceDN/>
              <w:bidi w:val="0"/>
              <w:snapToGrid/>
              <w:spacing w:beforeAutospacing="0" w:afterAutospacing="0" w:line="240" w:lineRule="atLeast"/>
              <w:ind w:left="0" w:right="0"/>
              <w:jc w:val="center"/>
              <w:textAlignment w:val="auto"/>
              <w:outlineLvl w:val="2"/>
              <w:rPr>
                <w:rFonts w:hint="eastAsia" w:ascii="宋体" w:hAnsi="宋体" w:cs="宋体"/>
                <w:color w:val="000000"/>
                <w:sz w:val="18"/>
                <w:szCs w:val="18"/>
                <w:highlight w:val="none"/>
                <w:lang w:val="en-US" w:eastAsia="zh-CN" w:bidi="ar-SA"/>
              </w:rPr>
            </w:pPr>
            <w:r>
              <w:rPr>
                <w:rFonts w:hint="eastAsia" w:ascii="宋体" w:hAnsi="宋体" w:cs="宋体"/>
                <w:color w:val="000000"/>
                <w:sz w:val="18"/>
                <w:szCs w:val="18"/>
                <w:highlight w:val="none"/>
                <w:lang w:val="en-US" w:eastAsia="zh-CN" w:bidi="ar-SA"/>
              </w:rPr>
              <w:t>利益</w:t>
            </w:r>
          </w:p>
          <w:p w14:paraId="25778C93">
            <w:pPr>
              <w:keepNext w:val="0"/>
              <w:keepLines w:val="0"/>
              <w:pageBreakBefore w:val="0"/>
              <w:widowControl w:val="0"/>
              <w:numPr>
                <w:ilvl w:val="0"/>
                <w:numId w:val="0"/>
              </w:numPr>
              <w:suppressLineNumbers w:val="0"/>
              <w:kinsoku/>
              <w:wordWrap/>
              <w:overflowPunct/>
              <w:topLinePunct w:val="0"/>
              <w:autoSpaceDE/>
              <w:autoSpaceDN/>
              <w:bidi w:val="0"/>
              <w:snapToGrid/>
              <w:spacing w:beforeAutospacing="0" w:afterAutospacing="0" w:line="240" w:lineRule="atLeast"/>
              <w:ind w:left="0" w:right="0"/>
              <w:jc w:val="center"/>
              <w:textAlignment w:val="auto"/>
              <w:outlineLvl w:val="2"/>
              <w:rPr>
                <w:rFonts w:hint="eastAsia" w:ascii="宋体" w:hAnsi="宋体" w:cs="宋体"/>
                <w:color w:val="000000"/>
                <w:sz w:val="18"/>
                <w:szCs w:val="18"/>
                <w:highlight w:val="none"/>
                <w:lang w:val="en-US" w:eastAsia="zh-CN" w:bidi="ar-SA"/>
              </w:rPr>
            </w:pPr>
            <w:r>
              <w:rPr>
                <w:rFonts w:hint="eastAsia" w:ascii="宋体" w:hAnsi="宋体" w:cs="宋体"/>
                <w:color w:val="000000"/>
                <w:sz w:val="18"/>
                <w:szCs w:val="18"/>
                <w:highlight w:val="none"/>
                <w:lang w:val="en-US" w:eastAsia="zh-CN" w:bidi="ar-SA"/>
              </w:rPr>
              <w:t>分配（0.4）</w:t>
            </w:r>
          </w:p>
        </w:tc>
        <w:tc>
          <w:tcPr>
            <w:tcW w:w="458" w:type="pct"/>
            <w:vMerge w:val="restart"/>
            <w:tcBorders>
              <w:top w:val="single" w:color="auto" w:sz="12" w:space="0"/>
            </w:tcBorders>
            <w:shd w:val="clear" w:color="auto" w:fill="auto"/>
            <w:noWrap w:val="0"/>
            <w:vAlign w:val="center"/>
          </w:tcPr>
          <w:p w14:paraId="5A7CF039">
            <w:pPr>
              <w:keepNext w:val="0"/>
              <w:keepLines w:val="0"/>
              <w:pageBreakBefore w:val="0"/>
              <w:widowControl w:val="0"/>
              <w:numPr>
                <w:ilvl w:val="0"/>
                <w:numId w:val="0"/>
              </w:numPr>
              <w:suppressLineNumbers w:val="0"/>
              <w:kinsoku/>
              <w:wordWrap/>
              <w:overflowPunct/>
              <w:topLinePunct w:val="0"/>
              <w:autoSpaceDE/>
              <w:autoSpaceDN/>
              <w:bidi w:val="0"/>
              <w:snapToGrid/>
              <w:spacing w:beforeAutospacing="0" w:afterAutospacing="0" w:line="240" w:lineRule="atLeast"/>
              <w:ind w:left="0" w:leftChars="0" w:right="0" w:firstLine="0" w:firstLineChars="0"/>
              <w:jc w:val="center"/>
              <w:textAlignment w:val="auto"/>
              <w:outlineLvl w:val="2"/>
              <w:rPr>
                <w:rFonts w:hint="default" w:ascii="宋体" w:hAnsi="宋体" w:cs="宋体"/>
                <w:color w:val="000000"/>
                <w:sz w:val="18"/>
                <w:szCs w:val="18"/>
                <w:highlight w:val="none"/>
                <w:lang w:val="en-US" w:eastAsia="zh-CN" w:bidi="ar-SA"/>
              </w:rPr>
            </w:pPr>
            <w:r>
              <w:rPr>
                <w:rFonts w:hint="default" w:ascii="宋体" w:hAnsi="宋体" w:cs="宋体"/>
                <w:color w:val="000000"/>
                <w:sz w:val="18"/>
                <w:szCs w:val="18"/>
                <w:highlight w:val="none"/>
                <w:lang w:val="en-US" w:eastAsia="zh-CN" w:bidi="ar-SA"/>
              </w:rPr>
              <w:t>股权分红（0.3）</w:t>
            </w:r>
          </w:p>
        </w:tc>
        <w:tc>
          <w:tcPr>
            <w:tcW w:w="616" w:type="pct"/>
            <w:tcBorders>
              <w:top w:val="single" w:color="auto" w:sz="12" w:space="0"/>
              <w:right w:val="single" w:color="auto" w:sz="4" w:space="0"/>
            </w:tcBorders>
            <w:shd w:val="clear" w:color="auto" w:fill="auto"/>
            <w:noWrap w:val="0"/>
            <w:vAlign w:val="center"/>
          </w:tcPr>
          <w:p w14:paraId="05A0F963">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tLeast"/>
              <w:ind w:left="0" w:leftChars="0" w:right="0" w:rightChars="0"/>
              <w:textAlignment w:val="auto"/>
              <w:rPr>
                <w:rFonts w:hint="default" w:ascii="宋体" w:hAnsi="宋体" w:eastAsia="宋体" w:cs="宋体"/>
                <w:color w:val="000000" w:themeColor="text1"/>
                <w:kern w:val="2"/>
                <w:sz w:val="18"/>
                <w:szCs w:val="18"/>
                <w:highlight w:val="none"/>
                <w:lang w:val="en-US" w:eastAsia="zh-CN" w:bidi="ar-SA"/>
                <w14:textFill>
                  <w14:solidFill>
                    <w14:schemeClr w14:val="tx1"/>
                  </w14:solidFill>
                </w14:textFill>
              </w:rPr>
            </w:pPr>
            <w:r>
              <w:rPr>
                <w:rFonts w:hint="eastAsia" w:ascii="宋体" w:hAnsi="宋体" w:cs="宋体"/>
                <w:color w:val="000000" w:themeColor="text1"/>
                <w:kern w:val="2"/>
                <w:sz w:val="18"/>
                <w:szCs w:val="18"/>
                <w:highlight w:val="none"/>
                <w:lang w:val="en-US" w:eastAsia="zh-CN" w:bidi="ar-SA"/>
                <w14:textFill>
                  <w14:solidFill>
                    <w14:schemeClr w14:val="tx1"/>
                  </w14:solidFill>
                </w14:textFill>
              </w:rPr>
              <w:t>分红增长率</w:t>
            </w:r>
            <w:r>
              <w:rPr>
                <w:rFonts w:hint="eastAsia" w:ascii="宋体" w:hAnsi="宋体" w:cs="宋体"/>
                <w:color w:val="000000"/>
                <w:sz w:val="18"/>
                <w:szCs w:val="18"/>
                <w:highlight w:val="none"/>
                <w:lang w:val="en-US" w:eastAsia="zh-CN" w:bidi="ar-SA"/>
              </w:rPr>
              <w:t>（0.25）</w:t>
            </w:r>
          </w:p>
        </w:tc>
        <w:tc>
          <w:tcPr>
            <w:tcW w:w="236" w:type="pct"/>
            <w:tcBorders>
              <w:top w:val="single" w:color="auto" w:sz="12" w:space="0"/>
              <w:left w:val="single" w:color="auto" w:sz="4" w:space="0"/>
              <w:right w:val="single" w:color="auto" w:sz="4" w:space="0"/>
            </w:tcBorders>
            <w:shd w:val="clear" w:color="auto" w:fill="auto"/>
            <w:noWrap w:val="0"/>
            <w:vAlign w:val="center"/>
          </w:tcPr>
          <w:p w14:paraId="664C85B5">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tLeast"/>
              <w:ind w:left="0" w:leftChars="0" w:right="0" w:rightChars="0"/>
              <w:jc w:val="center"/>
              <w:textAlignment w:val="auto"/>
              <w:rPr>
                <w:rFonts w:hint="eastAsia" w:ascii="宋体" w:hAnsi="宋体" w:eastAsia="宋体" w:cs="宋体"/>
                <w:color w:val="000000" w:themeColor="text1"/>
                <w:kern w:val="2"/>
                <w:sz w:val="18"/>
                <w:szCs w:val="18"/>
                <w:lang w:val="en-US" w:eastAsia="zh-CN" w:bidi="ar-SA"/>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w:t>
            </w:r>
          </w:p>
        </w:tc>
        <w:tc>
          <w:tcPr>
            <w:tcW w:w="1773" w:type="pct"/>
            <w:tcBorders>
              <w:top w:val="single" w:color="auto" w:sz="12" w:space="0"/>
              <w:left w:val="single" w:color="auto" w:sz="4" w:space="0"/>
              <w:right w:val="single" w:color="auto" w:sz="4" w:space="0"/>
            </w:tcBorders>
            <w:shd w:val="clear" w:color="auto" w:fill="auto"/>
            <w:noWrap w:val="0"/>
            <w:vAlign w:val="center"/>
          </w:tcPr>
          <w:p w14:paraId="4D08A51B">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tLeast"/>
              <w:ind w:left="0" w:leftChars="0" w:right="0" w:rightChars="0"/>
              <w:textAlignment w:val="auto"/>
              <w:rPr>
                <w:rFonts w:hint="eastAsia" w:ascii="宋体" w:hAnsi="宋体" w:eastAsia="宋体" w:cs="宋体"/>
                <w:color w:val="000000" w:themeColor="text1"/>
                <w:kern w:val="2"/>
                <w:sz w:val="18"/>
                <w:szCs w:val="18"/>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sz w:val="18"/>
                <w:szCs w:val="18"/>
                <w:shd w:val="clear" w:fill="auto"/>
                <w14:textFill>
                  <w14:solidFill>
                    <w14:schemeClr w14:val="tx1"/>
                  </w14:solidFill>
                </w14:textFill>
              </w:rPr>
              <w:t>分红金额的年均增长率，反映</w:t>
            </w:r>
            <w:r>
              <w:rPr>
                <w:rFonts w:hint="eastAsia" w:ascii="宋体" w:hAnsi="宋体" w:eastAsia="宋体" w:cs="宋体"/>
                <w:i w:val="0"/>
                <w:iCs w:val="0"/>
                <w:caps w:val="0"/>
                <w:color w:val="000000" w:themeColor="text1"/>
                <w:spacing w:val="0"/>
                <w:sz w:val="18"/>
                <w:szCs w:val="18"/>
                <w:shd w:val="clear" w:fill="auto"/>
                <w:lang w:val="en-US" w:eastAsia="zh-CN"/>
                <w14:textFill>
                  <w14:solidFill>
                    <w14:schemeClr w14:val="tx1"/>
                  </w14:solidFill>
                </w14:textFill>
              </w:rPr>
              <w:t>联合体</w:t>
            </w:r>
            <w:r>
              <w:rPr>
                <w:rFonts w:hint="eastAsia" w:ascii="宋体" w:hAnsi="宋体" w:eastAsia="宋体" w:cs="宋体"/>
                <w:i w:val="0"/>
                <w:iCs w:val="0"/>
                <w:caps w:val="0"/>
                <w:color w:val="000000" w:themeColor="text1"/>
                <w:spacing w:val="0"/>
                <w:sz w:val="18"/>
                <w:szCs w:val="18"/>
                <w:shd w:val="clear" w:fill="auto"/>
                <w14:textFill>
                  <w14:solidFill>
                    <w14:schemeClr w14:val="tx1"/>
                  </w14:solidFill>
                </w14:textFill>
              </w:rPr>
              <w:t>盈利能力和股东回报意愿</w:t>
            </w:r>
            <w:r>
              <w:rPr>
                <w:rFonts w:hint="eastAsia" w:ascii="宋体" w:hAnsi="宋体" w:cs="宋体"/>
                <w:i w:val="0"/>
                <w:iCs w:val="0"/>
                <w:caps w:val="0"/>
                <w:color w:val="000000" w:themeColor="text1"/>
                <w:spacing w:val="0"/>
                <w:sz w:val="18"/>
                <w:szCs w:val="18"/>
                <w:shd w:val="clear" w:fill="auto"/>
                <w:lang w:eastAsia="zh-CN"/>
                <w14:textFill>
                  <w14:solidFill>
                    <w14:schemeClr w14:val="tx1"/>
                  </w14:solidFill>
                </w14:textFill>
              </w:rPr>
              <w:t>。</w:t>
            </w:r>
            <w:r>
              <w:rPr>
                <w:rFonts w:hint="eastAsia" w:ascii="宋体" w:hAnsi="宋体" w:eastAsia="宋体" w:cs="宋体"/>
                <w:i w:val="0"/>
                <w:iCs w:val="0"/>
                <w:caps w:val="0"/>
                <w:color w:val="000000" w:themeColor="text1"/>
                <w:spacing w:val="0"/>
                <w:sz w:val="18"/>
                <w:szCs w:val="18"/>
                <w:shd w:val="clear" w:fill="auto"/>
                <w:lang w:val="en-US" w:eastAsia="zh-CN"/>
                <w14:textFill>
                  <w14:solidFill>
                    <w14:schemeClr w14:val="tx1"/>
                  </w14:solidFill>
                </w14:textFill>
              </w:rPr>
              <w:t>（评分标准：增长率＜</w:t>
            </w:r>
            <w:r>
              <w:rPr>
                <w:rFonts w:hint="eastAsia" w:ascii="宋体" w:hAnsi="宋体" w:cs="宋体"/>
                <w:i w:val="0"/>
                <w:iCs w:val="0"/>
                <w:caps w:val="0"/>
                <w:color w:val="000000" w:themeColor="text1"/>
                <w:spacing w:val="0"/>
                <w:sz w:val="18"/>
                <w:szCs w:val="18"/>
                <w:shd w:val="clear" w:fill="auto"/>
                <w:lang w:val="en-US" w:eastAsia="zh-CN"/>
                <w14:textFill>
                  <w14:solidFill>
                    <w14:schemeClr w14:val="tx1"/>
                  </w14:solidFill>
                </w14:textFill>
              </w:rPr>
              <w:t>0</w:t>
            </w:r>
            <w:r>
              <w:rPr>
                <w:rFonts w:hint="eastAsia" w:ascii="宋体" w:hAnsi="宋体" w:eastAsia="宋体" w:cs="宋体"/>
                <w:i w:val="0"/>
                <w:iCs w:val="0"/>
                <w:caps w:val="0"/>
                <w:color w:val="000000" w:themeColor="text1"/>
                <w:spacing w:val="0"/>
                <w:sz w:val="18"/>
                <w:szCs w:val="18"/>
                <w:shd w:val="clear" w:fill="auto"/>
                <w:lang w:val="en-US" w:eastAsia="zh-CN"/>
                <w14:textFill>
                  <w14:solidFill>
                    <w14:schemeClr w14:val="tx1"/>
                  </w14:solidFill>
                </w14:textFill>
              </w:rPr>
              <w:t>%得60分；</w:t>
            </w:r>
            <w:r>
              <w:rPr>
                <w:rFonts w:hint="eastAsia" w:ascii="宋体" w:hAnsi="宋体" w:cs="宋体"/>
                <w:i w:val="0"/>
                <w:iCs w:val="0"/>
                <w:caps w:val="0"/>
                <w:color w:val="000000" w:themeColor="text1"/>
                <w:spacing w:val="0"/>
                <w:sz w:val="18"/>
                <w:szCs w:val="18"/>
                <w:shd w:val="clear" w:fill="auto"/>
                <w:lang w:val="en-US" w:eastAsia="zh-CN"/>
                <w14:textFill>
                  <w14:solidFill>
                    <w14:schemeClr w14:val="tx1"/>
                  </w14:solidFill>
                </w14:textFill>
              </w:rPr>
              <w:t>0</w:t>
            </w:r>
            <w:r>
              <w:rPr>
                <w:rFonts w:hint="eastAsia" w:ascii="宋体" w:hAnsi="宋体" w:eastAsia="宋体" w:cs="宋体"/>
                <w:i w:val="0"/>
                <w:iCs w:val="0"/>
                <w:caps w:val="0"/>
                <w:color w:val="000000" w:themeColor="text1"/>
                <w:spacing w:val="0"/>
                <w:sz w:val="18"/>
                <w:szCs w:val="18"/>
                <w:shd w:val="clear" w:fill="auto"/>
                <w:lang w:val="en-US" w:eastAsia="zh-CN"/>
                <w14:textFill>
                  <w14:solidFill>
                    <w14:schemeClr w14:val="tx1"/>
                  </w14:solidFill>
                </w14:textFill>
              </w:rPr>
              <w:t>%≤增长率＜</w:t>
            </w:r>
            <w:r>
              <w:rPr>
                <w:rFonts w:hint="eastAsia" w:ascii="宋体" w:hAnsi="宋体" w:cs="宋体"/>
                <w:i w:val="0"/>
                <w:iCs w:val="0"/>
                <w:caps w:val="0"/>
                <w:color w:val="000000" w:themeColor="text1"/>
                <w:spacing w:val="0"/>
                <w:sz w:val="18"/>
                <w:szCs w:val="18"/>
                <w:shd w:val="clear" w:fill="auto"/>
                <w:lang w:val="en-US" w:eastAsia="zh-CN"/>
                <w14:textFill>
                  <w14:solidFill>
                    <w14:schemeClr w14:val="tx1"/>
                  </w14:solidFill>
                </w14:textFill>
              </w:rPr>
              <w:t>5</w:t>
            </w:r>
            <w:r>
              <w:rPr>
                <w:rFonts w:hint="eastAsia" w:ascii="宋体" w:hAnsi="宋体" w:eastAsia="宋体" w:cs="宋体"/>
                <w:i w:val="0"/>
                <w:iCs w:val="0"/>
                <w:caps w:val="0"/>
                <w:color w:val="000000" w:themeColor="text1"/>
                <w:spacing w:val="0"/>
                <w:sz w:val="18"/>
                <w:szCs w:val="18"/>
                <w:shd w:val="clear" w:fill="auto"/>
                <w:lang w:val="en-US" w:eastAsia="zh-CN"/>
                <w14:textFill>
                  <w14:solidFill>
                    <w14:schemeClr w14:val="tx1"/>
                  </w14:solidFill>
                </w14:textFill>
              </w:rPr>
              <w:t>%得80分；增长率</w:t>
            </w:r>
            <w:r>
              <w:rPr>
                <w:rFonts w:hint="eastAsia" w:ascii="宋体" w:hAnsi="宋体" w:cs="宋体"/>
                <w:i w:val="0"/>
                <w:iCs w:val="0"/>
                <w:caps w:val="0"/>
                <w:color w:val="000000" w:themeColor="text1"/>
                <w:spacing w:val="0"/>
                <w:sz w:val="18"/>
                <w:szCs w:val="18"/>
                <w:shd w:val="clear" w:fill="auto"/>
                <w:lang w:val="en-US" w:eastAsia="zh-CN"/>
                <w14:textFill>
                  <w14:solidFill>
                    <w14:schemeClr w14:val="tx1"/>
                  </w14:solidFill>
                </w14:textFill>
              </w:rPr>
              <w:t>≥5</w:t>
            </w:r>
            <w:r>
              <w:rPr>
                <w:rFonts w:hint="eastAsia" w:ascii="宋体" w:hAnsi="宋体" w:eastAsia="宋体" w:cs="宋体"/>
                <w:i w:val="0"/>
                <w:iCs w:val="0"/>
                <w:caps w:val="0"/>
                <w:color w:val="000000" w:themeColor="text1"/>
                <w:spacing w:val="0"/>
                <w:sz w:val="18"/>
                <w:szCs w:val="18"/>
                <w:shd w:val="clear" w:fill="auto"/>
                <w:lang w:val="en-US" w:eastAsia="zh-CN"/>
                <w14:textFill>
                  <w14:solidFill>
                    <w14:schemeClr w14:val="tx1"/>
                  </w14:solidFill>
                </w14:textFill>
              </w:rPr>
              <w:t>%得100分）</w:t>
            </w:r>
          </w:p>
        </w:tc>
        <w:tc>
          <w:tcPr>
            <w:tcW w:w="365" w:type="pct"/>
            <w:tcBorders>
              <w:top w:val="single" w:color="auto" w:sz="12" w:space="0"/>
              <w:left w:val="single" w:color="auto" w:sz="4" w:space="0"/>
              <w:right w:val="single" w:color="auto" w:sz="4" w:space="0"/>
            </w:tcBorders>
            <w:shd w:val="clear" w:color="auto" w:fill="auto"/>
            <w:noWrap w:val="0"/>
            <w:vAlign w:val="center"/>
          </w:tcPr>
          <w:p w14:paraId="3C3C1044">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tLeast"/>
              <w:ind w:left="0" w:leftChars="0" w:right="0" w:rightChars="0"/>
              <w:jc w:val="center"/>
              <w:textAlignment w:val="auto"/>
              <w:rPr>
                <w:rFonts w:hint="eastAsia" w:ascii="宋体" w:hAnsi="宋体" w:cs="宋体"/>
                <w:color w:val="000000" w:themeColor="text1"/>
                <w:sz w:val="18"/>
                <w:szCs w:val="18"/>
                <w:lang w:val="en-US" w:eastAsia="zh-CN"/>
                <w14:textFill>
                  <w14:solidFill>
                    <w14:schemeClr w14:val="tx1"/>
                  </w14:solidFill>
                </w14:textFill>
              </w:rPr>
            </w:pPr>
            <w:r>
              <w:rPr>
                <w:rFonts w:hint="eastAsia" w:ascii="宋体" w:hAnsi="宋体" w:cs="宋体"/>
                <w:color w:val="000000" w:themeColor="text1"/>
                <w:sz w:val="18"/>
                <w:szCs w:val="18"/>
                <w:lang w:val="en-US" w:eastAsia="zh-CN"/>
                <w14:textFill>
                  <w14:solidFill>
                    <w14:schemeClr w14:val="tx1"/>
                  </w14:solidFill>
                </w14:textFill>
              </w:rPr>
              <w:t>（本期每股分红 - 上期每股分红/上期每股分红×100%</w:t>
            </w:r>
          </w:p>
        </w:tc>
        <w:tc>
          <w:tcPr>
            <w:tcW w:w="365" w:type="pct"/>
            <w:tcBorders>
              <w:top w:val="single" w:color="auto" w:sz="12" w:space="0"/>
              <w:left w:val="single" w:color="auto" w:sz="4" w:space="0"/>
              <w:right w:val="single" w:color="auto" w:sz="4" w:space="0"/>
            </w:tcBorders>
            <w:shd w:val="clear" w:color="auto" w:fill="auto"/>
            <w:noWrap w:val="0"/>
            <w:vAlign w:val="center"/>
          </w:tcPr>
          <w:p w14:paraId="2973C948">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tLeast"/>
              <w:ind w:left="0" w:leftChars="0" w:right="0" w:rightChars="0"/>
              <w:jc w:val="center"/>
              <w:textAlignment w:val="auto"/>
              <w:rPr>
                <w:rFonts w:hint="eastAsia" w:ascii="宋体" w:hAnsi="宋体" w:eastAsia="宋体" w:cs="宋体"/>
                <w:color w:val="000000"/>
                <w:kern w:val="2"/>
                <w:sz w:val="18"/>
                <w:szCs w:val="18"/>
                <w:lang w:val="en-US" w:eastAsia="zh-CN" w:bidi="ar-SA"/>
              </w:rPr>
            </w:pPr>
            <w:r>
              <w:rPr>
                <w:rFonts w:hint="eastAsia" w:ascii="宋体" w:hAnsi="宋体" w:cs="宋体"/>
                <w:color w:val="000000" w:themeColor="text1"/>
                <w:sz w:val="18"/>
                <w:szCs w:val="18"/>
                <w:lang w:val="en-US" w:eastAsia="zh-CN"/>
                <w14:textFill>
                  <w14:solidFill>
                    <w14:schemeClr w14:val="tx1"/>
                  </w14:solidFill>
                </w14:textFill>
              </w:rPr>
              <w:t>创富工作形成数据</w:t>
            </w:r>
          </w:p>
        </w:tc>
        <w:tc>
          <w:tcPr>
            <w:tcW w:w="378" w:type="pct"/>
            <w:vMerge w:val="restart"/>
            <w:tcBorders>
              <w:top w:val="single" w:color="auto" w:sz="12" w:space="0"/>
              <w:left w:val="single" w:color="auto" w:sz="4" w:space="0"/>
              <w:right w:val="single" w:color="auto" w:sz="12" w:space="0"/>
            </w:tcBorders>
            <w:shd w:val="clear" w:color="auto" w:fill="auto"/>
            <w:noWrap w:val="0"/>
            <w:vAlign w:val="center"/>
          </w:tcPr>
          <w:p w14:paraId="1C6FACB4">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tLeast"/>
              <w:ind w:left="0" w:right="0"/>
              <w:jc w:val="center"/>
              <w:textAlignment w:val="auto"/>
              <w:rPr>
                <w:rFonts w:hint="default" w:ascii="宋体" w:hAnsi="宋体" w:eastAsia="宋体" w:cs="宋体"/>
                <w:color w:val="000000"/>
                <w:sz w:val="18"/>
                <w:szCs w:val="18"/>
                <w:highlight w:val="none"/>
                <w:lang w:val="en-US" w:eastAsia="zh-CN"/>
              </w:rPr>
            </w:pPr>
            <w:r>
              <w:rPr>
                <w:rFonts w:hint="default" w:ascii="宋体" w:hAnsi="宋体" w:eastAsia="宋体" w:cs="宋体"/>
                <w:color w:val="000000"/>
                <w:sz w:val="18"/>
                <w:szCs w:val="18"/>
                <w:highlight w:val="none"/>
                <w:lang w:val="en-US" w:eastAsia="zh-CN"/>
              </w:rPr>
              <w:t>每</w:t>
            </w:r>
            <w:r>
              <w:rPr>
                <w:rFonts w:hint="eastAsia" w:ascii="宋体" w:hAnsi="宋体" w:cs="宋体"/>
                <w:color w:val="000000"/>
                <w:sz w:val="18"/>
                <w:szCs w:val="18"/>
                <w:highlight w:val="none"/>
                <w:lang w:val="en-US" w:eastAsia="zh-CN"/>
              </w:rPr>
              <w:t>年</w:t>
            </w:r>
          </w:p>
          <w:p w14:paraId="1CF74C15">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tLeast"/>
              <w:ind w:left="0" w:right="0"/>
              <w:jc w:val="center"/>
              <w:textAlignment w:val="auto"/>
              <w:rPr>
                <w:rFonts w:hint="default" w:ascii="宋体" w:hAnsi="宋体" w:eastAsia="宋体" w:cs="宋体"/>
                <w:color w:val="000000"/>
                <w:sz w:val="18"/>
                <w:szCs w:val="18"/>
                <w:highlight w:val="none"/>
                <w:lang w:val="en-US" w:eastAsia="zh-CN"/>
              </w:rPr>
            </w:pPr>
            <w:r>
              <w:rPr>
                <w:rFonts w:hint="default" w:ascii="宋体" w:hAnsi="宋体" w:eastAsia="宋体" w:cs="宋体"/>
                <w:color w:val="000000"/>
                <w:sz w:val="18"/>
                <w:szCs w:val="18"/>
                <w:highlight w:val="none"/>
                <w:lang w:val="en-US" w:eastAsia="zh-CN"/>
              </w:rPr>
              <w:t>1次</w:t>
            </w:r>
          </w:p>
        </w:tc>
      </w:tr>
      <w:tr w14:paraId="30984C24">
        <w:tblPrEx>
          <w:tblBorders>
            <w:top w:val="single" w:color="auto" w:sz="4" w:space="0"/>
            <w:left w:val="single" w:color="auto" w:sz="4" w:space="0"/>
            <w:bottom w:val="single" w:color="auto" w:sz="12"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9" w:type="pct"/>
            <w:tcBorders>
              <w:left w:val="single" w:color="auto" w:sz="12" w:space="0"/>
            </w:tcBorders>
            <w:shd w:val="clear" w:color="auto" w:fill="auto"/>
            <w:noWrap w:val="0"/>
            <w:vAlign w:val="center"/>
          </w:tcPr>
          <w:p w14:paraId="3DD44D5B">
            <w:pPr>
              <w:keepNext w:val="0"/>
              <w:keepLines w:val="0"/>
              <w:pageBreakBefore w:val="0"/>
              <w:widowControl w:val="0"/>
              <w:numPr>
                <w:ilvl w:val="0"/>
                <w:numId w:val="35"/>
              </w:numPr>
              <w:suppressLineNumbers w:val="0"/>
              <w:kinsoku/>
              <w:wordWrap/>
              <w:overflowPunct/>
              <w:topLinePunct w:val="0"/>
              <w:autoSpaceDE/>
              <w:autoSpaceDN/>
              <w:bidi w:val="0"/>
              <w:snapToGrid/>
              <w:spacing w:beforeAutospacing="0" w:afterAutospacing="0" w:line="240" w:lineRule="atLeast"/>
              <w:ind w:right="0"/>
              <w:jc w:val="center"/>
              <w:textAlignment w:val="auto"/>
              <w:outlineLvl w:val="2"/>
              <w:rPr>
                <w:rFonts w:hint="eastAsia" w:ascii="宋体" w:hAnsi="宋体" w:eastAsia="宋体" w:cs="宋体"/>
                <w:color w:val="000000"/>
                <w:sz w:val="18"/>
                <w:szCs w:val="18"/>
                <w:highlight w:val="none"/>
                <w:lang w:val="en-US" w:eastAsia="zh-CN" w:bidi="ar-SA"/>
              </w:rPr>
            </w:pPr>
          </w:p>
        </w:tc>
        <w:tc>
          <w:tcPr>
            <w:tcW w:w="288" w:type="pct"/>
            <w:vMerge w:val="continue"/>
            <w:shd w:val="clear" w:color="auto" w:fill="auto"/>
            <w:noWrap w:val="0"/>
            <w:vAlign w:val="top"/>
          </w:tcPr>
          <w:p w14:paraId="0A4FA601">
            <w:pPr>
              <w:keepNext w:val="0"/>
              <w:keepLines w:val="0"/>
              <w:pageBreakBefore w:val="0"/>
              <w:widowControl w:val="0"/>
              <w:numPr>
                <w:ilvl w:val="0"/>
                <w:numId w:val="0"/>
              </w:numPr>
              <w:suppressLineNumbers w:val="0"/>
              <w:kinsoku/>
              <w:wordWrap/>
              <w:overflowPunct/>
              <w:topLinePunct w:val="0"/>
              <w:autoSpaceDE/>
              <w:autoSpaceDN/>
              <w:bidi w:val="0"/>
              <w:snapToGrid/>
              <w:spacing w:beforeAutospacing="0" w:afterAutospacing="0" w:line="240" w:lineRule="atLeast"/>
              <w:ind w:left="0" w:right="0"/>
              <w:textAlignment w:val="auto"/>
              <w:outlineLvl w:val="2"/>
              <w:rPr>
                <w:rFonts w:hint="eastAsia" w:ascii="宋体" w:hAnsi="宋体" w:eastAsia="宋体" w:cs="宋体"/>
                <w:color w:val="000000"/>
                <w:sz w:val="18"/>
                <w:szCs w:val="18"/>
                <w:highlight w:val="none"/>
                <w:lang w:val="en-US" w:eastAsia="zh-CN" w:bidi="ar-SA"/>
              </w:rPr>
            </w:pPr>
          </w:p>
        </w:tc>
        <w:tc>
          <w:tcPr>
            <w:tcW w:w="310" w:type="pct"/>
            <w:vMerge w:val="continue"/>
            <w:shd w:val="clear" w:color="auto" w:fill="auto"/>
            <w:noWrap w:val="0"/>
            <w:vAlign w:val="center"/>
          </w:tcPr>
          <w:p w14:paraId="0B6B502B">
            <w:pPr>
              <w:keepNext w:val="0"/>
              <w:keepLines w:val="0"/>
              <w:pageBreakBefore w:val="0"/>
              <w:widowControl w:val="0"/>
              <w:numPr>
                <w:ilvl w:val="0"/>
                <w:numId w:val="0"/>
              </w:numPr>
              <w:suppressLineNumbers w:val="0"/>
              <w:kinsoku/>
              <w:wordWrap/>
              <w:overflowPunct/>
              <w:topLinePunct w:val="0"/>
              <w:autoSpaceDE/>
              <w:autoSpaceDN/>
              <w:bidi w:val="0"/>
              <w:snapToGrid/>
              <w:spacing w:beforeAutospacing="0" w:afterAutospacing="0" w:line="240" w:lineRule="atLeast"/>
              <w:ind w:left="0" w:right="0"/>
              <w:jc w:val="center"/>
              <w:textAlignment w:val="auto"/>
              <w:outlineLvl w:val="2"/>
              <w:rPr>
                <w:rFonts w:hint="eastAsia" w:ascii="宋体" w:hAnsi="宋体" w:cs="宋体"/>
                <w:color w:val="000000"/>
                <w:sz w:val="18"/>
                <w:szCs w:val="18"/>
                <w:highlight w:val="none"/>
                <w:lang w:val="en-US" w:eastAsia="zh-CN" w:bidi="ar-SA"/>
              </w:rPr>
            </w:pPr>
          </w:p>
        </w:tc>
        <w:tc>
          <w:tcPr>
            <w:tcW w:w="458" w:type="pct"/>
            <w:vMerge w:val="continue"/>
            <w:shd w:val="clear" w:color="auto" w:fill="auto"/>
            <w:noWrap w:val="0"/>
            <w:vAlign w:val="center"/>
          </w:tcPr>
          <w:p w14:paraId="6034C3B7">
            <w:pPr>
              <w:keepNext w:val="0"/>
              <w:keepLines w:val="0"/>
              <w:pageBreakBefore w:val="0"/>
              <w:widowControl w:val="0"/>
              <w:numPr>
                <w:ilvl w:val="0"/>
                <w:numId w:val="0"/>
              </w:numPr>
              <w:suppressLineNumbers w:val="0"/>
              <w:kinsoku/>
              <w:wordWrap/>
              <w:overflowPunct/>
              <w:topLinePunct w:val="0"/>
              <w:autoSpaceDE/>
              <w:autoSpaceDN/>
              <w:bidi w:val="0"/>
              <w:snapToGrid/>
              <w:spacing w:beforeAutospacing="0" w:afterAutospacing="0" w:line="240" w:lineRule="atLeast"/>
              <w:ind w:left="0" w:leftChars="0" w:right="0" w:firstLine="0" w:firstLineChars="0"/>
              <w:jc w:val="center"/>
              <w:textAlignment w:val="auto"/>
              <w:outlineLvl w:val="2"/>
              <w:rPr>
                <w:rFonts w:hint="default" w:ascii="宋体" w:hAnsi="宋体" w:cs="宋体"/>
                <w:color w:val="000000"/>
                <w:sz w:val="18"/>
                <w:szCs w:val="18"/>
                <w:highlight w:val="none"/>
                <w:lang w:val="en-US" w:eastAsia="zh-CN" w:bidi="ar-SA"/>
              </w:rPr>
            </w:pPr>
          </w:p>
        </w:tc>
        <w:tc>
          <w:tcPr>
            <w:tcW w:w="616" w:type="pct"/>
            <w:tcBorders>
              <w:right w:val="single" w:color="auto" w:sz="4" w:space="0"/>
            </w:tcBorders>
            <w:shd w:val="clear" w:color="auto" w:fill="auto"/>
            <w:noWrap w:val="0"/>
            <w:vAlign w:val="center"/>
          </w:tcPr>
          <w:p w14:paraId="73EC16E5">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tLeast"/>
              <w:ind w:left="0" w:leftChars="0" w:right="0" w:rightChars="0"/>
              <w:textAlignment w:val="auto"/>
              <w:rPr>
                <w:rFonts w:hint="eastAsia" w:ascii="宋体" w:hAnsi="宋体" w:eastAsia="宋体" w:cs="宋体"/>
                <w:color w:val="000000" w:themeColor="text1"/>
                <w:kern w:val="2"/>
                <w:sz w:val="18"/>
                <w:szCs w:val="18"/>
                <w:highlight w:val="none"/>
                <w:lang w:val="en-US" w:eastAsia="zh-CN" w:bidi="ar-SA"/>
                <w14:textFill>
                  <w14:solidFill>
                    <w14:schemeClr w14:val="tx1"/>
                  </w14:solidFill>
                </w14:textFill>
              </w:rPr>
            </w:pPr>
            <w:r>
              <w:rPr>
                <w:rFonts w:hint="eastAsia" w:ascii="宋体" w:hAnsi="宋体" w:cs="宋体"/>
                <w:color w:val="000000" w:themeColor="text1"/>
                <w:sz w:val="18"/>
                <w:szCs w:val="18"/>
                <w:highlight w:val="none"/>
                <w:lang w:val="en-US" w:eastAsia="zh-CN"/>
                <w14:textFill>
                  <w14:solidFill>
                    <w14:schemeClr w14:val="tx1"/>
                  </w14:solidFill>
                </w14:textFill>
              </w:rPr>
              <w:t>居民（农户）股权分红占比</w:t>
            </w:r>
            <w:r>
              <w:rPr>
                <w:rFonts w:hint="eastAsia" w:ascii="宋体" w:hAnsi="宋体" w:cs="宋体"/>
                <w:color w:val="000000"/>
                <w:sz w:val="18"/>
                <w:szCs w:val="18"/>
                <w:highlight w:val="none"/>
                <w:lang w:val="en-US" w:eastAsia="zh-CN" w:bidi="ar-SA"/>
              </w:rPr>
              <w:t>（0.25）</w:t>
            </w:r>
          </w:p>
        </w:tc>
        <w:tc>
          <w:tcPr>
            <w:tcW w:w="236" w:type="pct"/>
            <w:tcBorders>
              <w:left w:val="single" w:color="auto" w:sz="4" w:space="0"/>
              <w:right w:val="single" w:color="auto" w:sz="4" w:space="0"/>
            </w:tcBorders>
            <w:shd w:val="clear" w:color="auto" w:fill="auto"/>
            <w:noWrap w:val="0"/>
            <w:vAlign w:val="center"/>
          </w:tcPr>
          <w:p w14:paraId="1E80989D">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tLeast"/>
              <w:ind w:left="0" w:leftChars="0" w:right="0" w:rightChars="0"/>
              <w:jc w:val="center"/>
              <w:textAlignment w:val="auto"/>
              <w:rPr>
                <w:rFonts w:hint="eastAsia" w:ascii="宋体" w:hAnsi="宋体" w:eastAsia="宋体" w:cs="宋体"/>
                <w:color w:val="000000" w:themeColor="text1"/>
                <w:kern w:val="2"/>
                <w:sz w:val="18"/>
                <w:szCs w:val="18"/>
                <w:lang w:val="en-US" w:eastAsia="zh-CN" w:bidi="ar-SA"/>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w:t>
            </w:r>
          </w:p>
        </w:tc>
        <w:tc>
          <w:tcPr>
            <w:tcW w:w="1773" w:type="pct"/>
            <w:tcBorders>
              <w:left w:val="single" w:color="auto" w:sz="4" w:space="0"/>
              <w:right w:val="single" w:color="auto" w:sz="4" w:space="0"/>
            </w:tcBorders>
            <w:shd w:val="clear" w:color="auto" w:fill="auto"/>
            <w:noWrap w:val="0"/>
            <w:vAlign w:val="center"/>
          </w:tcPr>
          <w:p w14:paraId="7FDEDE59">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tLeast"/>
              <w:ind w:left="0" w:leftChars="0" w:right="0" w:rightChars="0"/>
              <w:textAlignment w:val="auto"/>
              <w:rPr>
                <w:rFonts w:hint="eastAsia" w:ascii="宋体" w:hAnsi="宋体" w:eastAsia="宋体" w:cs="宋体"/>
                <w:color w:val="000000" w:themeColor="text1"/>
                <w:kern w:val="2"/>
                <w:sz w:val="18"/>
                <w:szCs w:val="18"/>
                <w:lang w:val="en-US" w:eastAsia="zh-CN" w:bidi="ar-SA"/>
                <w14:textFill>
                  <w14:solidFill>
                    <w14:schemeClr w14:val="tx1"/>
                  </w14:solidFill>
                </w14:textFill>
              </w:rPr>
            </w:pPr>
            <w:r>
              <w:rPr>
                <w:rFonts w:hint="eastAsia" w:ascii="宋体" w:hAnsi="宋体" w:eastAsia="宋体" w:cs="宋体"/>
                <w:color w:val="000000" w:themeColor="text1"/>
                <w:sz w:val="18"/>
                <w:szCs w:val="18"/>
                <w:lang w:val="en-US" w:eastAsia="zh-CN"/>
                <w14:textFill>
                  <w14:solidFill>
                    <w14:schemeClr w14:val="tx1"/>
                  </w14:solidFill>
                </w14:textFill>
              </w:rPr>
              <w:t>居民（农户）年度收入中，来自联合体的入股分红、租金等</w:t>
            </w:r>
            <w:r>
              <w:rPr>
                <w:rFonts w:hint="eastAsia" w:ascii="宋体" w:hAnsi="宋体" w:cs="宋体"/>
                <w:color w:val="000000" w:themeColor="text1"/>
                <w:sz w:val="18"/>
                <w:szCs w:val="18"/>
                <w:lang w:val="en-US" w:eastAsia="zh-CN"/>
                <w14:textFill>
                  <w14:solidFill>
                    <w14:schemeClr w14:val="tx1"/>
                  </w14:solidFill>
                </w14:textFill>
              </w:rPr>
              <w:t>股权分红</w:t>
            </w:r>
            <w:r>
              <w:rPr>
                <w:rFonts w:hint="eastAsia" w:ascii="宋体" w:hAnsi="宋体" w:eastAsia="宋体" w:cs="宋体"/>
                <w:color w:val="000000" w:themeColor="text1"/>
                <w:sz w:val="18"/>
                <w:szCs w:val="18"/>
                <w:lang w:val="en-US" w:eastAsia="zh-CN"/>
                <w14:textFill>
                  <w14:solidFill>
                    <w14:schemeClr w14:val="tx1"/>
                  </w14:solidFill>
                </w14:textFill>
              </w:rPr>
              <w:t>收入之和，占其年总收入的比重，反映联合体对居民增收的实际效果</w:t>
            </w:r>
            <w:r>
              <w:rPr>
                <w:rFonts w:hint="eastAsia" w:ascii="宋体" w:hAnsi="宋体" w:cs="宋体"/>
                <w:color w:val="000000" w:themeColor="text1"/>
                <w:sz w:val="18"/>
                <w:szCs w:val="18"/>
                <w:lang w:val="en-US" w:eastAsia="zh-CN"/>
                <w14:textFill>
                  <w14:solidFill>
                    <w14:schemeClr w14:val="tx1"/>
                  </w14:solidFill>
                </w14:textFill>
              </w:rPr>
              <w:t>。</w:t>
            </w:r>
            <w:r>
              <w:rPr>
                <w:rFonts w:hint="eastAsia" w:ascii="宋体" w:hAnsi="宋体" w:eastAsia="宋体" w:cs="宋体"/>
                <w:color w:val="000000" w:themeColor="text1"/>
                <w:sz w:val="18"/>
                <w:szCs w:val="18"/>
                <w:lang w:val="en-US" w:eastAsia="zh-CN"/>
                <w14:textFill>
                  <w14:solidFill>
                    <w14:schemeClr w14:val="tx1"/>
                  </w14:solidFill>
                </w14:textFill>
              </w:rPr>
              <w:t>（评分标准：占比＜5%得60分；5%≤占比＜</w:t>
            </w:r>
            <w:r>
              <w:rPr>
                <w:rFonts w:hint="eastAsia" w:ascii="宋体" w:hAnsi="宋体" w:cs="宋体"/>
                <w:color w:val="000000" w:themeColor="text1"/>
                <w:sz w:val="18"/>
                <w:szCs w:val="18"/>
                <w:lang w:val="en-US" w:eastAsia="zh-CN"/>
                <w14:textFill>
                  <w14:solidFill>
                    <w14:schemeClr w14:val="tx1"/>
                  </w14:solidFill>
                </w14:textFill>
              </w:rPr>
              <w:t>15</w:t>
            </w:r>
            <w:r>
              <w:rPr>
                <w:rFonts w:hint="eastAsia" w:ascii="宋体" w:hAnsi="宋体" w:eastAsia="宋体" w:cs="宋体"/>
                <w:color w:val="000000" w:themeColor="text1"/>
                <w:sz w:val="18"/>
                <w:szCs w:val="18"/>
                <w:lang w:val="en-US" w:eastAsia="zh-CN"/>
                <w14:textFill>
                  <w14:solidFill>
                    <w14:schemeClr w14:val="tx1"/>
                  </w14:solidFill>
                </w14:textFill>
              </w:rPr>
              <w:t>%得80分；占比</w:t>
            </w:r>
            <w:r>
              <w:rPr>
                <w:rFonts w:hint="eastAsia" w:ascii="宋体" w:hAnsi="宋体" w:cs="宋体"/>
                <w:color w:val="000000" w:themeColor="text1"/>
                <w:sz w:val="18"/>
                <w:szCs w:val="18"/>
                <w:lang w:val="en-US" w:eastAsia="zh-CN"/>
                <w14:textFill>
                  <w14:solidFill>
                    <w14:schemeClr w14:val="tx1"/>
                  </w14:solidFill>
                </w14:textFill>
              </w:rPr>
              <w:t>≥15</w:t>
            </w:r>
            <w:r>
              <w:rPr>
                <w:rFonts w:hint="eastAsia" w:ascii="宋体" w:hAnsi="宋体" w:eastAsia="宋体" w:cs="宋体"/>
                <w:color w:val="000000" w:themeColor="text1"/>
                <w:sz w:val="18"/>
                <w:szCs w:val="18"/>
                <w:lang w:val="en-US" w:eastAsia="zh-CN"/>
                <w14:textFill>
                  <w14:solidFill>
                    <w14:schemeClr w14:val="tx1"/>
                  </w14:solidFill>
                </w14:textFill>
              </w:rPr>
              <w:t>%得100分）</w:t>
            </w:r>
          </w:p>
        </w:tc>
        <w:tc>
          <w:tcPr>
            <w:tcW w:w="365" w:type="pct"/>
            <w:tcBorders>
              <w:left w:val="single" w:color="auto" w:sz="4" w:space="0"/>
              <w:right w:val="single" w:color="auto" w:sz="4" w:space="0"/>
            </w:tcBorders>
            <w:shd w:val="clear" w:color="auto" w:fill="auto"/>
            <w:noWrap w:val="0"/>
            <w:vAlign w:val="center"/>
          </w:tcPr>
          <w:p w14:paraId="306C0B6B">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tLeast"/>
              <w:ind w:left="0" w:leftChars="0" w:right="0" w:rightChars="0"/>
              <w:jc w:val="center"/>
              <w:textAlignment w:val="auto"/>
              <w:rPr>
                <w:rFonts w:hint="eastAsia" w:ascii="宋体" w:hAnsi="宋体" w:cs="宋体"/>
                <w:color w:val="000000" w:themeColor="text1"/>
                <w:sz w:val="18"/>
                <w:szCs w:val="18"/>
                <w:lang w:val="en-US" w:eastAsia="zh-CN"/>
                <w14:textFill>
                  <w14:solidFill>
                    <w14:schemeClr w14:val="tx1"/>
                  </w14:solidFill>
                </w14:textFill>
              </w:rPr>
            </w:pPr>
            <w:r>
              <w:rPr>
                <w:rFonts w:hint="eastAsia" w:ascii="宋体" w:hAnsi="宋体" w:cs="宋体"/>
                <w:color w:val="000000" w:themeColor="text1"/>
                <w:sz w:val="18"/>
                <w:szCs w:val="18"/>
                <w:lang w:val="en-US" w:eastAsia="zh-CN"/>
                <w14:textFill>
                  <w14:solidFill>
                    <w14:schemeClr w14:val="tx1"/>
                  </w14:solidFill>
                </w14:textFill>
              </w:rPr>
              <w:t>（居民（农户）年度股权分红总额/居民（农户）年度总收入×100%</w:t>
            </w:r>
          </w:p>
        </w:tc>
        <w:tc>
          <w:tcPr>
            <w:tcW w:w="365" w:type="pct"/>
            <w:tcBorders>
              <w:left w:val="single" w:color="auto" w:sz="4" w:space="0"/>
              <w:right w:val="single" w:color="auto" w:sz="4" w:space="0"/>
            </w:tcBorders>
            <w:shd w:val="clear" w:color="auto" w:fill="auto"/>
            <w:noWrap w:val="0"/>
            <w:vAlign w:val="center"/>
          </w:tcPr>
          <w:p w14:paraId="67E5D0B1">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tLeast"/>
              <w:ind w:left="0" w:leftChars="0" w:right="0" w:rightChars="0"/>
              <w:jc w:val="center"/>
              <w:textAlignment w:val="auto"/>
              <w:rPr>
                <w:rFonts w:hint="eastAsia" w:ascii="宋体" w:hAnsi="宋体" w:eastAsia="宋体" w:cs="宋体"/>
                <w:color w:val="000000"/>
                <w:kern w:val="2"/>
                <w:sz w:val="18"/>
                <w:szCs w:val="18"/>
                <w:lang w:val="en-US" w:eastAsia="zh-CN" w:bidi="ar-SA"/>
              </w:rPr>
            </w:pPr>
            <w:r>
              <w:rPr>
                <w:rFonts w:hint="eastAsia" w:ascii="宋体" w:hAnsi="宋体" w:cs="宋体"/>
                <w:color w:val="000000" w:themeColor="text1"/>
                <w:sz w:val="18"/>
                <w:szCs w:val="18"/>
                <w:lang w:val="en-US" w:eastAsia="zh-CN"/>
                <w14:textFill>
                  <w14:solidFill>
                    <w14:schemeClr w14:val="tx1"/>
                  </w14:solidFill>
                </w14:textFill>
              </w:rPr>
              <w:t>创富工作形成数据</w:t>
            </w:r>
          </w:p>
        </w:tc>
        <w:tc>
          <w:tcPr>
            <w:tcW w:w="378" w:type="pct"/>
            <w:vMerge w:val="continue"/>
            <w:tcBorders>
              <w:left w:val="single" w:color="auto" w:sz="4" w:space="0"/>
              <w:right w:val="single" w:color="auto" w:sz="12" w:space="0"/>
            </w:tcBorders>
            <w:shd w:val="clear" w:color="auto" w:fill="auto"/>
            <w:noWrap w:val="0"/>
            <w:vAlign w:val="center"/>
          </w:tcPr>
          <w:p w14:paraId="11C51876">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tLeast"/>
              <w:ind w:left="0" w:leftChars="0" w:right="0" w:rightChars="0"/>
              <w:jc w:val="center"/>
              <w:textAlignment w:val="auto"/>
              <w:rPr>
                <w:rFonts w:hint="default" w:ascii="宋体" w:hAnsi="宋体" w:eastAsia="宋体" w:cs="宋体"/>
                <w:color w:val="000000"/>
                <w:kern w:val="2"/>
                <w:sz w:val="18"/>
                <w:szCs w:val="18"/>
                <w:highlight w:val="none"/>
                <w:lang w:val="en-US" w:eastAsia="zh-CN" w:bidi="ar-SA"/>
              </w:rPr>
            </w:pPr>
          </w:p>
        </w:tc>
      </w:tr>
      <w:tr w14:paraId="6DD6BEF9">
        <w:tblPrEx>
          <w:tblBorders>
            <w:top w:val="single" w:color="auto" w:sz="4" w:space="0"/>
            <w:left w:val="single" w:color="auto" w:sz="4" w:space="0"/>
            <w:bottom w:val="single" w:color="auto" w:sz="12"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9" w:hRule="atLeast"/>
        </w:trPr>
        <w:tc>
          <w:tcPr>
            <w:tcW w:w="209" w:type="pct"/>
            <w:tcBorders>
              <w:left w:val="single" w:color="auto" w:sz="12" w:space="0"/>
            </w:tcBorders>
            <w:shd w:val="clear" w:color="auto" w:fill="auto"/>
            <w:noWrap w:val="0"/>
            <w:vAlign w:val="center"/>
          </w:tcPr>
          <w:p w14:paraId="47CAB2B9">
            <w:pPr>
              <w:keepNext w:val="0"/>
              <w:keepLines w:val="0"/>
              <w:pageBreakBefore w:val="0"/>
              <w:widowControl w:val="0"/>
              <w:numPr>
                <w:ilvl w:val="0"/>
                <w:numId w:val="35"/>
              </w:numPr>
              <w:suppressLineNumbers w:val="0"/>
              <w:kinsoku/>
              <w:wordWrap/>
              <w:overflowPunct/>
              <w:topLinePunct w:val="0"/>
              <w:autoSpaceDE/>
              <w:autoSpaceDN/>
              <w:bidi w:val="0"/>
              <w:snapToGrid/>
              <w:spacing w:beforeAutospacing="0" w:afterAutospacing="0" w:line="240" w:lineRule="atLeast"/>
              <w:ind w:right="0"/>
              <w:jc w:val="center"/>
              <w:textAlignment w:val="auto"/>
              <w:outlineLvl w:val="2"/>
              <w:rPr>
                <w:rFonts w:hint="eastAsia" w:ascii="宋体" w:hAnsi="宋体" w:eastAsia="宋体" w:cs="宋体"/>
                <w:color w:val="000000"/>
                <w:sz w:val="18"/>
                <w:szCs w:val="18"/>
                <w:highlight w:val="none"/>
                <w:lang w:val="en-US" w:eastAsia="zh-CN" w:bidi="ar-SA"/>
              </w:rPr>
            </w:pPr>
          </w:p>
        </w:tc>
        <w:tc>
          <w:tcPr>
            <w:tcW w:w="288" w:type="pct"/>
            <w:vMerge w:val="continue"/>
            <w:shd w:val="clear" w:color="auto" w:fill="auto"/>
            <w:noWrap w:val="0"/>
            <w:vAlign w:val="top"/>
          </w:tcPr>
          <w:p w14:paraId="2D905A0E">
            <w:pPr>
              <w:keepNext w:val="0"/>
              <w:keepLines w:val="0"/>
              <w:pageBreakBefore w:val="0"/>
              <w:widowControl w:val="0"/>
              <w:numPr>
                <w:ilvl w:val="0"/>
                <w:numId w:val="0"/>
              </w:numPr>
              <w:suppressLineNumbers w:val="0"/>
              <w:kinsoku/>
              <w:wordWrap/>
              <w:overflowPunct/>
              <w:topLinePunct w:val="0"/>
              <w:autoSpaceDE/>
              <w:autoSpaceDN/>
              <w:bidi w:val="0"/>
              <w:snapToGrid/>
              <w:spacing w:beforeAutospacing="0" w:afterAutospacing="0" w:line="240" w:lineRule="atLeast"/>
              <w:ind w:left="0" w:right="0"/>
              <w:textAlignment w:val="auto"/>
              <w:outlineLvl w:val="2"/>
              <w:rPr>
                <w:rFonts w:hint="eastAsia" w:ascii="宋体" w:hAnsi="宋体" w:eastAsia="宋体" w:cs="宋体"/>
                <w:color w:val="000000"/>
                <w:sz w:val="18"/>
                <w:szCs w:val="18"/>
                <w:highlight w:val="none"/>
                <w:lang w:val="en-US" w:eastAsia="zh-CN" w:bidi="ar-SA"/>
              </w:rPr>
            </w:pPr>
          </w:p>
        </w:tc>
        <w:tc>
          <w:tcPr>
            <w:tcW w:w="310" w:type="pct"/>
            <w:vMerge w:val="continue"/>
            <w:shd w:val="clear" w:color="auto" w:fill="auto"/>
            <w:noWrap w:val="0"/>
            <w:vAlign w:val="center"/>
          </w:tcPr>
          <w:p w14:paraId="1302EDD8">
            <w:pPr>
              <w:keepNext w:val="0"/>
              <w:keepLines w:val="0"/>
              <w:pageBreakBefore w:val="0"/>
              <w:widowControl w:val="0"/>
              <w:numPr>
                <w:ilvl w:val="0"/>
                <w:numId w:val="0"/>
              </w:numPr>
              <w:suppressLineNumbers w:val="0"/>
              <w:kinsoku/>
              <w:wordWrap/>
              <w:overflowPunct/>
              <w:topLinePunct w:val="0"/>
              <w:autoSpaceDE/>
              <w:autoSpaceDN/>
              <w:bidi w:val="0"/>
              <w:snapToGrid/>
              <w:spacing w:beforeAutospacing="0" w:afterAutospacing="0" w:line="240" w:lineRule="atLeast"/>
              <w:ind w:left="0" w:right="0"/>
              <w:jc w:val="center"/>
              <w:textAlignment w:val="auto"/>
              <w:outlineLvl w:val="2"/>
              <w:rPr>
                <w:rFonts w:hint="eastAsia" w:ascii="宋体" w:hAnsi="宋体" w:cs="宋体"/>
                <w:color w:val="000000"/>
                <w:sz w:val="18"/>
                <w:szCs w:val="18"/>
                <w:highlight w:val="none"/>
                <w:lang w:val="en-US" w:eastAsia="zh-CN" w:bidi="ar-SA"/>
              </w:rPr>
            </w:pPr>
          </w:p>
        </w:tc>
        <w:tc>
          <w:tcPr>
            <w:tcW w:w="458" w:type="pct"/>
            <w:vMerge w:val="continue"/>
            <w:shd w:val="clear" w:color="auto" w:fill="auto"/>
            <w:noWrap w:val="0"/>
            <w:vAlign w:val="center"/>
          </w:tcPr>
          <w:p w14:paraId="0AD9C90D">
            <w:pPr>
              <w:keepNext w:val="0"/>
              <w:keepLines w:val="0"/>
              <w:pageBreakBefore w:val="0"/>
              <w:widowControl w:val="0"/>
              <w:numPr>
                <w:ilvl w:val="0"/>
                <w:numId w:val="0"/>
              </w:numPr>
              <w:suppressLineNumbers w:val="0"/>
              <w:kinsoku/>
              <w:wordWrap/>
              <w:overflowPunct/>
              <w:topLinePunct w:val="0"/>
              <w:autoSpaceDE/>
              <w:autoSpaceDN/>
              <w:bidi w:val="0"/>
              <w:snapToGrid/>
              <w:spacing w:beforeAutospacing="0" w:afterAutospacing="0" w:line="240" w:lineRule="atLeast"/>
              <w:ind w:left="0" w:leftChars="0" w:right="0" w:firstLine="0" w:firstLineChars="0"/>
              <w:jc w:val="center"/>
              <w:textAlignment w:val="auto"/>
              <w:outlineLvl w:val="2"/>
              <w:rPr>
                <w:rFonts w:hint="default" w:ascii="宋体" w:hAnsi="宋体" w:cs="宋体"/>
                <w:color w:val="000000"/>
                <w:sz w:val="18"/>
                <w:szCs w:val="18"/>
                <w:highlight w:val="none"/>
                <w:lang w:val="en-US" w:eastAsia="zh-CN" w:bidi="ar-SA"/>
              </w:rPr>
            </w:pPr>
          </w:p>
        </w:tc>
        <w:tc>
          <w:tcPr>
            <w:tcW w:w="616" w:type="pct"/>
            <w:tcBorders>
              <w:right w:val="single" w:color="auto" w:sz="4" w:space="0"/>
            </w:tcBorders>
            <w:shd w:val="clear" w:color="auto" w:fill="auto"/>
            <w:noWrap w:val="0"/>
            <w:vAlign w:val="center"/>
          </w:tcPr>
          <w:p w14:paraId="725F1DB6">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tLeast"/>
              <w:ind w:left="0" w:right="0"/>
              <w:textAlignment w:val="auto"/>
              <w:rPr>
                <w:rFonts w:hint="default" w:ascii="宋体" w:hAnsi="宋体" w:cs="宋体"/>
                <w:color w:val="000000" w:themeColor="text1"/>
                <w:sz w:val="18"/>
                <w:szCs w:val="18"/>
                <w:highlight w:val="none"/>
                <w:lang w:val="en-US" w:eastAsia="zh-CN"/>
                <w14:textFill>
                  <w14:solidFill>
                    <w14:schemeClr w14:val="tx1"/>
                  </w14:solidFill>
                </w14:textFill>
              </w:rPr>
            </w:pPr>
            <w:r>
              <w:rPr>
                <w:rFonts w:hint="eastAsia" w:ascii="宋体" w:hAnsi="宋体" w:eastAsia="宋体" w:cs="宋体"/>
                <w:color w:val="000000" w:themeColor="text1"/>
                <w:sz w:val="18"/>
                <w:szCs w:val="18"/>
                <w:lang w:val="en-US" w:eastAsia="zh-CN"/>
                <w14:textFill>
                  <w14:solidFill>
                    <w14:schemeClr w14:val="tx1"/>
                  </w14:solidFill>
                </w14:textFill>
              </w:rPr>
              <w:t>村(社区）集体经济组织</w:t>
            </w:r>
            <w:r>
              <w:rPr>
                <w:rFonts w:hint="eastAsia" w:ascii="宋体" w:hAnsi="宋体" w:cs="宋体"/>
                <w:color w:val="000000" w:themeColor="text1"/>
                <w:sz w:val="18"/>
                <w:szCs w:val="18"/>
                <w:highlight w:val="none"/>
                <w:lang w:val="en-US" w:eastAsia="zh-CN"/>
                <w14:textFill>
                  <w14:solidFill>
                    <w14:schemeClr w14:val="tx1"/>
                  </w14:solidFill>
                </w14:textFill>
              </w:rPr>
              <w:t>股权分红占比</w:t>
            </w:r>
            <w:r>
              <w:rPr>
                <w:rFonts w:hint="eastAsia" w:ascii="宋体" w:hAnsi="宋体" w:cs="宋体"/>
                <w:color w:val="000000"/>
                <w:sz w:val="18"/>
                <w:szCs w:val="18"/>
                <w:highlight w:val="none"/>
                <w:lang w:val="en-US" w:eastAsia="zh-CN" w:bidi="ar-SA"/>
              </w:rPr>
              <w:t>（0.25）</w:t>
            </w:r>
          </w:p>
        </w:tc>
        <w:tc>
          <w:tcPr>
            <w:tcW w:w="236" w:type="pct"/>
            <w:tcBorders>
              <w:left w:val="single" w:color="auto" w:sz="4" w:space="0"/>
              <w:right w:val="single" w:color="auto" w:sz="4" w:space="0"/>
            </w:tcBorders>
            <w:shd w:val="clear" w:color="auto" w:fill="auto"/>
            <w:noWrap w:val="0"/>
            <w:vAlign w:val="center"/>
          </w:tcPr>
          <w:p w14:paraId="0BC5DB77">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tLeast"/>
              <w:ind w:left="0" w:right="0"/>
              <w:jc w:val="center"/>
              <w:textAlignment w:val="auto"/>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w:t>
            </w:r>
          </w:p>
        </w:tc>
        <w:tc>
          <w:tcPr>
            <w:tcW w:w="1773" w:type="pct"/>
            <w:tcBorders>
              <w:left w:val="single" w:color="auto" w:sz="4" w:space="0"/>
              <w:right w:val="single" w:color="auto" w:sz="4" w:space="0"/>
            </w:tcBorders>
            <w:shd w:val="clear" w:color="auto" w:fill="auto"/>
            <w:noWrap w:val="0"/>
            <w:vAlign w:val="center"/>
          </w:tcPr>
          <w:p w14:paraId="3C7A193F">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tLeast"/>
              <w:ind w:left="0" w:right="0"/>
              <w:textAlignment w:val="auto"/>
              <w:rPr>
                <w:rFonts w:hint="eastAsia" w:ascii="宋体" w:hAnsi="宋体" w:cs="宋体"/>
                <w:color w:val="000000" w:themeColor="text1"/>
                <w:sz w:val="18"/>
                <w:szCs w:val="18"/>
                <w:lang w:val="en-US" w:eastAsia="zh-CN"/>
                <w14:textFill>
                  <w14:solidFill>
                    <w14:schemeClr w14:val="tx1"/>
                  </w14:solidFill>
                </w14:textFill>
              </w:rPr>
            </w:pPr>
            <w:r>
              <w:rPr>
                <w:rFonts w:hint="eastAsia" w:ascii="宋体" w:hAnsi="宋体" w:eastAsia="宋体" w:cs="宋体"/>
                <w:color w:val="000000" w:themeColor="text1"/>
                <w:sz w:val="18"/>
                <w:szCs w:val="18"/>
                <w:lang w:val="en-US" w:eastAsia="zh-CN"/>
                <w14:textFill>
                  <w14:solidFill>
                    <w14:schemeClr w14:val="tx1"/>
                  </w14:solidFill>
                </w14:textFill>
              </w:rPr>
              <w:t>村(社区）集体经济组织从联合体获得的分红收益，占其全年经营性总收入的百分比</w:t>
            </w:r>
            <w:r>
              <w:rPr>
                <w:rFonts w:hint="eastAsia" w:ascii="宋体" w:hAnsi="宋体" w:cs="宋体"/>
                <w:color w:val="000000" w:themeColor="text1"/>
                <w:sz w:val="18"/>
                <w:szCs w:val="18"/>
                <w:lang w:val="en-US" w:eastAsia="zh-CN"/>
                <w14:textFill>
                  <w14:solidFill>
                    <w14:schemeClr w14:val="tx1"/>
                  </w14:solidFill>
                </w14:textFill>
              </w:rPr>
              <w:t>，反映</w:t>
            </w:r>
            <w:r>
              <w:rPr>
                <w:rFonts w:hint="eastAsia" w:ascii="宋体" w:hAnsi="宋体" w:eastAsia="宋体" w:cs="宋体"/>
                <w:color w:val="000000" w:themeColor="text1"/>
                <w:sz w:val="18"/>
                <w:szCs w:val="18"/>
                <w:lang w:val="en-US" w:eastAsia="zh-CN"/>
                <w14:textFill>
                  <w14:solidFill>
                    <w14:schemeClr w14:val="tx1"/>
                  </w14:solidFill>
                </w14:textFill>
              </w:rPr>
              <w:t>联合体对集体经济增长的实际贡献</w:t>
            </w:r>
            <w:r>
              <w:rPr>
                <w:rFonts w:hint="eastAsia" w:ascii="宋体" w:hAnsi="宋体" w:cs="宋体"/>
                <w:color w:val="000000" w:themeColor="text1"/>
                <w:sz w:val="18"/>
                <w:szCs w:val="18"/>
                <w:lang w:val="en-US" w:eastAsia="zh-CN"/>
                <w14:textFill>
                  <w14:solidFill>
                    <w14:schemeClr w14:val="tx1"/>
                  </w14:solidFill>
                </w14:textFill>
              </w:rPr>
              <w:t>。</w:t>
            </w:r>
            <w:r>
              <w:rPr>
                <w:rFonts w:hint="eastAsia" w:ascii="宋体" w:hAnsi="宋体" w:eastAsia="宋体" w:cs="宋体"/>
                <w:color w:val="000000" w:themeColor="text1"/>
                <w:sz w:val="18"/>
                <w:szCs w:val="18"/>
                <w:lang w:val="en-US" w:eastAsia="zh-CN"/>
                <w14:textFill>
                  <w14:solidFill>
                    <w14:schemeClr w14:val="tx1"/>
                  </w14:solidFill>
                </w14:textFill>
              </w:rPr>
              <w:t>（评分标准：占比＜</w:t>
            </w:r>
            <w:r>
              <w:rPr>
                <w:rFonts w:hint="eastAsia" w:ascii="宋体" w:hAnsi="宋体" w:cs="宋体"/>
                <w:color w:val="000000" w:themeColor="text1"/>
                <w:sz w:val="18"/>
                <w:szCs w:val="18"/>
                <w:lang w:val="en-US" w:eastAsia="zh-CN"/>
                <w14:textFill>
                  <w14:solidFill>
                    <w14:schemeClr w14:val="tx1"/>
                  </w14:solidFill>
                </w14:textFill>
              </w:rPr>
              <w:t>10</w:t>
            </w:r>
            <w:r>
              <w:rPr>
                <w:rFonts w:hint="eastAsia" w:ascii="宋体" w:hAnsi="宋体" w:eastAsia="宋体" w:cs="宋体"/>
                <w:color w:val="000000" w:themeColor="text1"/>
                <w:sz w:val="18"/>
                <w:szCs w:val="18"/>
                <w:lang w:val="en-US" w:eastAsia="zh-CN"/>
                <w14:textFill>
                  <w14:solidFill>
                    <w14:schemeClr w14:val="tx1"/>
                  </w14:solidFill>
                </w14:textFill>
              </w:rPr>
              <w:t>%得60分；</w:t>
            </w:r>
            <w:r>
              <w:rPr>
                <w:rFonts w:hint="eastAsia" w:ascii="宋体" w:hAnsi="宋体" w:cs="宋体"/>
                <w:color w:val="000000" w:themeColor="text1"/>
                <w:sz w:val="18"/>
                <w:szCs w:val="18"/>
                <w:lang w:val="en-US" w:eastAsia="zh-CN"/>
                <w14:textFill>
                  <w14:solidFill>
                    <w14:schemeClr w14:val="tx1"/>
                  </w14:solidFill>
                </w14:textFill>
              </w:rPr>
              <w:t>10</w:t>
            </w:r>
            <w:r>
              <w:rPr>
                <w:rFonts w:hint="eastAsia" w:ascii="宋体" w:hAnsi="宋体" w:eastAsia="宋体" w:cs="宋体"/>
                <w:color w:val="000000" w:themeColor="text1"/>
                <w:sz w:val="18"/>
                <w:szCs w:val="18"/>
                <w:lang w:val="en-US" w:eastAsia="zh-CN"/>
                <w14:textFill>
                  <w14:solidFill>
                    <w14:schemeClr w14:val="tx1"/>
                  </w14:solidFill>
                </w14:textFill>
              </w:rPr>
              <w:t>%≤占比＜</w:t>
            </w:r>
            <w:r>
              <w:rPr>
                <w:rFonts w:hint="eastAsia" w:ascii="宋体" w:hAnsi="宋体" w:cs="宋体"/>
                <w:color w:val="000000" w:themeColor="text1"/>
                <w:sz w:val="18"/>
                <w:szCs w:val="18"/>
                <w:lang w:val="en-US" w:eastAsia="zh-CN"/>
                <w14:textFill>
                  <w14:solidFill>
                    <w14:schemeClr w14:val="tx1"/>
                  </w14:solidFill>
                </w14:textFill>
              </w:rPr>
              <w:t>2</w:t>
            </w:r>
            <w:r>
              <w:rPr>
                <w:rFonts w:hint="eastAsia" w:ascii="宋体" w:hAnsi="宋体" w:eastAsia="宋体" w:cs="宋体"/>
                <w:color w:val="000000" w:themeColor="text1"/>
                <w:sz w:val="18"/>
                <w:szCs w:val="18"/>
                <w:lang w:val="en-US" w:eastAsia="zh-CN"/>
                <w14:textFill>
                  <w14:solidFill>
                    <w14:schemeClr w14:val="tx1"/>
                  </w14:solidFill>
                </w14:textFill>
              </w:rPr>
              <w:t>5%得80分；占比</w:t>
            </w:r>
            <w:r>
              <w:rPr>
                <w:rFonts w:hint="eastAsia" w:ascii="宋体" w:hAnsi="宋体" w:cs="宋体"/>
                <w:color w:val="000000" w:themeColor="text1"/>
                <w:sz w:val="18"/>
                <w:szCs w:val="18"/>
                <w:lang w:val="en-US" w:eastAsia="zh-CN"/>
                <w14:textFill>
                  <w14:solidFill>
                    <w14:schemeClr w14:val="tx1"/>
                  </w14:solidFill>
                </w14:textFill>
              </w:rPr>
              <w:t>≥2</w:t>
            </w:r>
            <w:r>
              <w:rPr>
                <w:rFonts w:hint="eastAsia" w:ascii="宋体" w:hAnsi="宋体" w:eastAsia="宋体" w:cs="宋体"/>
                <w:color w:val="000000" w:themeColor="text1"/>
                <w:sz w:val="18"/>
                <w:szCs w:val="18"/>
                <w:lang w:val="en-US" w:eastAsia="zh-CN"/>
                <w14:textFill>
                  <w14:solidFill>
                    <w14:schemeClr w14:val="tx1"/>
                  </w14:solidFill>
                </w14:textFill>
              </w:rPr>
              <w:t>5%得100分）</w:t>
            </w:r>
          </w:p>
        </w:tc>
        <w:tc>
          <w:tcPr>
            <w:tcW w:w="365" w:type="pct"/>
            <w:tcBorders>
              <w:left w:val="single" w:color="auto" w:sz="4" w:space="0"/>
              <w:right w:val="single" w:color="auto" w:sz="4" w:space="0"/>
            </w:tcBorders>
            <w:shd w:val="clear" w:color="auto" w:fill="auto"/>
            <w:noWrap w:val="0"/>
            <w:vAlign w:val="center"/>
          </w:tcPr>
          <w:p w14:paraId="12EAE241">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tLeast"/>
              <w:ind w:left="0" w:right="0"/>
              <w:jc w:val="both"/>
              <w:textAlignment w:val="auto"/>
              <w:rPr>
                <w:rFonts w:hint="eastAsia" w:ascii="宋体" w:hAnsi="宋体" w:cs="宋体"/>
                <w:color w:val="000000" w:themeColor="text1"/>
                <w:sz w:val="18"/>
                <w:szCs w:val="18"/>
                <w:lang w:val="en-US" w:eastAsia="zh-CN"/>
                <w14:textFill>
                  <w14:solidFill>
                    <w14:schemeClr w14:val="tx1"/>
                  </w14:solidFill>
                </w14:textFill>
              </w:rPr>
            </w:pPr>
            <w:r>
              <w:rPr>
                <w:rFonts w:hint="eastAsia" w:ascii="宋体" w:hAnsi="宋体" w:cs="宋体"/>
                <w:color w:val="000000" w:themeColor="text1"/>
                <w:sz w:val="18"/>
                <w:szCs w:val="18"/>
                <w:lang w:val="en-US" w:eastAsia="zh-CN"/>
                <w14:textFill>
                  <w14:solidFill>
                    <w14:schemeClr w14:val="tx1"/>
                  </w14:solidFill>
                </w14:textFill>
              </w:rPr>
              <w:t>（村(社区）集体从联合体获得的分红/村(社区）集体全年经营性总收×100%</w:t>
            </w:r>
          </w:p>
        </w:tc>
        <w:tc>
          <w:tcPr>
            <w:tcW w:w="365" w:type="pct"/>
            <w:tcBorders>
              <w:left w:val="single" w:color="auto" w:sz="4" w:space="0"/>
              <w:right w:val="single" w:color="auto" w:sz="4" w:space="0"/>
            </w:tcBorders>
            <w:shd w:val="clear" w:color="auto" w:fill="auto"/>
            <w:noWrap w:val="0"/>
            <w:vAlign w:val="center"/>
          </w:tcPr>
          <w:p w14:paraId="5B6DCD8B">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tLeast"/>
              <w:ind w:left="0" w:right="0"/>
              <w:jc w:val="center"/>
              <w:textAlignment w:val="auto"/>
              <w:rPr>
                <w:rFonts w:hint="eastAsia" w:ascii="宋体" w:hAnsi="宋体" w:eastAsia="宋体" w:cs="宋体"/>
                <w:color w:val="000000"/>
                <w:sz w:val="18"/>
                <w:szCs w:val="18"/>
                <w:lang w:val="en-US" w:eastAsia="zh-CN"/>
              </w:rPr>
            </w:pPr>
            <w:r>
              <w:rPr>
                <w:rFonts w:hint="eastAsia" w:ascii="宋体" w:hAnsi="宋体" w:cs="宋体"/>
                <w:color w:val="000000" w:themeColor="text1"/>
                <w:sz w:val="18"/>
                <w:szCs w:val="18"/>
                <w:lang w:val="en-US" w:eastAsia="zh-CN"/>
                <w14:textFill>
                  <w14:solidFill>
                    <w14:schemeClr w14:val="tx1"/>
                  </w14:solidFill>
                </w14:textFill>
              </w:rPr>
              <w:t>创富工作形成数据</w:t>
            </w:r>
          </w:p>
        </w:tc>
        <w:tc>
          <w:tcPr>
            <w:tcW w:w="378" w:type="pct"/>
            <w:vMerge w:val="continue"/>
            <w:tcBorders>
              <w:left w:val="single" w:color="auto" w:sz="4" w:space="0"/>
              <w:right w:val="single" w:color="auto" w:sz="12" w:space="0"/>
            </w:tcBorders>
            <w:shd w:val="clear" w:color="auto" w:fill="auto"/>
            <w:noWrap w:val="0"/>
            <w:vAlign w:val="center"/>
          </w:tcPr>
          <w:p w14:paraId="2E2525F0">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tLeast"/>
              <w:ind w:left="0" w:right="0"/>
              <w:jc w:val="center"/>
              <w:textAlignment w:val="auto"/>
              <w:rPr>
                <w:rFonts w:hint="default" w:ascii="宋体" w:hAnsi="宋体" w:eastAsia="宋体" w:cs="宋体"/>
                <w:color w:val="000000"/>
                <w:sz w:val="18"/>
                <w:szCs w:val="18"/>
                <w:highlight w:val="none"/>
                <w:lang w:val="en-US" w:eastAsia="zh-CN"/>
              </w:rPr>
            </w:pPr>
          </w:p>
        </w:tc>
      </w:tr>
    </w:tbl>
    <w:p w14:paraId="7A162168">
      <w:pPr>
        <w:adjustRightInd w:val="0"/>
        <w:spacing w:before="156" w:beforeLines="50" w:after="156" w:afterLines="50" w:line="240" w:lineRule="auto"/>
        <w:jc w:val="center"/>
        <w:rPr>
          <w:rFonts w:hint="eastAsia" w:ascii="宋体" w:hAnsi="宋体" w:eastAsia="宋体" w:cs="宋体"/>
          <w:szCs w:val="21"/>
          <w:lang w:eastAsia="zh-CN"/>
        </w:rPr>
      </w:pPr>
      <w:r>
        <w:rPr>
          <w:rFonts w:hint="eastAsia" w:ascii="黑体" w:hAnsi="黑体" w:eastAsia="黑体"/>
          <w:szCs w:val="21"/>
        </w:rPr>
        <w:t xml:space="preserve">  表1 康养创富联合体统计监测指标体系内容</w:t>
      </w:r>
      <w:r>
        <w:rPr>
          <w:rFonts w:hint="eastAsia" w:ascii="宋体" w:hAnsi="宋体" w:eastAsia="宋体" w:cs="宋体"/>
          <w:szCs w:val="21"/>
          <w:lang w:eastAsia="zh-CN"/>
        </w:rPr>
        <w:t>（</w:t>
      </w:r>
      <w:r>
        <w:rPr>
          <w:rFonts w:hint="eastAsia" w:ascii="宋体" w:hAnsi="宋体" w:eastAsia="宋体" w:cs="宋体"/>
          <w:szCs w:val="21"/>
          <w:lang w:val="en-US" w:eastAsia="zh-CN"/>
        </w:rPr>
        <w:t>续</w:t>
      </w:r>
      <w:r>
        <w:rPr>
          <w:rFonts w:hint="eastAsia" w:ascii="宋体" w:hAnsi="宋体" w:eastAsia="宋体" w:cs="宋体"/>
          <w:szCs w:val="21"/>
          <w:lang w:eastAsia="zh-CN"/>
        </w:rPr>
        <w:t>）</w:t>
      </w:r>
    </w:p>
    <w:tbl>
      <w:tblPr>
        <w:tblStyle w:val="31"/>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1"/>
        <w:gridCol w:w="880"/>
        <w:gridCol w:w="931"/>
        <w:gridCol w:w="1389"/>
        <w:gridCol w:w="1881"/>
        <w:gridCol w:w="663"/>
        <w:gridCol w:w="5413"/>
        <w:gridCol w:w="1124"/>
        <w:gridCol w:w="1124"/>
        <w:gridCol w:w="1067"/>
      </w:tblGrid>
      <w:tr w14:paraId="48D5E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96" w:type="pct"/>
            <w:vMerge w:val="restart"/>
            <w:tcBorders>
              <w:top w:val="single" w:color="auto" w:sz="12" w:space="0"/>
              <w:left w:val="single" w:color="auto" w:sz="12" w:space="0"/>
              <w:bottom w:val="single" w:color="auto" w:sz="4" w:space="0"/>
              <w:right w:val="single" w:color="auto" w:sz="4" w:space="0"/>
              <w:tl2br w:val="nil"/>
              <w:tr2bl w:val="nil"/>
            </w:tcBorders>
            <w:noWrap w:val="0"/>
            <w:vAlign w:val="center"/>
          </w:tcPr>
          <w:p w14:paraId="56CAEE45">
            <w:pPr>
              <w:pStyle w:val="239"/>
              <w:keepNext w:val="0"/>
              <w:keepLines w:val="0"/>
              <w:pageBreakBefore w:val="0"/>
              <w:widowControl/>
              <w:numPr>
                <w:ilvl w:val="1"/>
                <w:numId w:val="0"/>
              </w:numPr>
              <w:suppressLineNumbers w:val="0"/>
              <w:tabs>
                <w:tab w:val="left" w:pos="0"/>
              </w:tabs>
              <w:kinsoku/>
              <w:wordWrap/>
              <w:overflowPunct/>
              <w:topLinePunct w:val="0"/>
              <w:bidi w:val="0"/>
              <w:snapToGrid/>
              <w:spacing w:before="0" w:beforeLines="0" w:beforeAutospacing="0" w:after="0" w:afterLines="0" w:afterAutospacing="0" w:line="240" w:lineRule="atLeast"/>
              <w:ind w:left="0" w:right="0"/>
              <w:jc w:val="center"/>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序号</w:t>
            </w:r>
          </w:p>
        </w:tc>
        <w:tc>
          <w:tcPr>
            <w:tcW w:w="1686" w:type="pct"/>
            <w:gridSpan w:val="4"/>
            <w:tcBorders>
              <w:top w:val="single" w:color="auto" w:sz="12" w:space="0"/>
              <w:left w:val="single" w:color="auto" w:sz="4" w:space="0"/>
              <w:bottom w:val="single" w:color="auto" w:sz="4" w:space="0"/>
              <w:right w:val="single" w:color="auto" w:sz="4" w:space="0"/>
              <w:tl2br w:val="nil"/>
              <w:tr2bl w:val="nil"/>
            </w:tcBorders>
            <w:noWrap w:val="0"/>
            <w:vAlign w:val="center"/>
          </w:tcPr>
          <w:p w14:paraId="27B2B3B5">
            <w:pPr>
              <w:keepNext w:val="0"/>
              <w:keepLines w:val="0"/>
              <w:pageBreakBefore w:val="0"/>
              <w:suppressLineNumbers w:val="0"/>
              <w:kinsoku/>
              <w:wordWrap/>
              <w:overflowPunct/>
              <w:topLinePunct w:val="0"/>
              <w:bidi w:val="0"/>
              <w:snapToGrid/>
              <w:spacing w:beforeAutospacing="0" w:afterAutospacing="0" w:line="240" w:lineRule="atLeast"/>
              <w:ind w:left="0" w:right="0"/>
              <w:jc w:val="center"/>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指标名称</w:t>
            </w:r>
          </w:p>
        </w:tc>
        <w:tc>
          <w:tcPr>
            <w:tcW w:w="220" w:type="pct"/>
            <w:vMerge w:val="restart"/>
            <w:tcBorders>
              <w:top w:val="single" w:color="auto" w:sz="12" w:space="0"/>
              <w:left w:val="single" w:color="auto" w:sz="4" w:space="0"/>
              <w:bottom w:val="single" w:color="auto" w:sz="12" w:space="0"/>
              <w:right w:val="single" w:color="auto" w:sz="4" w:space="0"/>
              <w:tl2br w:val="nil"/>
              <w:tr2bl w:val="nil"/>
            </w:tcBorders>
            <w:noWrap w:val="0"/>
            <w:vAlign w:val="center"/>
          </w:tcPr>
          <w:p w14:paraId="32FFEA00">
            <w:pPr>
              <w:keepNext w:val="0"/>
              <w:keepLines w:val="0"/>
              <w:pageBreakBefore w:val="0"/>
              <w:suppressLineNumbers w:val="0"/>
              <w:kinsoku/>
              <w:wordWrap/>
              <w:overflowPunct/>
              <w:topLinePunct w:val="0"/>
              <w:bidi w:val="0"/>
              <w:snapToGrid/>
              <w:spacing w:beforeAutospacing="0" w:afterAutospacing="0" w:line="240" w:lineRule="atLeast"/>
              <w:ind w:left="0" w:right="0"/>
              <w:jc w:val="center"/>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计量单位</w:t>
            </w:r>
          </w:p>
        </w:tc>
        <w:tc>
          <w:tcPr>
            <w:tcW w:w="1796" w:type="pct"/>
            <w:vMerge w:val="restart"/>
            <w:tcBorders>
              <w:top w:val="single" w:color="auto" w:sz="12" w:space="0"/>
              <w:left w:val="single" w:color="auto" w:sz="4" w:space="0"/>
              <w:bottom w:val="single" w:color="auto" w:sz="12" w:space="0"/>
              <w:right w:val="single" w:color="auto" w:sz="4" w:space="0"/>
              <w:tl2br w:val="nil"/>
              <w:tr2bl w:val="nil"/>
            </w:tcBorders>
            <w:noWrap w:val="0"/>
            <w:vAlign w:val="center"/>
          </w:tcPr>
          <w:p w14:paraId="44A4B703">
            <w:pPr>
              <w:keepNext w:val="0"/>
              <w:keepLines w:val="0"/>
              <w:pageBreakBefore w:val="0"/>
              <w:suppressLineNumbers w:val="0"/>
              <w:kinsoku/>
              <w:wordWrap/>
              <w:overflowPunct/>
              <w:topLinePunct w:val="0"/>
              <w:bidi w:val="0"/>
              <w:snapToGrid/>
              <w:spacing w:beforeAutospacing="0" w:afterAutospacing="0" w:line="240" w:lineRule="atLeast"/>
              <w:ind w:left="0" w:right="0"/>
              <w:jc w:val="center"/>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指</w:t>
            </w:r>
            <w:r>
              <w:rPr>
                <w:rFonts w:hint="eastAsia" w:ascii="宋体" w:hAnsi="宋体" w:eastAsia="宋体" w:cs="宋体"/>
                <w:color w:val="000000"/>
                <w:sz w:val="18"/>
                <w:szCs w:val="18"/>
                <w:lang w:val="en-US" w:eastAsia="zh-CN"/>
              </w:rPr>
              <w:t>标</w:t>
            </w:r>
            <w:r>
              <w:rPr>
                <w:rFonts w:hint="eastAsia" w:ascii="宋体" w:hAnsi="宋体" w:eastAsia="宋体" w:cs="宋体"/>
                <w:color w:val="000000"/>
                <w:sz w:val="18"/>
                <w:szCs w:val="18"/>
              </w:rPr>
              <w:t>释义</w:t>
            </w:r>
          </w:p>
        </w:tc>
        <w:tc>
          <w:tcPr>
            <w:tcW w:w="373" w:type="pct"/>
            <w:vMerge w:val="restart"/>
            <w:tcBorders>
              <w:top w:val="single" w:color="auto" w:sz="12" w:space="0"/>
              <w:left w:val="single" w:color="auto" w:sz="4" w:space="0"/>
              <w:right w:val="single" w:color="auto" w:sz="4" w:space="0"/>
              <w:tl2br w:val="nil"/>
              <w:tr2bl w:val="nil"/>
            </w:tcBorders>
            <w:noWrap w:val="0"/>
            <w:vAlign w:val="center"/>
          </w:tcPr>
          <w:p w14:paraId="064D9525">
            <w:pPr>
              <w:keepNext w:val="0"/>
              <w:keepLines w:val="0"/>
              <w:pageBreakBefore w:val="0"/>
              <w:suppressLineNumbers w:val="0"/>
              <w:kinsoku/>
              <w:wordWrap/>
              <w:overflowPunct/>
              <w:topLinePunct w:val="0"/>
              <w:bidi w:val="0"/>
              <w:snapToGrid/>
              <w:spacing w:beforeAutospacing="0" w:afterAutospacing="0" w:line="240" w:lineRule="atLeast"/>
              <w:ind w:left="0" w:right="0"/>
              <w:jc w:val="center"/>
              <w:textAlignment w:val="auto"/>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计算方式</w:t>
            </w:r>
          </w:p>
        </w:tc>
        <w:tc>
          <w:tcPr>
            <w:tcW w:w="373" w:type="pct"/>
            <w:vMerge w:val="restart"/>
            <w:tcBorders>
              <w:top w:val="single" w:color="auto" w:sz="12" w:space="0"/>
              <w:left w:val="single" w:color="auto" w:sz="4" w:space="0"/>
              <w:bottom w:val="single" w:color="auto" w:sz="12" w:space="0"/>
              <w:right w:val="single" w:color="auto" w:sz="4" w:space="0"/>
              <w:tl2br w:val="nil"/>
              <w:tr2bl w:val="nil"/>
            </w:tcBorders>
            <w:noWrap w:val="0"/>
            <w:vAlign w:val="center"/>
          </w:tcPr>
          <w:p w14:paraId="5FA2D875">
            <w:pPr>
              <w:keepNext w:val="0"/>
              <w:keepLines w:val="0"/>
              <w:pageBreakBefore w:val="0"/>
              <w:suppressLineNumbers w:val="0"/>
              <w:kinsoku/>
              <w:wordWrap/>
              <w:overflowPunct/>
              <w:topLinePunct w:val="0"/>
              <w:bidi w:val="0"/>
              <w:snapToGrid/>
              <w:spacing w:beforeAutospacing="0" w:afterAutospacing="0" w:line="240" w:lineRule="atLeast"/>
              <w:ind w:left="0" w:right="0"/>
              <w:jc w:val="center"/>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数据来源</w:t>
            </w:r>
          </w:p>
        </w:tc>
        <w:tc>
          <w:tcPr>
            <w:tcW w:w="354" w:type="pct"/>
            <w:vMerge w:val="restart"/>
            <w:tcBorders>
              <w:top w:val="single" w:color="auto" w:sz="12" w:space="0"/>
              <w:left w:val="single" w:color="auto" w:sz="4" w:space="0"/>
              <w:right w:val="single" w:color="auto" w:sz="12" w:space="0"/>
              <w:tl2br w:val="nil"/>
              <w:tr2bl w:val="nil"/>
            </w:tcBorders>
            <w:noWrap w:val="0"/>
            <w:vAlign w:val="center"/>
          </w:tcPr>
          <w:p w14:paraId="5EE711A6">
            <w:pPr>
              <w:keepNext w:val="0"/>
              <w:keepLines w:val="0"/>
              <w:pageBreakBefore w:val="0"/>
              <w:suppressLineNumbers w:val="0"/>
              <w:kinsoku/>
              <w:wordWrap/>
              <w:overflowPunct/>
              <w:topLinePunct w:val="0"/>
              <w:bidi w:val="0"/>
              <w:snapToGrid/>
              <w:spacing w:beforeAutospacing="0" w:afterAutospacing="0" w:line="240" w:lineRule="atLeast"/>
              <w:ind w:left="0" w:right="0"/>
              <w:jc w:val="center"/>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监测频次</w:t>
            </w:r>
          </w:p>
        </w:tc>
      </w:tr>
      <w:tr w14:paraId="543AE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6" w:type="pct"/>
            <w:vMerge w:val="continue"/>
            <w:tcBorders>
              <w:top w:val="single" w:color="auto" w:sz="4" w:space="0"/>
              <w:left w:val="single" w:color="auto" w:sz="12" w:space="0"/>
              <w:bottom w:val="single" w:color="auto" w:sz="12" w:space="0"/>
              <w:right w:val="single" w:color="auto" w:sz="4" w:space="0"/>
              <w:tl2br w:val="nil"/>
              <w:tr2bl w:val="nil"/>
            </w:tcBorders>
            <w:noWrap w:val="0"/>
            <w:vAlign w:val="center"/>
          </w:tcPr>
          <w:p w14:paraId="746FE26A">
            <w:pPr>
              <w:pStyle w:val="239"/>
              <w:keepNext w:val="0"/>
              <w:keepLines w:val="0"/>
              <w:pageBreakBefore w:val="0"/>
              <w:widowControl/>
              <w:suppressLineNumbers w:val="0"/>
              <w:tabs>
                <w:tab w:val="left" w:pos="0"/>
              </w:tabs>
              <w:kinsoku/>
              <w:wordWrap/>
              <w:overflowPunct/>
              <w:topLinePunct w:val="0"/>
              <w:bidi w:val="0"/>
              <w:snapToGrid/>
              <w:spacing w:before="0" w:beforeLines="0" w:beforeAutospacing="0" w:after="0" w:afterLines="0" w:afterAutospacing="0" w:line="240" w:lineRule="atLeast"/>
              <w:ind w:left="0" w:right="0"/>
              <w:jc w:val="center"/>
              <w:textAlignment w:val="auto"/>
              <w:rPr>
                <w:rFonts w:hint="eastAsia" w:ascii="宋体" w:hAnsi="宋体" w:eastAsia="宋体" w:cs="宋体"/>
                <w:color w:val="000000"/>
                <w:sz w:val="18"/>
                <w:szCs w:val="18"/>
              </w:rPr>
            </w:pPr>
          </w:p>
        </w:tc>
        <w:tc>
          <w:tcPr>
            <w:tcW w:w="292" w:type="pct"/>
            <w:tcBorders>
              <w:top w:val="single" w:color="auto" w:sz="4" w:space="0"/>
              <w:left w:val="single" w:color="auto" w:sz="4" w:space="0"/>
              <w:bottom w:val="single" w:color="auto" w:sz="12" w:space="0"/>
              <w:right w:val="single" w:color="auto" w:sz="4" w:space="0"/>
              <w:tl2br w:val="nil"/>
              <w:tr2bl w:val="nil"/>
            </w:tcBorders>
            <w:noWrap w:val="0"/>
            <w:vAlign w:val="center"/>
          </w:tcPr>
          <w:p w14:paraId="0382D797">
            <w:pPr>
              <w:pStyle w:val="239"/>
              <w:keepNext w:val="0"/>
              <w:keepLines w:val="0"/>
              <w:pageBreakBefore w:val="0"/>
              <w:widowControl/>
              <w:numPr>
                <w:ilvl w:val="0"/>
                <w:numId w:val="0"/>
              </w:numPr>
              <w:suppressLineNumbers w:val="0"/>
              <w:kinsoku/>
              <w:wordWrap/>
              <w:overflowPunct/>
              <w:topLinePunct w:val="0"/>
              <w:bidi w:val="0"/>
              <w:snapToGrid/>
              <w:spacing w:before="0" w:beforeLines="0" w:beforeAutospacing="0" w:after="0" w:afterLines="0" w:afterAutospacing="0" w:line="240" w:lineRule="atLeast"/>
              <w:ind w:left="0" w:right="0"/>
              <w:jc w:val="center"/>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一级</w:t>
            </w:r>
          </w:p>
          <w:p w14:paraId="7F7EBAB1">
            <w:pPr>
              <w:pStyle w:val="239"/>
              <w:keepNext w:val="0"/>
              <w:keepLines w:val="0"/>
              <w:pageBreakBefore w:val="0"/>
              <w:widowControl/>
              <w:numPr>
                <w:ilvl w:val="0"/>
                <w:numId w:val="0"/>
              </w:numPr>
              <w:suppressLineNumbers w:val="0"/>
              <w:kinsoku/>
              <w:wordWrap/>
              <w:overflowPunct/>
              <w:topLinePunct w:val="0"/>
              <w:bidi w:val="0"/>
              <w:snapToGrid/>
              <w:spacing w:before="0" w:beforeLines="0" w:beforeAutospacing="0" w:after="0" w:afterLines="0" w:afterAutospacing="0" w:line="240" w:lineRule="atLeast"/>
              <w:ind w:left="0" w:right="0"/>
              <w:jc w:val="center"/>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指标</w:t>
            </w:r>
          </w:p>
          <w:p w14:paraId="7D47D6CF">
            <w:pPr>
              <w:pStyle w:val="239"/>
              <w:keepNext w:val="0"/>
              <w:keepLines w:val="0"/>
              <w:pageBreakBefore w:val="0"/>
              <w:widowControl/>
              <w:numPr>
                <w:ilvl w:val="0"/>
                <w:numId w:val="0"/>
              </w:numPr>
              <w:suppressLineNumbers w:val="0"/>
              <w:kinsoku/>
              <w:wordWrap/>
              <w:overflowPunct/>
              <w:topLinePunct w:val="0"/>
              <w:bidi w:val="0"/>
              <w:snapToGrid/>
              <w:spacing w:before="0" w:beforeLines="0" w:beforeAutospacing="0" w:after="0" w:afterLines="0" w:afterAutospacing="0" w:line="240" w:lineRule="atLeast"/>
              <w:ind w:left="0" w:right="0"/>
              <w:jc w:val="center"/>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(权重）</w:t>
            </w:r>
          </w:p>
        </w:tc>
        <w:tc>
          <w:tcPr>
            <w:tcW w:w="309" w:type="pct"/>
            <w:tcBorders>
              <w:top w:val="single" w:color="auto" w:sz="4" w:space="0"/>
              <w:left w:val="single" w:color="auto" w:sz="4" w:space="0"/>
              <w:bottom w:val="single" w:color="auto" w:sz="12" w:space="0"/>
              <w:right w:val="single" w:color="auto" w:sz="4" w:space="0"/>
              <w:tl2br w:val="nil"/>
              <w:tr2bl w:val="nil"/>
            </w:tcBorders>
            <w:noWrap w:val="0"/>
            <w:vAlign w:val="center"/>
          </w:tcPr>
          <w:p w14:paraId="486134A2">
            <w:pPr>
              <w:pStyle w:val="239"/>
              <w:keepNext w:val="0"/>
              <w:keepLines w:val="0"/>
              <w:pageBreakBefore w:val="0"/>
              <w:widowControl/>
              <w:numPr>
                <w:ilvl w:val="0"/>
                <w:numId w:val="0"/>
              </w:numPr>
              <w:suppressLineNumbers w:val="0"/>
              <w:kinsoku/>
              <w:wordWrap/>
              <w:overflowPunct/>
              <w:topLinePunct w:val="0"/>
              <w:bidi w:val="0"/>
              <w:snapToGrid/>
              <w:spacing w:before="0" w:beforeLines="0" w:beforeAutospacing="0" w:after="0" w:afterLines="0" w:afterAutospacing="0" w:line="240" w:lineRule="atLeast"/>
              <w:ind w:left="0" w:right="0"/>
              <w:jc w:val="center"/>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二级</w:t>
            </w:r>
          </w:p>
          <w:p w14:paraId="33ACB1DA">
            <w:pPr>
              <w:pStyle w:val="239"/>
              <w:keepNext w:val="0"/>
              <w:keepLines w:val="0"/>
              <w:pageBreakBefore w:val="0"/>
              <w:widowControl/>
              <w:numPr>
                <w:ilvl w:val="0"/>
                <w:numId w:val="0"/>
              </w:numPr>
              <w:suppressLineNumbers w:val="0"/>
              <w:kinsoku/>
              <w:wordWrap/>
              <w:overflowPunct/>
              <w:topLinePunct w:val="0"/>
              <w:bidi w:val="0"/>
              <w:snapToGrid/>
              <w:spacing w:before="0" w:beforeLines="0" w:beforeAutospacing="0" w:after="0" w:afterLines="0" w:afterAutospacing="0" w:line="240" w:lineRule="atLeast"/>
              <w:ind w:left="0" w:right="0"/>
              <w:jc w:val="center"/>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指标</w:t>
            </w:r>
          </w:p>
          <w:p w14:paraId="5779F02D">
            <w:pPr>
              <w:pStyle w:val="240"/>
              <w:keepNext w:val="0"/>
              <w:keepLines w:val="0"/>
              <w:pageBreakBefore w:val="0"/>
              <w:widowControl/>
              <w:suppressLineNumbers w:val="0"/>
              <w:kinsoku/>
              <w:wordWrap/>
              <w:overflowPunct/>
              <w:topLinePunct w:val="0"/>
              <w:bidi w:val="0"/>
              <w:snapToGrid/>
              <w:spacing w:beforeAutospacing="0" w:afterAutospacing="0" w:line="240" w:lineRule="atLeast"/>
              <w:ind w:left="0" w:right="0" w:firstLine="0" w:firstLineChars="0"/>
              <w:jc w:val="center"/>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lang w:val="en-US" w:eastAsia="zh-CN" w:bidi="ar-SA"/>
              </w:rPr>
              <w:t>(权重）</w:t>
            </w:r>
          </w:p>
        </w:tc>
        <w:tc>
          <w:tcPr>
            <w:tcW w:w="461" w:type="pct"/>
            <w:tcBorders>
              <w:top w:val="single" w:color="auto" w:sz="4" w:space="0"/>
              <w:left w:val="single" w:color="auto" w:sz="4" w:space="0"/>
              <w:bottom w:val="single" w:color="auto" w:sz="12" w:space="0"/>
              <w:right w:val="single" w:color="auto" w:sz="4" w:space="0"/>
              <w:tl2br w:val="nil"/>
              <w:tr2bl w:val="nil"/>
            </w:tcBorders>
            <w:noWrap w:val="0"/>
            <w:vAlign w:val="center"/>
          </w:tcPr>
          <w:p w14:paraId="41EF48ED">
            <w:pPr>
              <w:pStyle w:val="239"/>
              <w:keepNext w:val="0"/>
              <w:keepLines w:val="0"/>
              <w:pageBreakBefore w:val="0"/>
              <w:widowControl/>
              <w:numPr>
                <w:ilvl w:val="0"/>
                <w:numId w:val="0"/>
              </w:numPr>
              <w:suppressLineNumbers w:val="0"/>
              <w:kinsoku/>
              <w:wordWrap/>
              <w:overflowPunct/>
              <w:topLinePunct w:val="0"/>
              <w:bidi w:val="0"/>
              <w:snapToGrid/>
              <w:spacing w:before="0" w:beforeLines="0" w:beforeAutospacing="0" w:after="0" w:afterLines="0" w:afterAutospacing="0" w:line="240" w:lineRule="atLeast"/>
              <w:ind w:left="0" w:right="0"/>
              <w:jc w:val="center"/>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三级指标</w:t>
            </w:r>
          </w:p>
          <w:p w14:paraId="7F74AFBD">
            <w:pPr>
              <w:pStyle w:val="239"/>
              <w:keepNext w:val="0"/>
              <w:keepLines w:val="0"/>
              <w:pageBreakBefore w:val="0"/>
              <w:widowControl/>
              <w:numPr>
                <w:ilvl w:val="0"/>
                <w:numId w:val="0"/>
              </w:numPr>
              <w:suppressLineNumbers w:val="0"/>
              <w:kinsoku/>
              <w:wordWrap/>
              <w:overflowPunct/>
              <w:topLinePunct w:val="0"/>
              <w:bidi w:val="0"/>
              <w:snapToGrid/>
              <w:spacing w:before="0" w:beforeLines="0" w:beforeAutospacing="0" w:after="0" w:afterLines="0" w:afterAutospacing="0" w:line="240" w:lineRule="atLeast"/>
              <w:ind w:left="0" w:right="0"/>
              <w:jc w:val="center"/>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(权重）</w:t>
            </w:r>
          </w:p>
        </w:tc>
        <w:tc>
          <w:tcPr>
            <w:tcW w:w="624" w:type="pct"/>
            <w:tcBorders>
              <w:top w:val="single" w:color="auto" w:sz="4" w:space="0"/>
              <w:left w:val="single" w:color="auto" w:sz="4" w:space="0"/>
              <w:bottom w:val="single" w:color="auto" w:sz="12" w:space="0"/>
              <w:right w:val="single" w:color="auto" w:sz="4" w:space="0"/>
              <w:tl2br w:val="nil"/>
              <w:tr2bl w:val="nil"/>
            </w:tcBorders>
            <w:noWrap w:val="0"/>
            <w:vAlign w:val="center"/>
          </w:tcPr>
          <w:p w14:paraId="0E9E3621">
            <w:pPr>
              <w:pStyle w:val="239"/>
              <w:keepNext w:val="0"/>
              <w:keepLines w:val="0"/>
              <w:pageBreakBefore w:val="0"/>
              <w:widowControl/>
              <w:numPr>
                <w:ilvl w:val="0"/>
                <w:numId w:val="0"/>
              </w:numPr>
              <w:suppressLineNumbers w:val="0"/>
              <w:kinsoku/>
              <w:wordWrap/>
              <w:overflowPunct/>
              <w:topLinePunct w:val="0"/>
              <w:bidi w:val="0"/>
              <w:snapToGrid/>
              <w:spacing w:before="0" w:beforeLines="0" w:beforeAutospacing="0" w:after="0" w:afterLines="0" w:afterAutospacing="0" w:line="240" w:lineRule="atLeast"/>
              <w:ind w:left="0" w:right="0"/>
              <w:jc w:val="center"/>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四级指标(权重）</w:t>
            </w:r>
          </w:p>
        </w:tc>
        <w:tc>
          <w:tcPr>
            <w:tcW w:w="220" w:type="pct"/>
            <w:vMerge w:val="continue"/>
            <w:tcBorders>
              <w:top w:val="single" w:color="auto" w:sz="12" w:space="0"/>
              <w:left w:val="single" w:color="auto" w:sz="4" w:space="0"/>
              <w:bottom w:val="single" w:color="auto" w:sz="12" w:space="0"/>
              <w:right w:val="single" w:color="auto" w:sz="4" w:space="0"/>
              <w:tl2br w:val="nil"/>
              <w:tr2bl w:val="nil"/>
            </w:tcBorders>
            <w:noWrap w:val="0"/>
            <w:vAlign w:val="center"/>
          </w:tcPr>
          <w:p w14:paraId="3F842357">
            <w:pPr>
              <w:keepNext w:val="0"/>
              <w:keepLines w:val="0"/>
              <w:pageBreakBefore w:val="0"/>
              <w:suppressLineNumbers w:val="0"/>
              <w:kinsoku/>
              <w:wordWrap/>
              <w:overflowPunct/>
              <w:topLinePunct w:val="0"/>
              <w:bidi w:val="0"/>
              <w:snapToGrid/>
              <w:spacing w:beforeAutospacing="0" w:afterAutospacing="0" w:line="240" w:lineRule="atLeast"/>
              <w:ind w:left="0" w:right="0"/>
              <w:jc w:val="center"/>
              <w:textAlignment w:val="auto"/>
              <w:rPr>
                <w:rFonts w:hint="eastAsia" w:ascii="宋体" w:hAnsi="宋体" w:eastAsia="宋体" w:cs="宋体"/>
                <w:color w:val="000000"/>
                <w:sz w:val="18"/>
                <w:szCs w:val="18"/>
              </w:rPr>
            </w:pPr>
          </w:p>
        </w:tc>
        <w:tc>
          <w:tcPr>
            <w:tcW w:w="1796" w:type="pct"/>
            <w:vMerge w:val="continue"/>
            <w:tcBorders>
              <w:top w:val="single" w:color="auto" w:sz="12" w:space="0"/>
              <w:left w:val="single" w:color="auto" w:sz="4" w:space="0"/>
              <w:bottom w:val="single" w:color="auto" w:sz="12" w:space="0"/>
              <w:right w:val="single" w:color="auto" w:sz="4" w:space="0"/>
              <w:tl2br w:val="nil"/>
              <w:tr2bl w:val="nil"/>
            </w:tcBorders>
            <w:noWrap w:val="0"/>
            <w:vAlign w:val="center"/>
          </w:tcPr>
          <w:p w14:paraId="3435816E">
            <w:pPr>
              <w:keepNext w:val="0"/>
              <w:keepLines w:val="0"/>
              <w:pageBreakBefore w:val="0"/>
              <w:suppressLineNumbers w:val="0"/>
              <w:kinsoku/>
              <w:wordWrap/>
              <w:overflowPunct/>
              <w:topLinePunct w:val="0"/>
              <w:bidi w:val="0"/>
              <w:snapToGrid/>
              <w:spacing w:beforeAutospacing="0" w:afterAutospacing="0" w:line="240" w:lineRule="atLeast"/>
              <w:ind w:left="0" w:right="0"/>
              <w:textAlignment w:val="auto"/>
              <w:rPr>
                <w:rFonts w:hint="eastAsia" w:ascii="宋体" w:hAnsi="宋体" w:eastAsia="宋体" w:cs="宋体"/>
                <w:color w:val="000000"/>
                <w:sz w:val="18"/>
                <w:szCs w:val="18"/>
              </w:rPr>
            </w:pPr>
          </w:p>
        </w:tc>
        <w:tc>
          <w:tcPr>
            <w:tcW w:w="373" w:type="pct"/>
            <w:vMerge w:val="continue"/>
            <w:tcBorders>
              <w:left w:val="single" w:color="auto" w:sz="4" w:space="0"/>
              <w:bottom w:val="single" w:color="auto" w:sz="12" w:space="0"/>
              <w:right w:val="single" w:color="auto" w:sz="4" w:space="0"/>
              <w:tl2br w:val="nil"/>
              <w:tr2bl w:val="nil"/>
            </w:tcBorders>
            <w:noWrap w:val="0"/>
            <w:vAlign w:val="center"/>
          </w:tcPr>
          <w:p w14:paraId="572954D0">
            <w:pPr>
              <w:keepNext w:val="0"/>
              <w:keepLines w:val="0"/>
              <w:pageBreakBefore w:val="0"/>
              <w:suppressLineNumbers w:val="0"/>
              <w:kinsoku/>
              <w:wordWrap/>
              <w:overflowPunct/>
              <w:topLinePunct w:val="0"/>
              <w:bidi w:val="0"/>
              <w:snapToGrid/>
              <w:spacing w:beforeAutospacing="0" w:afterAutospacing="0" w:line="240" w:lineRule="atLeast"/>
              <w:ind w:left="0" w:right="0"/>
              <w:jc w:val="center"/>
              <w:textAlignment w:val="auto"/>
              <w:rPr>
                <w:rFonts w:hint="eastAsia" w:ascii="宋体" w:hAnsi="宋体" w:eastAsia="宋体" w:cs="宋体"/>
                <w:color w:val="000000"/>
                <w:sz w:val="18"/>
                <w:szCs w:val="18"/>
              </w:rPr>
            </w:pPr>
          </w:p>
        </w:tc>
        <w:tc>
          <w:tcPr>
            <w:tcW w:w="373" w:type="pct"/>
            <w:vMerge w:val="continue"/>
            <w:tcBorders>
              <w:top w:val="single" w:color="auto" w:sz="12" w:space="0"/>
              <w:left w:val="single" w:color="auto" w:sz="4" w:space="0"/>
              <w:bottom w:val="single" w:color="auto" w:sz="12" w:space="0"/>
              <w:right w:val="single" w:color="auto" w:sz="4" w:space="0"/>
              <w:tl2br w:val="nil"/>
              <w:tr2bl w:val="nil"/>
            </w:tcBorders>
            <w:noWrap w:val="0"/>
            <w:vAlign w:val="center"/>
          </w:tcPr>
          <w:p w14:paraId="58399C6E">
            <w:pPr>
              <w:keepNext w:val="0"/>
              <w:keepLines w:val="0"/>
              <w:pageBreakBefore w:val="0"/>
              <w:suppressLineNumbers w:val="0"/>
              <w:kinsoku/>
              <w:wordWrap/>
              <w:overflowPunct/>
              <w:topLinePunct w:val="0"/>
              <w:bidi w:val="0"/>
              <w:snapToGrid/>
              <w:spacing w:beforeAutospacing="0" w:afterAutospacing="0" w:line="240" w:lineRule="atLeast"/>
              <w:ind w:left="0" w:right="0"/>
              <w:jc w:val="center"/>
              <w:textAlignment w:val="auto"/>
              <w:rPr>
                <w:rFonts w:hint="eastAsia" w:ascii="宋体" w:hAnsi="宋体" w:eastAsia="宋体" w:cs="宋体"/>
                <w:color w:val="000000"/>
                <w:sz w:val="18"/>
                <w:szCs w:val="18"/>
              </w:rPr>
            </w:pPr>
          </w:p>
        </w:tc>
        <w:tc>
          <w:tcPr>
            <w:tcW w:w="354" w:type="pct"/>
            <w:vMerge w:val="continue"/>
            <w:tcBorders>
              <w:left w:val="single" w:color="auto" w:sz="4" w:space="0"/>
              <w:bottom w:val="single" w:color="auto" w:sz="12" w:space="0"/>
              <w:right w:val="single" w:color="auto" w:sz="12" w:space="0"/>
              <w:tl2br w:val="nil"/>
              <w:tr2bl w:val="nil"/>
            </w:tcBorders>
            <w:noWrap w:val="0"/>
            <w:vAlign w:val="center"/>
          </w:tcPr>
          <w:p w14:paraId="3DC06C27">
            <w:pPr>
              <w:keepNext w:val="0"/>
              <w:keepLines w:val="0"/>
              <w:pageBreakBefore w:val="0"/>
              <w:suppressLineNumbers w:val="0"/>
              <w:kinsoku/>
              <w:wordWrap/>
              <w:overflowPunct/>
              <w:topLinePunct w:val="0"/>
              <w:bidi w:val="0"/>
              <w:snapToGrid/>
              <w:spacing w:beforeAutospacing="0" w:afterAutospacing="0" w:line="240" w:lineRule="atLeast"/>
              <w:ind w:left="0" w:right="0"/>
              <w:jc w:val="center"/>
              <w:textAlignment w:val="auto"/>
              <w:rPr>
                <w:rFonts w:hint="eastAsia" w:ascii="宋体" w:hAnsi="宋体" w:eastAsia="宋体" w:cs="宋体"/>
                <w:color w:val="000000"/>
                <w:sz w:val="18"/>
                <w:szCs w:val="18"/>
              </w:rPr>
            </w:pPr>
          </w:p>
        </w:tc>
      </w:tr>
      <w:tr w14:paraId="5251E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trPr>
        <w:tc>
          <w:tcPr>
            <w:tcW w:w="196" w:type="pct"/>
            <w:tcBorders>
              <w:top w:val="single" w:color="auto" w:sz="4" w:space="0"/>
              <w:left w:val="single" w:color="auto" w:sz="12" w:space="0"/>
              <w:bottom w:val="single" w:color="auto" w:sz="4" w:space="0"/>
              <w:right w:val="single" w:color="auto" w:sz="4" w:space="0"/>
              <w:tl2br w:val="nil"/>
              <w:tr2bl w:val="nil"/>
            </w:tcBorders>
            <w:noWrap w:val="0"/>
            <w:vAlign w:val="center"/>
          </w:tcPr>
          <w:p w14:paraId="7AD7A43B">
            <w:pPr>
              <w:pStyle w:val="239"/>
              <w:keepNext w:val="0"/>
              <w:keepLines w:val="0"/>
              <w:pageBreakBefore w:val="0"/>
              <w:widowControl/>
              <w:numPr>
                <w:ilvl w:val="0"/>
                <w:numId w:val="35"/>
              </w:numPr>
              <w:suppressLineNumbers w:val="0"/>
              <w:kinsoku/>
              <w:wordWrap/>
              <w:overflowPunct/>
              <w:topLinePunct w:val="0"/>
              <w:bidi w:val="0"/>
              <w:snapToGrid/>
              <w:spacing w:before="0" w:beforeLines="0" w:beforeAutospacing="0" w:after="0" w:afterLines="0" w:afterAutospacing="0" w:line="240" w:lineRule="atLeast"/>
              <w:ind w:right="0"/>
              <w:jc w:val="center"/>
              <w:textAlignment w:val="auto"/>
              <w:rPr>
                <w:rFonts w:hint="eastAsia" w:ascii="宋体" w:hAnsi="宋体" w:eastAsia="宋体" w:cs="宋体"/>
                <w:color w:val="000000"/>
                <w:sz w:val="18"/>
                <w:szCs w:val="18"/>
              </w:rPr>
            </w:pPr>
          </w:p>
        </w:tc>
        <w:tc>
          <w:tcPr>
            <w:tcW w:w="292" w:type="pct"/>
            <w:tcBorders>
              <w:left w:val="single" w:color="auto" w:sz="4" w:space="0"/>
              <w:right w:val="single" w:color="auto" w:sz="4" w:space="0"/>
              <w:tl2br w:val="nil"/>
              <w:tr2bl w:val="nil"/>
            </w:tcBorders>
            <w:noWrap w:val="0"/>
            <w:vAlign w:val="center"/>
          </w:tcPr>
          <w:p w14:paraId="73CECEF4">
            <w:pPr>
              <w:pStyle w:val="239"/>
              <w:keepNext w:val="0"/>
              <w:keepLines w:val="0"/>
              <w:pageBreakBefore w:val="0"/>
              <w:widowControl/>
              <w:numPr>
                <w:ilvl w:val="0"/>
                <w:numId w:val="0"/>
              </w:numPr>
              <w:suppressLineNumbers w:val="0"/>
              <w:kinsoku/>
              <w:wordWrap/>
              <w:overflowPunct/>
              <w:topLinePunct w:val="0"/>
              <w:bidi w:val="0"/>
              <w:snapToGrid/>
              <w:spacing w:before="0" w:beforeLines="0" w:beforeAutospacing="0" w:after="0" w:afterLines="0" w:afterAutospacing="0" w:line="240" w:lineRule="atLeast"/>
              <w:ind w:left="0" w:right="0"/>
              <w:jc w:val="center"/>
              <w:textAlignment w:val="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联合（0.4）</w:t>
            </w:r>
          </w:p>
        </w:tc>
        <w:tc>
          <w:tcPr>
            <w:tcW w:w="309" w:type="pct"/>
            <w:tcBorders>
              <w:left w:val="single" w:color="auto" w:sz="4" w:space="0"/>
              <w:right w:val="single" w:color="auto" w:sz="4" w:space="0"/>
              <w:tl2br w:val="nil"/>
              <w:tr2bl w:val="nil"/>
            </w:tcBorders>
            <w:shd w:val="clear" w:color="auto" w:fill="auto"/>
            <w:noWrap w:val="0"/>
            <w:vAlign w:val="center"/>
          </w:tcPr>
          <w:p w14:paraId="4AAA15EF">
            <w:pPr>
              <w:pStyle w:val="239"/>
              <w:keepNext w:val="0"/>
              <w:keepLines w:val="0"/>
              <w:pageBreakBefore w:val="0"/>
              <w:widowControl/>
              <w:numPr>
                <w:ilvl w:val="0"/>
                <w:numId w:val="0"/>
              </w:numPr>
              <w:suppressLineNumbers w:val="0"/>
              <w:kinsoku/>
              <w:wordWrap/>
              <w:overflowPunct/>
              <w:topLinePunct w:val="0"/>
              <w:bidi w:val="0"/>
              <w:snapToGrid/>
              <w:spacing w:before="0" w:beforeLines="0" w:beforeAutospacing="0" w:after="0" w:afterLines="0" w:afterAutospacing="0" w:line="240" w:lineRule="atLeast"/>
              <w:ind w:left="0" w:right="0"/>
              <w:jc w:val="center"/>
              <w:textAlignment w:val="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利益</w:t>
            </w:r>
          </w:p>
          <w:p w14:paraId="1E980F76">
            <w:pPr>
              <w:pStyle w:val="239"/>
              <w:keepNext w:val="0"/>
              <w:keepLines w:val="0"/>
              <w:pageBreakBefore w:val="0"/>
              <w:widowControl/>
              <w:numPr>
                <w:ilvl w:val="0"/>
                <w:numId w:val="0"/>
              </w:numPr>
              <w:suppressLineNumbers w:val="0"/>
              <w:kinsoku/>
              <w:wordWrap/>
              <w:overflowPunct/>
              <w:topLinePunct w:val="0"/>
              <w:bidi w:val="0"/>
              <w:snapToGrid/>
              <w:spacing w:before="0" w:beforeLines="0" w:beforeAutospacing="0" w:after="0" w:afterLines="0" w:afterAutospacing="0" w:line="240" w:lineRule="atLeast"/>
              <w:ind w:left="0" w:right="0"/>
              <w:jc w:val="center"/>
              <w:textAlignment w:val="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分配（0.4）</w:t>
            </w:r>
          </w:p>
        </w:tc>
        <w:tc>
          <w:tcPr>
            <w:tcW w:w="461" w:type="pct"/>
            <w:tcBorders>
              <w:top w:val="single" w:color="auto" w:sz="4" w:space="0"/>
              <w:left w:val="single" w:color="auto" w:sz="4" w:space="0"/>
              <w:right w:val="single" w:color="auto" w:sz="4" w:space="0"/>
              <w:tl2br w:val="nil"/>
              <w:tr2bl w:val="nil"/>
            </w:tcBorders>
            <w:noWrap w:val="0"/>
            <w:vAlign w:val="center"/>
          </w:tcPr>
          <w:p w14:paraId="2F190D3A">
            <w:pPr>
              <w:keepNext w:val="0"/>
              <w:keepLines w:val="0"/>
              <w:pageBreakBefore w:val="0"/>
              <w:widowControl w:val="0"/>
              <w:numPr>
                <w:ilvl w:val="0"/>
                <w:numId w:val="0"/>
              </w:numPr>
              <w:suppressLineNumbers w:val="0"/>
              <w:kinsoku/>
              <w:wordWrap/>
              <w:overflowPunct/>
              <w:topLinePunct w:val="0"/>
              <w:autoSpaceDE/>
              <w:autoSpaceDN/>
              <w:bidi w:val="0"/>
              <w:snapToGrid/>
              <w:spacing w:beforeAutospacing="0" w:afterAutospacing="0" w:line="240" w:lineRule="atLeast"/>
              <w:ind w:left="0" w:leftChars="0" w:right="0" w:rightChars="0" w:firstLine="0" w:firstLineChars="0"/>
              <w:jc w:val="center"/>
              <w:textAlignment w:val="auto"/>
              <w:outlineLvl w:val="2"/>
              <w:rPr>
                <w:rFonts w:hint="eastAsia" w:ascii="宋体" w:hAnsi="宋体" w:cs="宋体"/>
                <w:color w:val="000000"/>
                <w:sz w:val="18"/>
                <w:szCs w:val="18"/>
                <w:highlight w:val="none"/>
                <w:lang w:val="en-US" w:eastAsia="zh-CN" w:bidi="ar-SA"/>
              </w:rPr>
            </w:pPr>
            <w:r>
              <w:rPr>
                <w:rFonts w:hint="eastAsia" w:ascii="宋体" w:hAnsi="宋体" w:cs="宋体"/>
                <w:color w:val="000000"/>
                <w:sz w:val="18"/>
                <w:szCs w:val="18"/>
                <w:highlight w:val="none"/>
                <w:lang w:val="en-US" w:eastAsia="zh-CN" w:bidi="ar-SA"/>
              </w:rPr>
              <w:t>自主经营性</w:t>
            </w:r>
          </w:p>
          <w:p w14:paraId="2091F314">
            <w:pPr>
              <w:keepNext w:val="0"/>
              <w:keepLines w:val="0"/>
              <w:pageBreakBefore w:val="0"/>
              <w:widowControl w:val="0"/>
              <w:numPr>
                <w:ilvl w:val="0"/>
                <w:numId w:val="0"/>
              </w:numPr>
              <w:suppressLineNumbers w:val="0"/>
              <w:kinsoku/>
              <w:wordWrap/>
              <w:overflowPunct/>
              <w:topLinePunct w:val="0"/>
              <w:autoSpaceDE/>
              <w:autoSpaceDN/>
              <w:bidi w:val="0"/>
              <w:snapToGrid/>
              <w:spacing w:beforeAutospacing="0" w:afterAutospacing="0" w:line="240" w:lineRule="atLeast"/>
              <w:ind w:left="0" w:leftChars="0" w:right="0" w:rightChars="0" w:firstLine="0" w:firstLineChars="0"/>
              <w:jc w:val="center"/>
              <w:textAlignment w:val="auto"/>
              <w:outlineLvl w:val="2"/>
              <w:rPr>
                <w:rFonts w:hint="eastAsia" w:ascii="宋体" w:hAnsi="宋体" w:eastAsia="宋体" w:cs="宋体"/>
                <w:color w:val="000000"/>
                <w:sz w:val="18"/>
                <w:szCs w:val="18"/>
                <w:lang w:val="en-US" w:eastAsia="zh-CN"/>
              </w:rPr>
            </w:pPr>
            <w:r>
              <w:rPr>
                <w:rFonts w:hint="eastAsia" w:ascii="宋体" w:hAnsi="宋体" w:cs="宋体"/>
                <w:color w:val="000000"/>
                <w:sz w:val="18"/>
                <w:szCs w:val="18"/>
                <w:highlight w:val="none"/>
                <w:lang w:val="en-US" w:eastAsia="zh-CN" w:bidi="ar-SA"/>
              </w:rPr>
              <w:t>收益（0.3）</w:t>
            </w:r>
          </w:p>
        </w:tc>
        <w:tc>
          <w:tcPr>
            <w:tcW w:w="624" w:type="pct"/>
            <w:tcBorders>
              <w:top w:val="single" w:color="auto" w:sz="4" w:space="0"/>
              <w:left w:val="single" w:color="auto" w:sz="4" w:space="0"/>
              <w:right w:val="single" w:color="auto" w:sz="4" w:space="0"/>
              <w:tl2br w:val="nil"/>
              <w:tr2bl w:val="nil"/>
            </w:tcBorders>
            <w:noWrap w:val="0"/>
            <w:vAlign w:val="center"/>
          </w:tcPr>
          <w:p w14:paraId="6DD848FD">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tLeast"/>
              <w:ind w:left="0" w:leftChars="0" w:right="0" w:rightChars="0"/>
              <w:textAlignment w:val="auto"/>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i w:val="0"/>
                <w:iCs w:val="0"/>
                <w:caps w:val="0"/>
                <w:color w:val="000000" w:themeColor="text1"/>
                <w:spacing w:val="0"/>
                <w:sz w:val="18"/>
                <w:szCs w:val="18"/>
                <w:shd w:val="clear" w:fill="auto"/>
                <w14:textFill>
                  <w14:solidFill>
                    <w14:schemeClr w14:val="tx1"/>
                  </w14:solidFill>
                </w14:textFill>
              </w:rPr>
              <w:t>平均经营收益</w:t>
            </w:r>
          </w:p>
        </w:tc>
        <w:tc>
          <w:tcPr>
            <w:tcW w:w="220" w:type="pct"/>
            <w:tcBorders>
              <w:top w:val="single" w:color="auto" w:sz="4" w:space="0"/>
              <w:left w:val="single" w:color="auto" w:sz="4" w:space="0"/>
              <w:right w:val="single" w:color="auto" w:sz="4" w:space="0"/>
              <w:tl2br w:val="nil"/>
              <w:tr2bl w:val="nil"/>
            </w:tcBorders>
            <w:noWrap w:val="0"/>
            <w:vAlign w:val="center"/>
          </w:tcPr>
          <w:p w14:paraId="73BAFA12">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tLeast"/>
              <w:ind w:left="0" w:leftChars="0" w:right="0" w:rightChars="0"/>
              <w:jc w:val="center"/>
              <w:textAlignment w:val="auto"/>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cs="宋体"/>
                <w:color w:val="000000" w:themeColor="text1"/>
                <w:sz w:val="18"/>
                <w:szCs w:val="18"/>
                <w:lang w:val="en-US" w:eastAsia="zh-CN"/>
                <w14:textFill>
                  <w14:solidFill>
                    <w14:schemeClr w14:val="tx1"/>
                  </w14:solidFill>
                </w14:textFill>
              </w:rPr>
              <w:t>万元</w:t>
            </w:r>
          </w:p>
        </w:tc>
        <w:tc>
          <w:tcPr>
            <w:tcW w:w="1796" w:type="pct"/>
            <w:tcBorders>
              <w:top w:val="single" w:color="auto" w:sz="4" w:space="0"/>
              <w:left w:val="single" w:color="auto" w:sz="4" w:space="0"/>
              <w:right w:val="single" w:color="auto" w:sz="4" w:space="0"/>
              <w:tl2br w:val="nil"/>
              <w:tr2bl w:val="nil"/>
            </w:tcBorders>
            <w:noWrap w:val="0"/>
            <w:vAlign w:val="center"/>
          </w:tcPr>
          <w:p w14:paraId="459E0FFB">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tLeast"/>
              <w:ind w:left="0" w:leftChars="0" w:right="0" w:rightChars="0"/>
              <w:textAlignment w:val="auto"/>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cs="宋体"/>
                <w:color w:val="000000" w:themeColor="text1"/>
                <w:sz w:val="18"/>
                <w:szCs w:val="18"/>
                <w:lang w:val="en-US" w:eastAsia="zh-CN"/>
                <w14:textFill>
                  <w14:solidFill>
                    <w14:schemeClr w14:val="tx1"/>
                  </w14:solidFill>
                </w14:textFill>
              </w:rPr>
              <w:t>联合体内相关主体自主经营康养民宿、养生餐饮、研学旅游等特色业态所获得的经营性收益。（评分标准：收益＜5万元得60分；5万元≤收益＜10万元得80分；收益≥10万元得100分）</w:t>
            </w:r>
            <w:r>
              <w:rPr>
                <w:rFonts w:hint="eastAsia" w:ascii="宋体" w:hAnsi="宋体" w:eastAsia="宋体" w:cs="宋体"/>
                <w:i w:val="0"/>
                <w:iCs w:val="0"/>
                <w:caps w:val="0"/>
                <w:color w:val="000000" w:themeColor="text1"/>
                <w:spacing w:val="0"/>
                <w:sz w:val="18"/>
                <w:szCs w:val="18"/>
                <w:shd w:val="clear" w:fill="auto"/>
                <w14:textFill>
                  <w14:solidFill>
                    <w14:schemeClr w14:val="tx1"/>
                  </w14:solidFill>
                </w14:textFill>
              </w:rPr>
              <w:t>‌</w:t>
            </w:r>
          </w:p>
        </w:tc>
        <w:tc>
          <w:tcPr>
            <w:tcW w:w="373" w:type="pct"/>
            <w:tcBorders>
              <w:top w:val="single" w:color="auto" w:sz="4" w:space="0"/>
              <w:left w:val="single" w:color="auto" w:sz="4" w:space="0"/>
              <w:right w:val="single" w:color="auto" w:sz="4" w:space="0"/>
              <w:tl2br w:val="nil"/>
              <w:tr2bl w:val="nil"/>
            </w:tcBorders>
            <w:noWrap w:val="0"/>
            <w:vAlign w:val="center"/>
          </w:tcPr>
          <w:p w14:paraId="0B9E69E2">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tLeast"/>
              <w:ind w:left="0" w:leftChars="0" w:right="0" w:rightChars="0"/>
              <w:jc w:val="center"/>
              <w:textAlignment w:val="auto"/>
              <w:rPr>
                <w:rFonts w:hint="eastAsia" w:ascii="宋体" w:hAnsi="宋体" w:cs="宋体"/>
                <w:color w:val="000000" w:themeColor="text1"/>
                <w:sz w:val="18"/>
                <w:szCs w:val="18"/>
                <w:lang w:val="en-US" w:eastAsia="zh-CN"/>
                <w14:textFill>
                  <w14:solidFill>
                    <w14:schemeClr w14:val="tx1"/>
                  </w14:solidFill>
                </w14:textFill>
              </w:rPr>
            </w:pPr>
            <w:r>
              <w:rPr>
                <w:rFonts w:hint="eastAsia" w:ascii="宋体" w:hAnsi="宋体" w:cs="宋体"/>
                <w:color w:val="000000" w:themeColor="text1"/>
                <w:sz w:val="18"/>
                <w:szCs w:val="18"/>
                <w:lang w:val="en-US" w:eastAsia="zh-CN"/>
                <w14:textFill>
                  <w14:solidFill>
                    <w14:schemeClr w14:val="tx1"/>
                  </w14:solidFill>
                </w14:textFill>
              </w:rPr>
              <w:t>各主体经营收益之和/主体数量</w:t>
            </w:r>
          </w:p>
        </w:tc>
        <w:tc>
          <w:tcPr>
            <w:tcW w:w="373" w:type="pct"/>
            <w:tcBorders>
              <w:top w:val="single" w:color="auto" w:sz="4" w:space="0"/>
              <w:left w:val="single" w:color="auto" w:sz="4" w:space="0"/>
              <w:right w:val="single" w:color="auto" w:sz="4" w:space="0"/>
              <w:tl2br w:val="nil"/>
              <w:tr2bl w:val="nil"/>
            </w:tcBorders>
            <w:noWrap w:val="0"/>
            <w:vAlign w:val="center"/>
          </w:tcPr>
          <w:p w14:paraId="46B8532E">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tLeast"/>
              <w:ind w:left="0" w:leftChars="0" w:right="0" w:rightChars="0"/>
              <w:jc w:val="center"/>
              <w:textAlignment w:val="auto"/>
              <w:rPr>
                <w:rFonts w:hint="eastAsia" w:ascii="宋体" w:hAnsi="宋体" w:cs="宋体"/>
                <w:color w:val="000000" w:themeColor="text1"/>
                <w:sz w:val="18"/>
                <w:szCs w:val="18"/>
                <w:lang w:val="en-US" w:eastAsia="zh-CN"/>
                <w14:textFill>
                  <w14:solidFill>
                    <w14:schemeClr w14:val="tx1"/>
                  </w14:solidFill>
                </w14:textFill>
              </w:rPr>
            </w:pPr>
            <w:r>
              <w:rPr>
                <w:rFonts w:hint="eastAsia" w:ascii="宋体" w:hAnsi="宋体" w:cs="宋体"/>
                <w:color w:val="000000" w:themeColor="text1"/>
                <w:sz w:val="18"/>
                <w:szCs w:val="18"/>
                <w:lang w:val="en-US" w:eastAsia="zh-CN"/>
                <w14:textFill>
                  <w14:solidFill>
                    <w14:schemeClr w14:val="tx1"/>
                  </w14:solidFill>
                </w14:textFill>
              </w:rPr>
              <w:t>创富工作</w:t>
            </w:r>
          </w:p>
          <w:p w14:paraId="37397505">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tLeast"/>
              <w:ind w:left="0" w:leftChars="0" w:right="0" w:rightChars="0"/>
              <w:jc w:val="center"/>
              <w:textAlignment w:val="auto"/>
              <w:rPr>
                <w:rFonts w:hint="eastAsia" w:ascii="宋体" w:hAnsi="宋体" w:cs="宋体"/>
                <w:color w:val="000000" w:themeColor="text1"/>
                <w:sz w:val="18"/>
                <w:szCs w:val="18"/>
                <w:lang w:val="en-US" w:eastAsia="zh-CN"/>
                <w14:textFill>
                  <w14:solidFill>
                    <w14:schemeClr w14:val="tx1"/>
                  </w14:solidFill>
                </w14:textFill>
              </w:rPr>
            </w:pPr>
            <w:r>
              <w:rPr>
                <w:rFonts w:hint="eastAsia" w:ascii="宋体" w:hAnsi="宋体" w:cs="宋体"/>
                <w:color w:val="000000" w:themeColor="text1"/>
                <w:sz w:val="18"/>
                <w:szCs w:val="18"/>
                <w:lang w:val="en-US" w:eastAsia="zh-CN"/>
                <w14:textFill>
                  <w14:solidFill>
                    <w14:schemeClr w14:val="tx1"/>
                  </w14:solidFill>
                </w14:textFill>
              </w:rPr>
              <w:t>形成数据</w:t>
            </w:r>
          </w:p>
        </w:tc>
        <w:tc>
          <w:tcPr>
            <w:tcW w:w="354" w:type="pct"/>
            <w:vMerge w:val="restart"/>
            <w:tcBorders>
              <w:left w:val="single" w:color="auto" w:sz="4" w:space="0"/>
              <w:right w:val="single" w:color="auto" w:sz="12" w:space="0"/>
              <w:tl2br w:val="nil"/>
              <w:tr2bl w:val="nil"/>
            </w:tcBorders>
            <w:noWrap w:val="0"/>
            <w:vAlign w:val="center"/>
          </w:tcPr>
          <w:p w14:paraId="32B05E9D">
            <w:pPr>
              <w:keepNext w:val="0"/>
              <w:keepLines w:val="0"/>
              <w:pageBreakBefore w:val="0"/>
              <w:suppressLineNumbers w:val="0"/>
              <w:kinsoku/>
              <w:wordWrap/>
              <w:overflowPunct/>
              <w:topLinePunct w:val="0"/>
              <w:bidi w:val="0"/>
              <w:adjustRightInd/>
              <w:snapToGrid/>
              <w:spacing w:beforeAutospacing="0" w:afterAutospacing="0" w:line="240" w:lineRule="atLeast"/>
              <w:ind w:left="0" w:right="0"/>
              <w:jc w:val="center"/>
              <w:textAlignment w:val="auto"/>
              <w:rPr>
                <w:rFonts w:hint="eastAsia" w:ascii="宋体" w:hAnsi="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每年</w:t>
            </w:r>
          </w:p>
          <w:p w14:paraId="1A8F9F08">
            <w:pPr>
              <w:keepNext w:val="0"/>
              <w:keepLines w:val="0"/>
              <w:pageBreakBefore w:val="0"/>
              <w:suppressLineNumbers w:val="0"/>
              <w:kinsoku/>
              <w:wordWrap/>
              <w:overflowPunct/>
              <w:topLinePunct w:val="0"/>
              <w:bidi w:val="0"/>
              <w:adjustRightInd/>
              <w:snapToGrid/>
              <w:spacing w:beforeAutospacing="0" w:afterAutospacing="0" w:line="240" w:lineRule="atLeast"/>
              <w:ind w:left="0" w:right="0"/>
              <w:jc w:val="center"/>
              <w:textAlignment w:val="auto"/>
              <w:rPr>
                <w:rFonts w:hint="eastAsia" w:ascii="宋体" w:hAnsi="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1次</w:t>
            </w:r>
          </w:p>
        </w:tc>
      </w:tr>
      <w:tr w14:paraId="4D931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trPr>
        <w:tc>
          <w:tcPr>
            <w:tcW w:w="196" w:type="pct"/>
            <w:tcBorders>
              <w:top w:val="single" w:color="auto" w:sz="4" w:space="0"/>
              <w:left w:val="single" w:color="auto" w:sz="12" w:space="0"/>
              <w:bottom w:val="single" w:color="auto" w:sz="4" w:space="0"/>
              <w:right w:val="single" w:color="auto" w:sz="4" w:space="0"/>
              <w:tl2br w:val="nil"/>
              <w:tr2bl w:val="nil"/>
            </w:tcBorders>
            <w:noWrap w:val="0"/>
            <w:vAlign w:val="center"/>
          </w:tcPr>
          <w:p w14:paraId="55EC9527">
            <w:pPr>
              <w:pStyle w:val="239"/>
              <w:keepNext w:val="0"/>
              <w:keepLines w:val="0"/>
              <w:pageBreakBefore w:val="0"/>
              <w:widowControl/>
              <w:numPr>
                <w:ilvl w:val="0"/>
                <w:numId w:val="35"/>
              </w:numPr>
              <w:suppressLineNumbers w:val="0"/>
              <w:kinsoku/>
              <w:wordWrap/>
              <w:overflowPunct/>
              <w:topLinePunct w:val="0"/>
              <w:bidi w:val="0"/>
              <w:snapToGrid/>
              <w:spacing w:before="0" w:beforeLines="0" w:beforeAutospacing="0" w:after="0" w:afterLines="0" w:afterAutospacing="0" w:line="240" w:lineRule="atLeast"/>
              <w:ind w:right="0"/>
              <w:jc w:val="center"/>
              <w:textAlignment w:val="auto"/>
              <w:rPr>
                <w:rFonts w:hint="eastAsia" w:ascii="宋体" w:hAnsi="宋体" w:eastAsia="宋体" w:cs="宋体"/>
                <w:color w:val="000000"/>
                <w:sz w:val="18"/>
                <w:szCs w:val="18"/>
              </w:rPr>
            </w:pPr>
          </w:p>
        </w:tc>
        <w:tc>
          <w:tcPr>
            <w:tcW w:w="292" w:type="pct"/>
            <w:vMerge w:val="restart"/>
            <w:tcBorders>
              <w:left w:val="single" w:color="auto" w:sz="4" w:space="0"/>
              <w:right w:val="single" w:color="auto" w:sz="4" w:space="0"/>
              <w:tl2br w:val="nil"/>
              <w:tr2bl w:val="nil"/>
            </w:tcBorders>
            <w:noWrap w:val="0"/>
            <w:vAlign w:val="center"/>
          </w:tcPr>
          <w:p w14:paraId="21CD614E">
            <w:pPr>
              <w:pStyle w:val="239"/>
              <w:keepNext w:val="0"/>
              <w:keepLines w:val="0"/>
              <w:pageBreakBefore w:val="0"/>
              <w:widowControl/>
              <w:numPr>
                <w:ilvl w:val="0"/>
                <w:numId w:val="0"/>
              </w:numPr>
              <w:suppressLineNumbers w:val="0"/>
              <w:kinsoku/>
              <w:wordWrap/>
              <w:overflowPunct/>
              <w:topLinePunct w:val="0"/>
              <w:bidi w:val="0"/>
              <w:snapToGrid/>
              <w:spacing w:before="0" w:beforeLines="0" w:beforeAutospacing="0" w:after="0" w:afterLines="0" w:afterAutospacing="0" w:line="240" w:lineRule="atLeast"/>
              <w:ind w:left="0" w:right="0"/>
              <w:jc w:val="center"/>
              <w:textAlignment w:val="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共富(0.6)</w:t>
            </w:r>
          </w:p>
        </w:tc>
        <w:tc>
          <w:tcPr>
            <w:tcW w:w="309" w:type="pct"/>
            <w:vMerge w:val="restart"/>
            <w:tcBorders>
              <w:left w:val="single" w:color="auto" w:sz="4" w:space="0"/>
              <w:right w:val="single" w:color="auto" w:sz="4" w:space="0"/>
              <w:tl2br w:val="nil"/>
              <w:tr2bl w:val="nil"/>
            </w:tcBorders>
            <w:shd w:val="clear" w:color="auto" w:fill="auto"/>
            <w:noWrap w:val="0"/>
            <w:vAlign w:val="center"/>
          </w:tcPr>
          <w:p w14:paraId="065E41A0">
            <w:pPr>
              <w:pStyle w:val="239"/>
              <w:keepNext w:val="0"/>
              <w:keepLines w:val="0"/>
              <w:pageBreakBefore w:val="0"/>
              <w:widowControl/>
              <w:numPr>
                <w:ilvl w:val="0"/>
                <w:numId w:val="0"/>
              </w:numPr>
              <w:suppressLineNumbers w:val="0"/>
              <w:kinsoku/>
              <w:wordWrap/>
              <w:overflowPunct/>
              <w:topLinePunct w:val="0"/>
              <w:bidi w:val="0"/>
              <w:snapToGrid/>
              <w:spacing w:before="0" w:beforeLines="0" w:beforeAutospacing="0" w:after="0" w:afterLines="0" w:afterAutospacing="0" w:line="240" w:lineRule="atLeast"/>
              <w:ind w:left="0" w:right="0"/>
              <w:jc w:val="center"/>
              <w:textAlignment w:val="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物质</w:t>
            </w:r>
          </w:p>
          <w:p w14:paraId="3B62BDC1">
            <w:pPr>
              <w:pStyle w:val="239"/>
              <w:keepNext w:val="0"/>
              <w:keepLines w:val="0"/>
              <w:pageBreakBefore w:val="0"/>
              <w:widowControl/>
              <w:numPr>
                <w:ilvl w:val="0"/>
                <w:numId w:val="0"/>
              </w:numPr>
              <w:suppressLineNumbers w:val="0"/>
              <w:kinsoku/>
              <w:wordWrap/>
              <w:overflowPunct/>
              <w:topLinePunct w:val="0"/>
              <w:bidi w:val="0"/>
              <w:snapToGrid/>
              <w:spacing w:before="0" w:beforeLines="0" w:beforeAutospacing="0" w:after="0" w:afterLines="0" w:afterAutospacing="0" w:line="240" w:lineRule="atLeast"/>
              <w:ind w:left="0" w:right="0"/>
              <w:jc w:val="center"/>
              <w:textAlignment w:val="auto"/>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富裕（0.4）</w:t>
            </w:r>
          </w:p>
        </w:tc>
        <w:tc>
          <w:tcPr>
            <w:tcW w:w="461" w:type="pct"/>
            <w:vMerge w:val="restart"/>
            <w:tcBorders>
              <w:top w:val="single" w:color="auto" w:sz="4" w:space="0"/>
              <w:left w:val="single" w:color="auto" w:sz="4" w:space="0"/>
              <w:right w:val="single" w:color="auto" w:sz="4" w:space="0"/>
              <w:tl2br w:val="nil"/>
              <w:tr2bl w:val="nil"/>
            </w:tcBorders>
            <w:noWrap w:val="0"/>
            <w:vAlign w:val="center"/>
          </w:tcPr>
          <w:p w14:paraId="6EDFE67A">
            <w:pPr>
              <w:pStyle w:val="239"/>
              <w:keepNext w:val="0"/>
              <w:keepLines w:val="0"/>
              <w:pageBreakBefore w:val="0"/>
              <w:widowControl/>
              <w:numPr>
                <w:ilvl w:val="0"/>
                <w:numId w:val="0"/>
              </w:numPr>
              <w:suppressLineNumbers w:val="0"/>
              <w:kinsoku/>
              <w:wordWrap/>
              <w:overflowPunct/>
              <w:topLinePunct w:val="0"/>
              <w:autoSpaceDE/>
              <w:autoSpaceDN/>
              <w:bidi w:val="0"/>
              <w:snapToGrid/>
              <w:spacing w:before="0" w:beforeLines="0" w:beforeAutospacing="0" w:after="0" w:afterLines="0" w:afterAutospacing="0" w:line="240" w:lineRule="atLeast"/>
              <w:ind w:left="0" w:leftChars="0" w:right="0" w:rightChars="0" w:firstLine="0" w:firstLineChars="0"/>
              <w:jc w:val="center"/>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lang w:val="en-US" w:eastAsia="zh-CN"/>
              </w:rPr>
              <w:t>主体收入增长（0.4）</w:t>
            </w:r>
          </w:p>
        </w:tc>
        <w:tc>
          <w:tcPr>
            <w:tcW w:w="624" w:type="pct"/>
            <w:tcBorders>
              <w:top w:val="single" w:color="auto" w:sz="4" w:space="0"/>
              <w:left w:val="single" w:color="auto" w:sz="4" w:space="0"/>
              <w:right w:val="single" w:color="auto" w:sz="4" w:space="0"/>
              <w:tl2br w:val="nil"/>
              <w:tr2bl w:val="nil"/>
            </w:tcBorders>
            <w:noWrap w:val="0"/>
            <w:vAlign w:val="center"/>
          </w:tcPr>
          <w:p w14:paraId="562B112B">
            <w:pPr>
              <w:keepNext w:val="0"/>
              <w:keepLines w:val="0"/>
              <w:pageBreakBefore w:val="0"/>
              <w:widowControl w:val="0"/>
              <w:suppressLineNumbers w:val="0"/>
              <w:kinsoku/>
              <w:wordWrap/>
              <w:overflowPunct/>
              <w:topLinePunct w:val="0"/>
              <w:autoSpaceDE/>
              <w:autoSpaceDN/>
              <w:bidi w:val="0"/>
              <w:snapToGrid/>
              <w:spacing w:beforeAutospacing="0" w:afterAutospacing="0" w:line="240" w:lineRule="atLeast"/>
              <w:ind w:left="0" w:leftChars="0" w:right="0" w:rightChars="0"/>
              <w:textAlignment w:val="auto"/>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康养企业</w:t>
            </w:r>
            <w:r>
              <w:rPr>
                <w:rStyle w:val="36"/>
                <w:rFonts w:hint="eastAsia" w:ascii="宋体" w:hAnsi="宋体" w:eastAsia="宋体" w:cs="宋体"/>
                <w:i w:val="0"/>
                <w:color w:val="000000" w:themeColor="text1"/>
                <w:sz w:val="18"/>
                <w:szCs w:val="18"/>
                <w:highlight w:val="none"/>
                <w:shd w:val="clear" w:color="auto" w:fill="FFFFFF"/>
                <w14:textFill>
                  <w14:solidFill>
                    <w14:schemeClr w14:val="tx1"/>
                  </w14:solidFill>
                </w14:textFill>
              </w:rPr>
              <w:t>营业收入</w:t>
            </w:r>
            <w:r>
              <w:rPr>
                <w:rStyle w:val="36"/>
                <w:rFonts w:hint="eastAsia" w:ascii="宋体" w:hAnsi="宋体" w:cs="宋体"/>
                <w:i w:val="0"/>
                <w:color w:val="000000" w:themeColor="text1"/>
                <w:sz w:val="18"/>
                <w:szCs w:val="18"/>
                <w:highlight w:val="none"/>
                <w:shd w:val="clear" w:color="auto" w:fill="FFFFFF"/>
                <w:lang w:val="en-US" w:eastAsia="zh-CN"/>
                <w14:textFill>
                  <w14:solidFill>
                    <w14:schemeClr w14:val="tx1"/>
                  </w14:solidFill>
                </w14:textFill>
              </w:rPr>
              <w:t>及</w:t>
            </w:r>
            <w:r>
              <w:rPr>
                <w:rStyle w:val="36"/>
                <w:rFonts w:hint="eastAsia" w:ascii="宋体" w:hAnsi="宋体" w:eastAsia="宋体" w:cs="宋体"/>
                <w:i w:val="0"/>
                <w:color w:val="000000" w:themeColor="text1"/>
                <w:sz w:val="18"/>
                <w:szCs w:val="18"/>
                <w:highlight w:val="none"/>
                <w:shd w:val="clear" w:color="auto" w:fill="FFFFFF"/>
                <w14:textFill>
                  <w14:solidFill>
                    <w14:schemeClr w14:val="tx1"/>
                  </w14:solidFill>
                </w14:textFill>
              </w:rPr>
              <w:t>增长率</w:t>
            </w:r>
            <w:r>
              <w:rPr>
                <w:rFonts w:hint="eastAsia" w:ascii="宋体" w:hAnsi="宋体" w:eastAsia="宋体" w:cs="宋体"/>
                <w:color w:val="000000" w:themeColor="text1"/>
                <w:sz w:val="18"/>
                <w:szCs w:val="18"/>
                <w:highlight w:val="none"/>
                <w14:textFill>
                  <w14:solidFill>
                    <w14:schemeClr w14:val="tx1"/>
                  </w14:solidFill>
                </w14:textFill>
              </w:rPr>
              <w:t>（0.</w:t>
            </w:r>
            <w:r>
              <w:rPr>
                <w:rFonts w:hint="eastAsia" w:ascii="宋体" w:hAnsi="宋体" w:cs="宋体"/>
                <w:color w:val="000000" w:themeColor="text1"/>
                <w:sz w:val="18"/>
                <w:szCs w:val="18"/>
                <w:highlight w:val="none"/>
                <w:lang w:val="en-US" w:eastAsia="zh-CN"/>
                <w14:textFill>
                  <w14:solidFill>
                    <w14:schemeClr w14:val="tx1"/>
                  </w14:solidFill>
                </w14:textFill>
              </w:rPr>
              <w:t>6</w:t>
            </w:r>
            <w:r>
              <w:rPr>
                <w:rFonts w:hint="eastAsia" w:ascii="宋体" w:hAnsi="宋体" w:eastAsia="宋体" w:cs="宋体"/>
                <w:color w:val="000000" w:themeColor="text1"/>
                <w:sz w:val="18"/>
                <w:szCs w:val="18"/>
                <w:highlight w:val="none"/>
                <w14:textFill>
                  <w14:solidFill>
                    <w14:schemeClr w14:val="tx1"/>
                  </w14:solidFill>
                </w14:textFill>
              </w:rPr>
              <w:t>）</w:t>
            </w:r>
          </w:p>
        </w:tc>
        <w:tc>
          <w:tcPr>
            <w:tcW w:w="220" w:type="pct"/>
            <w:tcBorders>
              <w:top w:val="single" w:color="auto" w:sz="4" w:space="0"/>
              <w:left w:val="single" w:color="auto" w:sz="4" w:space="0"/>
              <w:right w:val="single" w:color="auto" w:sz="4" w:space="0"/>
              <w:tl2br w:val="nil"/>
              <w:tr2bl w:val="nil"/>
            </w:tcBorders>
            <w:noWrap w:val="0"/>
            <w:vAlign w:val="center"/>
          </w:tcPr>
          <w:p w14:paraId="76AE834C">
            <w:pPr>
              <w:keepNext w:val="0"/>
              <w:keepLines w:val="0"/>
              <w:pageBreakBefore w:val="0"/>
              <w:widowControl w:val="0"/>
              <w:suppressLineNumbers w:val="0"/>
              <w:kinsoku/>
              <w:wordWrap/>
              <w:overflowPunct/>
              <w:topLinePunct w:val="0"/>
              <w:autoSpaceDE/>
              <w:autoSpaceDN/>
              <w:bidi w:val="0"/>
              <w:snapToGrid/>
              <w:spacing w:beforeAutospacing="0" w:afterAutospacing="0" w:line="240" w:lineRule="atLeast"/>
              <w:ind w:left="0" w:leftChars="0" w:right="0" w:rightChars="0"/>
              <w:jc w:val="center"/>
              <w:textAlignment w:val="auto"/>
              <w:rPr>
                <w:rFonts w:hint="eastAsia" w:ascii="宋体" w:hAnsi="宋体" w:eastAsia="宋体" w:cs="宋体"/>
                <w:color w:val="000000" w:themeColor="text1"/>
                <w:sz w:val="18"/>
                <w:szCs w:val="18"/>
                <w:highlight w:val="none"/>
                <w:lang w:val="en-US" w:eastAsia="zh-CN"/>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w:t>
            </w:r>
          </w:p>
        </w:tc>
        <w:tc>
          <w:tcPr>
            <w:tcW w:w="1796" w:type="pct"/>
            <w:tcBorders>
              <w:top w:val="single" w:color="auto" w:sz="4" w:space="0"/>
              <w:left w:val="single" w:color="auto" w:sz="4" w:space="0"/>
              <w:right w:val="single" w:color="auto" w:sz="4" w:space="0"/>
              <w:tl2br w:val="nil"/>
              <w:tr2bl w:val="nil"/>
            </w:tcBorders>
            <w:noWrap w:val="0"/>
            <w:vAlign w:val="center"/>
          </w:tcPr>
          <w:p w14:paraId="043DA859">
            <w:pPr>
              <w:keepNext w:val="0"/>
              <w:keepLines w:val="0"/>
              <w:pageBreakBefore w:val="0"/>
              <w:widowControl/>
              <w:suppressLineNumbers w:val="0"/>
              <w:kinsoku/>
              <w:wordWrap/>
              <w:overflowPunct/>
              <w:topLinePunct w:val="0"/>
              <w:autoSpaceDE/>
              <w:autoSpaceDN/>
              <w:bidi w:val="0"/>
              <w:snapToGrid/>
              <w:spacing w:beforeAutospacing="0" w:afterAutospacing="0" w:line="240" w:lineRule="atLeast"/>
              <w:ind w:left="0" w:leftChars="0" w:right="0" w:rightChars="0"/>
              <w:textAlignment w:val="auto"/>
              <w:rPr>
                <w:rFonts w:hint="eastAsia" w:ascii="宋体" w:hAnsi="宋体" w:cs="宋体"/>
                <w:color w:val="000000" w:themeColor="text1"/>
                <w:sz w:val="18"/>
                <w:szCs w:val="18"/>
                <w:highlight w:val="none"/>
                <w:lang w:val="en-US" w:eastAsia="zh-CN"/>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康养企业</w:t>
            </w:r>
            <w:r>
              <w:rPr>
                <w:rFonts w:hint="eastAsia" w:ascii="宋体" w:hAnsi="宋体" w:eastAsia="宋体" w:cs="宋体"/>
                <w:color w:val="000000" w:themeColor="text1"/>
                <w:sz w:val="18"/>
                <w:szCs w:val="18"/>
                <w:highlight w:val="none"/>
                <w:lang w:val="en-US" w:eastAsia="zh-CN"/>
                <w14:textFill>
                  <w14:solidFill>
                    <w14:schemeClr w14:val="tx1"/>
                  </w14:solidFill>
                </w14:textFill>
              </w:rPr>
              <w:t>（企业注册资金</w:t>
            </w:r>
            <w:r>
              <w:rPr>
                <w:rFonts w:hint="eastAsia" w:ascii="宋体" w:hAnsi="宋体" w:cs="宋体"/>
                <w:color w:val="000000" w:themeColor="text1"/>
                <w:sz w:val="18"/>
                <w:szCs w:val="18"/>
                <w:highlight w:val="none"/>
                <w:lang w:val="en-US" w:eastAsia="zh-CN"/>
                <w14:textFill>
                  <w14:solidFill>
                    <w14:schemeClr w14:val="tx1"/>
                  </w14:solidFill>
                </w14:textFill>
              </w:rPr>
              <w:t>大于等于</w:t>
            </w:r>
            <w:r>
              <w:rPr>
                <w:rFonts w:hint="eastAsia" w:ascii="宋体" w:hAnsi="宋体" w:eastAsia="宋体" w:cs="宋体"/>
                <w:color w:val="000000" w:themeColor="text1"/>
                <w:sz w:val="18"/>
                <w:szCs w:val="18"/>
                <w:highlight w:val="none"/>
                <w:lang w:val="en-US" w:eastAsia="zh-CN"/>
                <w14:textFill>
                  <w14:solidFill>
                    <w14:schemeClr w14:val="tx1"/>
                  </w14:solidFill>
                </w14:textFill>
              </w:rPr>
              <w:t>500万</w:t>
            </w:r>
            <w:r>
              <w:rPr>
                <w:rFonts w:hint="eastAsia" w:ascii="宋体" w:hAnsi="宋体" w:cs="宋体"/>
                <w:color w:val="000000" w:themeColor="text1"/>
                <w:sz w:val="18"/>
                <w:szCs w:val="18"/>
                <w:highlight w:val="none"/>
                <w:lang w:val="en-US" w:eastAsia="zh-CN"/>
                <w14:textFill>
                  <w14:solidFill>
                    <w14:schemeClr w14:val="tx1"/>
                  </w14:solidFill>
                </w14:textFill>
              </w:rPr>
              <w:t>元</w:t>
            </w:r>
            <w:r>
              <w:rPr>
                <w:rFonts w:hint="eastAsia" w:ascii="宋体" w:hAnsi="宋体" w:eastAsia="宋体" w:cs="宋体"/>
                <w:color w:val="000000" w:themeColor="text1"/>
                <w:sz w:val="18"/>
                <w:szCs w:val="18"/>
                <w:highlight w:val="none"/>
                <w:lang w:val="en-US" w:eastAsia="zh-CN"/>
                <w14:textFill>
                  <w14:solidFill>
                    <w14:schemeClr w14:val="tx1"/>
                  </w14:solidFill>
                </w14:textFill>
              </w:rPr>
              <w:t>）</w:t>
            </w:r>
            <w:r>
              <w:rPr>
                <w:rFonts w:hint="eastAsia" w:ascii="宋体" w:hAnsi="宋体" w:eastAsia="宋体" w:cs="宋体"/>
                <w:color w:val="000000" w:themeColor="text1"/>
                <w:sz w:val="18"/>
                <w:szCs w:val="18"/>
                <w:highlight w:val="none"/>
                <w14:textFill>
                  <w14:solidFill>
                    <w14:schemeClr w14:val="tx1"/>
                  </w14:solidFill>
                </w14:textFill>
              </w:rPr>
              <w:t>本期营业收入较上期营业收入的增长比例，反映</w:t>
            </w:r>
            <w:r>
              <w:rPr>
                <w:rFonts w:hint="eastAsia" w:ascii="宋体" w:hAnsi="宋体" w:cs="宋体"/>
                <w:color w:val="000000" w:themeColor="text1"/>
                <w:sz w:val="18"/>
                <w:szCs w:val="18"/>
                <w:highlight w:val="none"/>
                <w:lang w:val="en-US" w:eastAsia="zh-CN"/>
                <w14:textFill>
                  <w14:solidFill>
                    <w14:schemeClr w14:val="tx1"/>
                  </w14:solidFill>
                </w14:textFill>
              </w:rPr>
              <w:t>联合体企业效益提升。（评分标准：增长率＜0%得60分；0%≤增长率＜10%得80分；增长率≥10%得100分）</w:t>
            </w:r>
          </w:p>
        </w:tc>
        <w:tc>
          <w:tcPr>
            <w:tcW w:w="373" w:type="pct"/>
            <w:tcBorders>
              <w:top w:val="single" w:color="auto" w:sz="4" w:space="0"/>
              <w:left w:val="single" w:color="auto" w:sz="4" w:space="0"/>
              <w:right w:val="single" w:color="auto" w:sz="4" w:space="0"/>
              <w:tl2br w:val="nil"/>
              <w:tr2bl w:val="nil"/>
            </w:tcBorders>
            <w:noWrap w:val="0"/>
            <w:vAlign w:val="center"/>
          </w:tcPr>
          <w:p w14:paraId="37E0CD4F">
            <w:pPr>
              <w:keepNext w:val="0"/>
              <w:keepLines w:val="0"/>
              <w:pageBreakBefore w:val="0"/>
              <w:widowControl w:val="0"/>
              <w:suppressLineNumbers w:val="0"/>
              <w:kinsoku/>
              <w:wordWrap/>
              <w:overflowPunct/>
              <w:topLinePunct w:val="0"/>
              <w:autoSpaceDE/>
              <w:autoSpaceDN/>
              <w:bidi w:val="0"/>
              <w:snapToGrid/>
              <w:spacing w:beforeAutospacing="0" w:afterAutospacing="0" w:line="240" w:lineRule="atLeast"/>
              <w:ind w:left="0" w:leftChars="0" w:right="0" w:rightChars="0"/>
              <w:jc w:val="center"/>
              <w:textAlignment w:val="auto"/>
              <w:rPr>
                <w:rFonts w:hint="eastAsia" w:ascii="宋体" w:hAnsi="宋体" w:cs="宋体"/>
                <w:color w:val="000000" w:themeColor="text1"/>
                <w:sz w:val="18"/>
                <w:szCs w:val="18"/>
                <w:lang w:val="en-US" w:eastAsia="zh-CN"/>
                <w14:textFill>
                  <w14:solidFill>
                    <w14:schemeClr w14:val="tx1"/>
                  </w14:solidFill>
                </w14:textFill>
              </w:rPr>
            </w:pPr>
            <w:r>
              <w:rPr>
                <w:rFonts w:hint="eastAsia" w:ascii="宋体" w:hAnsi="宋体" w:cs="宋体"/>
                <w:color w:val="000000" w:themeColor="text1"/>
                <w:sz w:val="18"/>
                <w:szCs w:val="18"/>
                <w:lang w:val="en-US" w:eastAsia="zh-CN"/>
                <w14:textFill>
                  <w14:solidFill>
                    <w14:schemeClr w14:val="tx1"/>
                  </w14:solidFill>
                </w14:textFill>
              </w:rPr>
              <w:t>（本期营业收入-上期营业收入）/ 上期营业收入×100%</w:t>
            </w:r>
          </w:p>
        </w:tc>
        <w:tc>
          <w:tcPr>
            <w:tcW w:w="373" w:type="pct"/>
            <w:tcBorders>
              <w:top w:val="single" w:color="auto" w:sz="4" w:space="0"/>
              <w:left w:val="single" w:color="auto" w:sz="4" w:space="0"/>
              <w:right w:val="single" w:color="auto" w:sz="4" w:space="0"/>
              <w:tl2br w:val="nil"/>
              <w:tr2bl w:val="nil"/>
            </w:tcBorders>
            <w:noWrap w:val="0"/>
            <w:vAlign w:val="center"/>
          </w:tcPr>
          <w:p w14:paraId="2D5A7D8C">
            <w:pPr>
              <w:keepNext w:val="0"/>
              <w:keepLines w:val="0"/>
              <w:pageBreakBefore w:val="0"/>
              <w:widowControl w:val="0"/>
              <w:suppressLineNumbers w:val="0"/>
              <w:kinsoku/>
              <w:wordWrap/>
              <w:overflowPunct/>
              <w:topLinePunct w:val="0"/>
              <w:autoSpaceDE/>
              <w:autoSpaceDN/>
              <w:bidi w:val="0"/>
              <w:snapToGrid/>
              <w:spacing w:beforeAutospacing="0" w:afterAutospacing="0" w:line="240" w:lineRule="atLeast"/>
              <w:ind w:left="0" w:leftChars="0" w:right="0" w:rightChars="0"/>
              <w:jc w:val="center"/>
              <w:textAlignment w:val="auto"/>
              <w:rPr>
                <w:rFonts w:hint="eastAsia" w:ascii="宋体" w:hAnsi="宋体" w:cs="宋体"/>
                <w:color w:val="000000" w:themeColor="text1"/>
                <w:sz w:val="18"/>
                <w:szCs w:val="18"/>
                <w:lang w:val="en-US" w:eastAsia="zh-CN"/>
                <w14:textFill>
                  <w14:solidFill>
                    <w14:schemeClr w14:val="tx1"/>
                  </w14:solidFill>
                </w14:textFill>
              </w:rPr>
            </w:pPr>
            <w:r>
              <w:rPr>
                <w:rFonts w:hint="eastAsia" w:ascii="宋体" w:hAnsi="宋体" w:cs="宋体"/>
                <w:color w:val="000000" w:themeColor="text1"/>
                <w:sz w:val="18"/>
                <w:szCs w:val="18"/>
                <w:lang w:val="en-US" w:eastAsia="zh-CN"/>
                <w14:textFill>
                  <w14:solidFill>
                    <w14:schemeClr w14:val="tx1"/>
                  </w14:solidFill>
                </w14:textFill>
              </w:rPr>
              <w:t>创富工作</w:t>
            </w:r>
          </w:p>
          <w:p w14:paraId="205C048A">
            <w:pPr>
              <w:keepNext w:val="0"/>
              <w:keepLines w:val="0"/>
              <w:pageBreakBefore w:val="0"/>
              <w:widowControl w:val="0"/>
              <w:suppressLineNumbers w:val="0"/>
              <w:kinsoku/>
              <w:wordWrap/>
              <w:overflowPunct/>
              <w:topLinePunct w:val="0"/>
              <w:autoSpaceDE/>
              <w:autoSpaceDN/>
              <w:bidi w:val="0"/>
              <w:snapToGrid/>
              <w:spacing w:beforeAutospacing="0" w:afterAutospacing="0" w:line="240" w:lineRule="atLeast"/>
              <w:ind w:left="0" w:leftChars="0" w:right="0" w:rightChars="0"/>
              <w:jc w:val="center"/>
              <w:textAlignment w:val="auto"/>
              <w:rPr>
                <w:rFonts w:hint="eastAsia" w:ascii="宋体" w:hAnsi="宋体" w:eastAsia="宋体" w:cs="宋体"/>
                <w:color w:val="000000"/>
                <w:sz w:val="18"/>
                <w:szCs w:val="18"/>
                <w:lang w:val="en-US" w:eastAsia="zh-CN"/>
              </w:rPr>
            </w:pPr>
            <w:r>
              <w:rPr>
                <w:rFonts w:hint="eastAsia" w:ascii="宋体" w:hAnsi="宋体" w:cs="宋体"/>
                <w:color w:val="000000" w:themeColor="text1"/>
                <w:sz w:val="18"/>
                <w:szCs w:val="18"/>
                <w:lang w:val="en-US" w:eastAsia="zh-CN"/>
                <w14:textFill>
                  <w14:solidFill>
                    <w14:schemeClr w14:val="tx1"/>
                  </w14:solidFill>
                </w14:textFill>
              </w:rPr>
              <w:t>形成数据</w:t>
            </w:r>
          </w:p>
        </w:tc>
        <w:tc>
          <w:tcPr>
            <w:tcW w:w="354" w:type="pct"/>
            <w:vMerge w:val="continue"/>
            <w:tcBorders>
              <w:left w:val="single" w:color="auto" w:sz="4" w:space="0"/>
              <w:right w:val="single" w:color="auto" w:sz="12" w:space="0"/>
              <w:tl2br w:val="nil"/>
              <w:tr2bl w:val="nil"/>
            </w:tcBorders>
            <w:noWrap w:val="0"/>
            <w:vAlign w:val="center"/>
          </w:tcPr>
          <w:p w14:paraId="104A007F">
            <w:pPr>
              <w:keepNext w:val="0"/>
              <w:keepLines w:val="0"/>
              <w:pageBreakBefore w:val="0"/>
              <w:suppressLineNumbers w:val="0"/>
              <w:kinsoku/>
              <w:wordWrap/>
              <w:overflowPunct/>
              <w:topLinePunct w:val="0"/>
              <w:bidi w:val="0"/>
              <w:adjustRightInd/>
              <w:snapToGrid/>
              <w:spacing w:beforeAutospacing="0" w:afterAutospacing="0" w:line="240" w:lineRule="atLeast"/>
              <w:ind w:left="0" w:right="0"/>
              <w:jc w:val="center"/>
              <w:textAlignment w:val="auto"/>
              <w:rPr>
                <w:rFonts w:hint="eastAsia" w:ascii="宋体" w:hAnsi="宋体" w:cs="宋体"/>
                <w:color w:val="000000"/>
                <w:sz w:val="18"/>
                <w:szCs w:val="18"/>
                <w:highlight w:val="none"/>
                <w:lang w:val="en-US" w:eastAsia="zh-CN"/>
              </w:rPr>
            </w:pPr>
          </w:p>
        </w:tc>
      </w:tr>
      <w:tr w14:paraId="15DE0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trPr>
        <w:tc>
          <w:tcPr>
            <w:tcW w:w="196" w:type="pct"/>
            <w:tcBorders>
              <w:top w:val="single" w:color="auto" w:sz="4" w:space="0"/>
              <w:left w:val="single" w:color="auto" w:sz="12" w:space="0"/>
              <w:bottom w:val="single" w:color="auto" w:sz="4" w:space="0"/>
              <w:right w:val="single" w:color="auto" w:sz="4" w:space="0"/>
              <w:tl2br w:val="nil"/>
              <w:tr2bl w:val="nil"/>
            </w:tcBorders>
            <w:noWrap w:val="0"/>
            <w:vAlign w:val="center"/>
          </w:tcPr>
          <w:p w14:paraId="78C4A9AA">
            <w:pPr>
              <w:pStyle w:val="239"/>
              <w:keepNext w:val="0"/>
              <w:keepLines w:val="0"/>
              <w:pageBreakBefore w:val="0"/>
              <w:widowControl/>
              <w:numPr>
                <w:ilvl w:val="0"/>
                <w:numId w:val="35"/>
              </w:numPr>
              <w:suppressLineNumbers w:val="0"/>
              <w:kinsoku/>
              <w:wordWrap/>
              <w:overflowPunct/>
              <w:topLinePunct w:val="0"/>
              <w:bidi w:val="0"/>
              <w:snapToGrid/>
              <w:spacing w:before="0" w:beforeLines="0" w:beforeAutospacing="0" w:after="0" w:afterLines="0" w:afterAutospacing="0" w:line="240" w:lineRule="atLeast"/>
              <w:ind w:right="0"/>
              <w:jc w:val="center"/>
              <w:textAlignment w:val="auto"/>
              <w:rPr>
                <w:rFonts w:hint="eastAsia" w:ascii="宋体" w:hAnsi="宋体" w:eastAsia="宋体" w:cs="宋体"/>
                <w:color w:val="000000"/>
                <w:sz w:val="18"/>
                <w:szCs w:val="18"/>
              </w:rPr>
            </w:pPr>
          </w:p>
        </w:tc>
        <w:tc>
          <w:tcPr>
            <w:tcW w:w="292" w:type="pct"/>
            <w:vMerge w:val="continue"/>
            <w:tcBorders>
              <w:left w:val="single" w:color="auto" w:sz="4" w:space="0"/>
              <w:right w:val="single" w:color="auto" w:sz="4" w:space="0"/>
              <w:tl2br w:val="nil"/>
              <w:tr2bl w:val="nil"/>
            </w:tcBorders>
            <w:noWrap w:val="0"/>
            <w:vAlign w:val="center"/>
          </w:tcPr>
          <w:p w14:paraId="11176154">
            <w:pPr>
              <w:pStyle w:val="239"/>
              <w:keepNext w:val="0"/>
              <w:keepLines w:val="0"/>
              <w:pageBreakBefore w:val="0"/>
              <w:widowControl/>
              <w:numPr>
                <w:ilvl w:val="0"/>
                <w:numId w:val="0"/>
              </w:numPr>
              <w:suppressLineNumbers w:val="0"/>
              <w:kinsoku/>
              <w:wordWrap/>
              <w:overflowPunct/>
              <w:topLinePunct w:val="0"/>
              <w:bidi w:val="0"/>
              <w:snapToGrid/>
              <w:spacing w:before="0" w:beforeLines="0" w:beforeAutospacing="0" w:after="0" w:afterLines="0" w:afterAutospacing="0" w:line="240" w:lineRule="atLeast"/>
              <w:ind w:left="0" w:right="0"/>
              <w:jc w:val="center"/>
              <w:textAlignment w:val="auto"/>
              <w:rPr>
                <w:rFonts w:hint="eastAsia" w:ascii="宋体" w:hAnsi="宋体" w:eastAsia="宋体" w:cs="宋体"/>
                <w:color w:val="000000"/>
                <w:sz w:val="18"/>
                <w:szCs w:val="18"/>
                <w:lang w:val="en-US" w:eastAsia="zh-CN"/>
              </w:rPr>
            </w:pPr>
          </w:p>
        </w:tc>
        <w:tc>
          <w:tcPr>
            <w:tcW w:w="309" w:type="pct"/>
            <w:vMerge w:val="continue"/>
            <w:tcBorders>
              <w:left w:val="single" w:color="auto" w:sz="4" w:space="0"/>
              <w:right w:val="single" w:color="auto" w:sz="4" w:space="0"/>
              <w:tl2br w:val="nil"/>
              <w:tr2bl w:val="nil"/>
            </w:tcBorders>
            <w:shd w:val="clear" w:color="auto" w:fill="auto"/>
            <w:noWrap w:val="0"/>
            <w:vAlign w:val="center"/>
          </w:tcPr>
          <w:p w14:paraId="7FD4D85A">
            <w:pPr>
              <w:pStyle w:val="239"/>
              <w:keepNext w:val="0"/>
              <w:keepLines w:val="0"/>
              <w:pageBreakBefore w:val="0"/>
              <w:widowControl/>
              <w:numPr>
                <w:ilvl w:val="0"/>
                <w:numId w:val="0"/>
              </w:numPr>
              <w:suppressLineNumbers w:val="0"/>
              <w:kinsoku/>
              <w:wordWrap/>
              <w:overflowPunct/>
              <w:topLinePunct w:val="0"/>
              <w:bidi w:val="0"/>
              <w:snapToGrid/>
              <w:spacing w:before="0" w:beforeLines="0" w:beforeAutospacing="0" w:after="0" w:afterLines="0" w:afterAutospacing="0" w:line="240" w:lineRule="atLeast"/>
              <w:ind w:left="0" w:right="0"/>
              <w:jc w:val="center"/>
              <w:textAlignment w:val="auto"/>
              <w:rPr>
                <w:rFonts w:hint="eastAsia" w:ascii="宋体" w:hAnsi="宋体" w:eastAsia="宋体" w:cs="宋体"/>
                <w:color w:val="000000"/>
                <w:sz w:val="18"/>
                <w:szCs w:val="18"/>
                <w:lang w:val="en-US" w:eastAsia="zh-CN"/>
              </w:rPr>
            </w:pPr>
          </w:p>
        </w:tc>
        <w:tc>
          <w:tcPr>
            <w:tcW w:w="461" w:type="pct"/>
            <w:vMerge w:val="continue"/>
            <w:tcBorders>
              <w:left w:val="single" w:color="auto" w:sz="4" w:space="0"/>
              <w:right w:val="single" w:color="auto" w:sz="4" w:space="0"/>
              <w:tl2br w:val="nil"/>
              <w:tr2bl w:val="nil"/>
            </w:tcBorders>
            <w:noWrap w:val="0"/>
            <w:vAlign w:val="center"/>
          </w:tcPr>
          <w:p w14:paraId="14ACFC5E">
            <w:pPr>
              <w:pStyle w:val="239"/>
              <w:keepNext w:val="0"/>
              <w:keepLines w:val="0"/>
              <w:pageBreakBefore w:val="0"/>
              <w:widowControl/>
              <w:numPr>
                <w:ilvl w:val="0"/>
                <w:numId w:val="0"/>
              </w:numPr>
              <w:suppressLineNumbers w:val="0"/>
              <w:kinsoku/>
              <w:wordWrap/>
              <w:overflowPunct/>
              <w:topLinePunct w:val="0"/>
              <w:autoSpaceDE/>
              <w:autoSpaceDN/>
              <w:bidi w:val="0"/>
              <w:snapToGrid/>
              <w:spacing w:before="0" w:beforeLines="0" w:beforeAutospacing="0" w:after="0" w:afterLines="0" w:afterAutospacing="0" w:line="240" w:lineRule="atLeast"/>
              <w:ind w:left="0" w:leftChars="0" w:right="0" w:rightChars="0" w:firstLine="0" w:firstLineChars="0"/>
              <w:jc w:val="center"/>
              <w:textAlignment w:val="auto"/>
              <w:rPr>
                <w:rFonts w:hint="eastAsia" w:ascii="宋体" w:hAnsi="宋体" w:eastAsia="宋体" w:cs="宋体"/>
                <w:color w:val="000000"/>
                <w:sz w:val="18"/>
                <w:szCs w:val="18"/>
              </w:rPr>
            </w:pPr>
          </w:p>
        </w:tc>
        <w:tc>
          <w:tcPr>
            <w:tcW w:w="624" w:type="pct"/>
            <w:tcBorders>
              <w:top w:val="single" w:color="auto" w:sz="4" w:space="0"/>
              <w:left w:val="single" w:color="auto" w:sz="4" w:space="0"/>
              <w:right w:val="single" w:color="auto" w:sz="4" w:space="0"/>
              <w:tl2br w:val="nil"/>
              <w:tr2bl w:val="nil"/>
            </w:tcBorders>
            <w:noWrap w:val="0"/>
            <w:vAlign w:val="center"/>
          </w:tcPr>
          <w:p w14:paraId="4EBF2DEB">
            <w:pPr>
              <w:keepNext w:val="0"/>
              <w:keepLines w:val="0"/>
              <w:pageBreakBefore w:val="0"/>
              <w:widowControl w:val="0"/>
              <w:suppressLineNumbers w:val="0"/>
              <w:kinsoku/>
              <w:wordWrap/>
              <w:overflowPunct/>
              <w:topLinePunct w:val="0"/>
              <w:autoSpaceDE/>
              <w:autoSpaceDN/>
              <w:bidi w:val="0"/>
              <w:snapToGrid/>
              <w:spacing w:beforeAutospacing="0" w:afterAutospacing="0" w:line="240" w:lineRule="atLeast"/>
              <w:ind w:left="0" w:leftChars="0" w:right="0" w:rightChars="0"/>
              <w:textAlignment w:val="auto"/>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村(社区）集体经济</w:t>
            </w:r>
            <w:r>
              <w:rPr>
                <w:rFonts w:hint="eastAsia" w:ascii="宋体" w:hAnsi="宋体" w:cs="宋体"/>
                <w:color w:val="000000" w:themeColor="text1"/>
                <w:sz w:val="18"/>
                <w:szCs w:val="18"/>
                <w:highlight w:val="none"/>
                <w:lang w:val="en-US" w:eastAsia="zh-CN"/>
                <w14:textFill>
                  <w14:solidFill>
                    <w14:schemeClr w14:val="tx1"/>
                  </w14:solidFill>
                </w14:textFill>
              </w:rPr>
              <w:t>组织经营性</w:t>
            </w:r>
            <w:r>
              <w:rPr>
                <w:rStyle w:val="36"/>
                <w:rFonts w:hint="eastAsia" w:ascii="宋体" w:hAnsi="宋体" w:eastAsia="宋体" w:cs="宋体"/>
                <w:i w:val="0"/>
                <w:color w:val="000000" w:themeColor="text1"/>
                <w:sz w:val="18"/>
                <w:szCs w:val="18"/>
                <w:highlight w:val="none"/>
                <w:shd w:val="clear" w:color="auto" w:fill="FFFFFF"/>
                <w14:textFill>
                  <w14:solidFill>
                    <w14:schemeClr w14:val="tx1"/>
                  </w14:solidFill>
                </w14:textFill>
              </w:rPr>
              <w:t>收入</w:t>
            </w:r>
            <w:r>
              <w:rPr>
                <w:rStyle w:val="36"/>
                <w:rFonts w:hint="eastAsia" w:ascii="宋体" w:hAnsi="宋体" w:cs="宋体"/>
                <w:i w:val="0"/>
                <w:color w:val="000000" w:themeColor="text1"/>
                <w:sz w:val="18"/>
                <w:szCs w:val="18"/>
                <w:highlight w:val="none"/>
                <w:shd w:val="clear" w:color="auto" w:fill="FFFFFF"/>
                <w:lang w:val="en-US" w:eastAsia="zh-CN"/>
                <w14:textFill>
                  <w14:solidFill>
                    <w14:schemeClr w14:val="tx1"/>
                  </w14:solidFill>
                </w14:textFill>
              </w:rPr>
              <w:t>及</w:t>
            </w:r>
            <w:r>
              <w:rPr>
                <w:rStyle w:val="36"/>
                <w:rFonts w:hint="eastAsia" w:ascii="宋体" w:hAnsi="宋体" w:eastAsia="宋体" w:cs="宋体"/>
                <w:i w:val="0"/>
                <w:color w:val="000000" w:themeColor="text1"/>
                <w:sz w:val="18"/>
                <w:szCs w:val="18"/>
                <w:highlight w:val="none"/>
                <w:shd w:val="clear" w:color="auto" w:fill="FFFFFF"/>
                <w14:textFill>
                  <w14:solidFill>
                    <w14:schemeClr w14:val="tx1"/>
                  </w14:solidFill>
                </w14:textFill>
              </w:rPr>
              <w:t>增长率</w:t>
            </w:r>
            <w:r>
              <w:rPr>
                <w:rFonts w:hint="eastAsia" w:ascii="宋体" w:hAnsi="宋体" w:eastAsia="宋体" w:cs="宋体"/>
                <w:color w:val="000000" w:themeColor="text1"/>
                <w:sz w:val="18"/>
                <w:szCs w:val="18"/>
                <w:highlight w:val="none"/>
                <w14:textFill>
                  <w14:solidFill>
                    <w14:schemeClr w14:val="tx1"/>
                  </w14:solidFill>
                </w14:textFill>
              </w:rPr>
              <w:t>（0.</w:t>
            </w:r>
            <w:r>
              <w:rPr>
                <w:rFonts w:hint="eastAsia" w:ascii="宋体" w:hAnsi="宋体" w:eastAsia="宋体" w:cs="宋体"/>
                <w:color w:val="000000" w:themeColor="text1"/>
                <w:sz w:val="18"/>
                <w:szCs w:val="18"/>
                <w:highlight w:val="none"/>
                <w:lang w:val="en-US" w:eastAsia="zh-CN"/>
                <w14:textFill>
                  <w14:solidFill>
                    <w14:schemeClr w14:val="tx1"/>
                  </w14:solidFill>
                </w14:textFill>
              </w:rPr>
              <w:t>4</w:t>
            </w:r>
            <w:r>
              <w:rPr>
                <w:rFonts w:hint="eastAsia" w:ascii="宋体" w:hAnsi="宋体" w:eastAsia="宋体" w:cs="宋体"/>
                <w:color w:val="000000" w:themeColor="text1"/>
                <w:sz w:val="18"/>
                <w:szCs w:val="18"/>
                <w:highlight w:val="none"/>
                <w14:textFill>
                  <w14:solidFill>
                    <w14:schemeClr w14:val="tx1"/>
                  </w14:solidFill>
                </w14:textFill>
              </w:rPr>
              <w:t>）</w:t>
            </w:r>
          </w:p>
        </w:tc>
        <w:tc>
          <w:tcPr>
            <w:tcW w:w="220" w:type="pct"/>
            <w:tcBorders>
              <w:top w:val="single" w:color="auto" w:sz="4" w:space="0"/>
              <w:left w:val="single" w:color="auto" w:sz="4" w:space="0"/>
              <w:right w:val="single" w:color="auto" w:sz="4" w:space="0"/>
              <w:tl2br w:val="nil"/>
              <w:tr2bl w:val="nil"/>
            </w:tcBorders>
            <w:noWrap w:val="0"/>
            <w:vAlign w:val="center"/>
          </w:tcPr>
          <w:p w14:paraId="250D1E1F">
            <w:pPr>
              <w:keepNext w:val="0"/>
              <w:keepLines w:val="0"/>
              <w:pageBreakBefore w:val="0"/>
              <w:widowControl w:val="0"/>
              <w:suppressLineNumbers w:val="0"/>
              <w:kinsoku/>
              <w:wordWrap/>
              <w:overflowPunct/>
              <w:topLinePunct w:val="0"/>
              <w:autoSpaceDE/>
              <w:autoSpaceDN/>
              <w:bidi w:val="0"/>
              <w:snapToGrid/>
              <w:spacing w:beforeAutospacing="0" w:afterAutospacing="0" w:line="240" w:lineRule="atLeast"/>
              <w:ind w:left="0" w:leftChars="0" w:right="0" w:rightChars="0"/>
              <w:jc w:val="center"/>
              <w:textAlignment w:val="auto"/>
              <w:rPr>
                <w:rFonts w:hint="eastAsia" w:ascii="宋体" w:hAnsi="宋体" w:eastAsia="宋体" w:cs="宋体"/>
                <w:color w:val="000000" w:themeColor="text1"/>
                <w:sz w:val="18"/>
                <w:szCs w:val="18"/>
                <w:highlight w:val="none"/>
                <w:lang w:val="en-US" w:eastAsia="zh-CN"/>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w:t>
            </w:r>
          </w:p>
        </w:tc>
        <w:tc>
          <w:tcPr>
            <w:tcW w:w="1796" w:type="pct"/>
            <w:tcBorders>
              <w:top w:val="single" w:color="auto" w:sz="4" w:space="0"/>
              <w:left w:val="single" w:color="auto" w:sz="4" w:space="0"/>
              <w:right w:val="single" w:color="auto" w:sz="4" w:space="0"/>
              <w:tl2br w:val="nil"/>
              <w:tr2bl w:val="nil"/>
            </w:tcBorders>
            <w:noWrap w:val="0"/>
            <w:vAlign w:val="center"/>
          </w:tcPr>
          <w:p w14:paraId="65BAB0D1">
            <w:pPr>
              <w:keepNext w:val="0"/>
              <w:keepLines w:val="0"/>
              <w:pageBreakBefore w:val="0"/>
              <w:widowControl w:val="0"/>
              <w:suppressLineNumbers w:val="0"/>
              <w:kinsoku/>
              <w:wordWrap/>
              <w:overflowPunct/>
              <w:topLinePunct w:val="0"/>
              <w:autoSpaceDE/>
              <w:autoSpaceDN/>
              <w:bidi w:val="0"/>
              <w:snapToGrid/>
              <w:spacing w:beforeAutospacing="0" w:afterAutospacing="0" w:line="240" w:lineRule="atLeast"/>
              <w:ind w:left="0" w:leftChars="0" w:right="0" w:rightChars="0"/>
              <w:textAlignment w:val="auto"/>
              <w:rPr>
                <w:rFonts w:hint="eastAsia" w:ascii="宋体" w:hAnsi="宋体" w:cs="宋体"/>
                <w:color w:val="000000" w:themeColor="text1"/>
                <w:sz w:val="18"/>
                <w:szCs w:val="18"/>
                <w:highlight w:val="none"/>
                <w:lang w:val="en-US" w:eastAsia="zh-CN"/>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村（社区）集体经济</w:t>
            </w:r>
            <w:r>
              <w:rPr>
                <w:rFonts w:hint="eastAsia" w:ascii="宋体" w:hAnsi="宋体" w:cs="宋体"/>
                <w:color w:val="000000" w:themeColor="text1"/>
                <w:sz w:val="18"/>
                <w:szCs w:val="18"/>
                <w:highlight w:val="none"/>
                <w:lang w:val="en-US" w:eastAsia="zh-CN"/>
                <w14:textFill>
                  <w14:solidFill>
                    <w14:schemeClr w14:val="tx1"/>
                  </w14:solidFill>
                </w14:textFill>
              </w:rPr>
              <w:t>组织</w:t>
            </w:r>
            <w:r>
              <w:rPr>
                <w:rFonts w:hint="eastAsia" w:ascii="宋体" w:hAnsi="宋体" w:eastAsia="宋体" w:cs="宋体"/>
                <w:color w:val="000000" w:themeColor="text1"/>
                <w:sz w:val="18"/>
                <w:szCs w:val="18"/>
                <w:highlight w:val="none"/>
                <w14:textFill>
                  <w14:solidFill>
                    <w14:schemeClr w14:val="tx1"/>
                  </w14:solidFill>
                </w14:textFill>
              </w:rPr>
              <w:t>本期</w:t>
            </w:r>
            <w:r>
              <w:rPr>
                <w:rFonts w:hint="eastAsia" w:ascii="宋体" w:hAnsi="宋体" w:cs="宋体"/>
                <w:color w:val="000000" w:themeColor="text1"/>
                <w:sz w:val="18"/>
                <w:szCs w:val="18"/>
                <w:highlight w:val="none"/>
                <w:lang w:val="en-US" w:eastAsia="zh-CN"/>
                <w14:textFill>
                  <w14:solidFill>
                    <w14:schemeClr w14:val="tx1"/>
                  </w14:solidFill>
                </w14:textFill>
              </w:rPr>
              <w:t>经营性</w:t>
            </w:r>
            <w:r>
              <w:rPr>
                <w:rFonts w:hint="eastAsia" w:ascii="宋体" w:hAnsi="宋体" w:eastAsia="宋体" w:cs="宋体"/>
                <w:color w:val="000000" w:themeColor="text1"/>
                <w:sz w:val="18"/>
                <w:szCs w:val="18"/>
                <w:highlight w:val="none"/>
                <w14:textFill>
                  <w14:solidFill>
                    <w14:schemeClr w14:val="tx1"/>
                  </w14:solidFill>
                </w14:textFill>
              </w:rPr>
              <w:t>收入较上期</w:t>
            </w:r>
            <w:r>
              <w:rPr>
                <w:rFonts w:hint="eastAsia" w:ascii="宋体" w:hAnsi="宋体" w:cs="宋体"/>
                <w:color w:val="000000" w:themeColor="text1"/>
                <w:sz w:val="18"/>
                <w:szCs w:val="18"/>
                <w:highlight w:val="none"/>
                <w:lang w:val="en-US" w:eastAsia="zh-CN"/>
                <w14:textFill>
                  <w14:solidFill>
                    <w14:schemeClr w14:val="tx1"/>
                  </w14:solidFill>
                </w14:textFill>
              </w:rPr>
              <w:t>经营性</w:t>
            </w:r>
            <w:r>
              <w:rPr>
                <w:rFonts w:hint="eastAsia" w:ascii="宋体" w:hAnsi="宋体" w:eastAsia="宋体" w:cs="宋体"/>
                <w:color w:val="000000" w:themeColor="text1"/>
                <w:sz w:val="18"/>
                <w:szCs w:val="18"/>
                <w:highlight w:val="none"/>
                <w14:textFill>
                  <w14:solidFill>
                    <w14:schemeClr w14:val="tx1"/>
                  </w14:solidFill>
                </w14:textFill>
              </w:rPr>
              <w:t>收入的增长比例，反映联合体对村（社区）集体增富的实际贡献</w:t>
            </w:r>
            <w:r>
              <w:rPr>
                <w:rFonts w:hint="eastAsia" w:ascii="宋体" w:hAnsi="宋体" w:cs="宋体"/>
                <w:color w:val="000000" w:themeColor="text1"/>
                <w:sz w:val="18"/>
                <w:szCs w:val="18"/>
                <w:highlight w:val="none"/>
                <w:lang w:eastAsia="zh-CN"/>
                <w14:textFill>
                  <w14:solidFill>
                    <w14:schemeClr w14:val="tx1"/>
                  </w14:solidFill>
                </w14:textFill>
              </w:rPr>
              <w:t>。</w:t>
            </w:r>
            <w:r>
              <w:rPr>
                <w:rFonts w:hint="eastAsia" w:ascii="宋体" w:hAnsi="宋体" w:eastAsia="宋体" w:cs="宋体"/>
                <w:color w:val="000000" w:themeColor="text1"/>
                <w:sz w:val="18"/>
                <w:szCs w:val="18"/>
                <w:highlight w:val="none"/>
                <w:lang w:val="en-US" w:eastAsia="zh-CN"/>
                <w14:textFill>
                  <w14:solidFill>
                    <w14:schemeClr w14:val="tx1"/>
                  </w14:solidFill>
                </w14:textFill>
              </w:rPr>
              <w:t>（评分标准： 增长率＜0%得60分；0%≤增长率＜</w:t>
            </w:r>
            <w:r>
              <w:rPr>
                <w:rFonts w:hint="eastAsia" w:ascii="宋体" w:hAnsi="宋体" w:cs="宋体"/>
                <w:color w:val="000000" w:themeColor="text1"/>
                <w:sz w:val="18"/>
                <w:szCs w:val="18"/>
                <w:highlight w:val="none"/>
                <w:lang w:val="en-US" w:eastAsia="zh-CN"/>
                <w14:textFill>
                  <w14:solidFill>
                    <w14:schemeClr w14:val="tx1"/>
                  </w14:solidFill>
                </w14:textFill>
              </w:rPr>
              <w:t>8</w:t>
            </w:r>
            <w:r>
              <w:rPr>
                <w:rFonts w:hint="eastAsia" w:ascii="宋体" w:hAnsi="宋体" w:eastAsia="宋体" w:cs="宋体"/>
                <w:color w:val="000000" w:themeColor="text1"/>
                <w:sz w:val="18"/>
                <w:szCs w:val="18"/>
                <w:highlight w:val="none"/>
                <w:lang w:val="en-US" w:eastAsia="zh-CN"/>
                <w14:textFill>
                  <w14:solidFill>
                    <w14:schemeClr w14:val="tx1"/>
                  </w14:solidFill>
                </w14:textFill>
              </w:rPr>
              <w:t>%得80分；增长率</w:t>
            </w:r>
            <w:r>
              <w:rPr>
                <w:rFonts w:hint="eastAsia" w:ascii="宋体" w:hAnsi="宋体" w:cs="宋体"/>
                <w:color w:val="000000" w:themeColor="text1"/>
                <w:sz w:val="18"/>
                <w:szCs w:val="18"/>
                <w:highlight w:val="none"/>
                <w:lang w:val="en-US" w:eastAsia="zh-CN"/>
                <w14:textFill>
                  <w14:solidFill>
                    <w14:schemeClr w14:val="tx1"/>
                  </w14:solidFill>
                </w14:textFill>
              </w:rPr>
              <w:t>≥8</w:t>
            </w:r>
            <w:r>
              <w:rPr>
                <w:rFonts w:hint="eastAsia" w:ascii="宋体" w:hAnsi="宋体" w:eastAsia="宋体" w:cs="宋体"/>
                <w:color w:val="000000" w:themeColor="text1"/>
                <w:sz w:val="18"/>
                <w:szCs w:val="18"/>
                <w:highlight w:val="none"/>
                <w:lang w:val="en-US" w:eastAsia="zh-CN"/>
                <w14:textFill>
                  <w14:solidFill>
                    <w14:schemeClr w14:val="tx1"/>
                  </w14:solidFill>
                </w14:textFill>
              </w:rPr>
              <w:t>%得100分）</w:t>
            </w:r>
          </w:p>
        </w:tc>
        <w:tc>
          <w:tcPr>
            <w:tcW w:w="373" w:type="pct"/>
            <w:tcBorders>
              <w:top w:val="single" w:color="auto" w:sz="4" w:space="0"/>
              <w:left w:val="single" w:color="auto" w:sz="4" w:space="0"/>
              <w:right w:val="single" w:color="auto" w:sz="4" w:space="0"/>
              <w:tl2br w:val="nil"/>
              <w:tr2bl w:val="nil"/>
            </w:tcBorders>
            <w:noWrap w:val="0"/>
            <w:vAlign w:val="center"/>
          </w:tcPr>
          <w:p w14:paraId="414C3FB6">
            <w:pPr>
              <w:keepNext w:val="0"/>
              <w:keepLines w:val="0"/>
              <w:pageBreakBefore w:val="0"/>
              <w:widowControl w:val="0"/>
              <w:suppressLineNumbers w:val="0"/>
              <w:kinsoku/>
              <w:wordWrap/>
              <w:overflowPunct/>
              <w:topLinePunct w:val="0"/>
              <w:autoSpaceDE/>
              <w:autoSpaceDN/>
              <w:bidi w:val="0"/>
              <w:snapToGrid/>
              <w:spacing w:beforeAutospacing="0" w:afterAutospacing="0" w:line="240" w:lineRule="atLeast"/>
              <w:ind w:left="0" w:leftChars="0" w:right="0" w:rightChars="0"/>
              <w:jc w:val="center"/>
              <w:textAlignment w:val="auto"/>
              <w:rPr>
                <w:rFonts w:hint="eastAsia" w:ascii="宋体" w:hAnsi="宋体" w:cs="宋体"/>
                <w:color w:val="000000" w:themeColor="text1"/>
                <w:sz w:val="18"/>
                <w:szCs w:val="18"/>
                <w:lang w:val="en-US" w:eastAsia="zh-CN"/>
                <w14:textFill>
                  <w14:solidFill>
                    <w14:schemeClr w14:val="tx1"/>
                  </w14:solidFill>
                </w14:textFill>
              </w:rPr>
            </w:pPr>
            <w:r>
              <w:rPr>
                <w:rFonts w:hint="eastAsia" w:ascii="宋体" w:hAnsi="宋体" w:cs="宋体"/>
                <w:color w:val="000000" w:themeColor="text1"/>
                <w:sz w:val="18"/>
                <w:szCs w:val="18"/>
                <w:lang w:val="en-US" w:eastAsia="zh-CN"/>
                <w14:textFill>
                  <w14:solidFill>
                    <w14:schemeClr w14:val="tx1"/>
                  </w14:solidFill>
                </w14:textFill>
              </w:rPr>
              <w:t>（本期经营性收入-上期经营性收入）/上期经营性收入×100%</w:t>
            </w:r>
          </w:p>
        </w:tc>
        <w:tc>
          <w:tcPr>
            <w:tcW w:w="373" w:type="pct"/>
            <w:tcBorders>
              <w:top w:val="single" w:color="auto" w:sz="4" w:space="0"/>
              <w:left w:val="single" w:color="auto" w:sz="4" w:space="0"/>
              <w:right w:val="single" w:color="auto" w:sz="4" w:space="0"/>
              <w:tl2br w:val="nil"/>
              <w:tr2bl w:val="nil"/>
            </w:tcBorders>
            <w:noWrap w:val="0"/>
            <w:vAlign w:val="center"/>
          </w:tcPr>
          <w:p w14:paraId="136E5F4C">
            <w:pPr>
              <w:keepNext w:val="0"/>
              <w:keepLines w:val="0"/>
              <w:pageBreakBefore w:val="0"/>
              <w:widowControl w:val="0"/>
              <w:suppressLineNumbers w:val="0"/>
              <w:kinsoku/>
              <w:wordWrap/>
              <w:overflowPunct/>
              <w:topLinePunct w:val="0"/>
              <w:autoSpaceDE/>
              <w:autoSpaceDN/>
              <w:bidi w:val="0"/>
              <w:snapToGrid/>
              <w:spacing w:beforeAutospacing="0" w:afterAutospacing="0" w:line="240" w:lineRule="atLeast"/>
              <w:ind w:left="0" w:leftChars="0" w:right="0" w:rightChars="0"/>
              <w:jc w:val="center"/>
              <w:textAlignment w:val="auto"/>
              <w:rPr>
                <w:rFonts w:hint="eastAsia" w:ascii="宋体" w:hAnsi="宋体" w:cs="宋体"/>
                <w:color w:val="000000" w:themeColor="text1"/>
                <w:sz w:val="18"/>
                <w:szCs w:val="18"/>
                <w:lang w:val="en-US" w:eastAsia="zh-CN"/>
                <w14:textFill>
                  <w14:solidFill>
                    <w14:schemeClr w14:val="tx1"/>
                  </w14:solidFill>
                </w14:textFill>
              </w:rPr>
            </w:pPr>
            <w:r>
              <w:rPr>
                <w:rFonts w:hint="eastAsia" w:ascii="宋体" w:hAnsi="宋体" w:cs="宋体"/>
                <w:color w:val="000000" w:themeColor="text1"/>
                <w:sz w:val="18"/>
                <w:szCs w:val="18"/>
                <w:lang w:val="en-US" w:eastAsia="zh-CN"/>
                <w14:textFill>
                  <w14:solidFill>
                    <w14:schemeClr w14:val="tx1"/>
                  </w14:solidFill>
                </w14:textFill>
              </w:rPr>
              <w:t>创富工作</w:t>
            </w:r>
          </w:p>
          <w:p w14:paraId="16170FD0">
            <w:pPr>
              <w:keepNext w:val="0"/>
              <w:keepLines w:val="0"/>
              <w:pageBreakBefore w:val="0"/>
              <w:widowControl w:val="0"/>
              <w:suppressLineNumbers w:val="0"/>
              <w:kinsoku/>
              <w:wordWrap/>
              <w:overflowPunct/>
              <w:topLinePunct w:val="0"/>
              <w:autoSpaceDE/>
              <w:autoSpaceDN/>
              <w:bidi w:val="0"/>
              <w:snapToGrid/>
              <w:spacing w:beforeAutospacing="0" w:afterAutospacing="0" w:line="240" w:lineRule="atLeast"/>
              <w:ind w:left="0" w:leftChars="0" w:right="0" w:rightChars="0"/>
              <w:jc w:val="center"/>
              <w:textAlignment w:val="auto"/>
              <w:rPr>
                <w:rFonts w:hint="eastAsia" w:ascii="宋体" w:hAnsi="宋体" w:eastAsia="宋体" w:cs="宋体"/>
                <w:color w:val="000000"/>
                <w:sz w:val="18"/>
                <w:szCs w:val="18"/>
                <w:lang w:val="en-US" w:eastAsia="zh-CN"/>
              </w:rPr>
            </w:pPr>
            <w:r>
              <w:rPr>
                <w:rFonts w:hint="eastAsia" w:ascii="宋体" w:hAnsi="宋体" w:cs="宋体"/>
                <w:color w:val="000000" w:themeColor="text1"/>
                <w:sz w:val="18"/>
                <w:szCs w:val="18"/>
                <w:lang w:val="en-US" w:eastAsia="zh-CN"/>
                <w14:textFill>
                  <w14:solidFill>
                    <w14:schemeClr w14:val="tx1"/>
                  </w14:solidFill>
                </w14:textFill>
              </w:rPr>
              <w:t>形成数据</w:t>
            </w:r>
          </w:p>
        </w:tc>
        <w:tc>
          <w:tcPr>
            <w:tcW w:w="354" w:type="pct"/>
            <w:vMerge w:val="continue"/>
            <w:tcBorders>
              <w:left w:val="single" w:color="auto" w:sz="4" w:space="0"/>
              <w:right w:val="single" w:color="auto" w:sz="12" w:space="0"/>
              <w:tl2br w:val="nil"/>
              <w:tr2bl w:val="nil"/>
            </w:tcBorders>
            <w:noWrap w:val="0"/>
            <w:vAlign w:val="center"/>
          </w:tcPr>
          <w:p w14:paraId="4807D557">
            <w:pPr>
              <w:keepNext w:val="0"/>
              <w:keepLines w:val="0"/>
              <w:pageBreakBefore w:val="0"/>
              <w:suppressLineNumbers w:val="0"/>
              <w:kinsoku/>
              <w:wordWrap/>
              <w:overflowPunct/>
              <w:topLinePunct w:val="0"/>
              <w:bidi w:val="0"/>
              <w:adjustRightInd/>
              <w:snapToGrid/>
              <w:spacing w:beforeAutospacing="0" w:afterAutospacing="0" w:line="240" w:lineRule="atLeast"/>
              <w:ind w:left="0" w:right="0"/>
              <w:jc w:val="center"/>
              <w:textAlignment w:val="auto"/>
              <w:rPr>
                <w:rFonts w:hint="eastAsia" w:ascii="宋体" w:hAnsi="宋体" w:cs="宋体"/>
                <w:color w:val="000000"/>
                <w:sz w:val="18"/>
                <w:szCs w:val="18"/>
                <w:highlight w:val="none"/>
                <w:lang w:val="en-US" w:eastAsia="zh-CN"/>
              </w:rPr>
            </w:pPr>
          </w:p>
        </w:tc>
      </w:tr>
      <w:tr w14:paraId="1575A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trPr>
        <w:tc>
          <w:tcPr>
            <w:tcW w:w="196" w:type="pct"/>
            <w:tcBorders>
              <w:top w:val="single" w:color="auto" w:sz="4" w:space="0"/>
              <w:left w:val="single" w:color="auto" w:sz="12" w:space="0"/>
              <w:bottom w:val="single" w:color="auto" w:sz="12" w:space="0"/>
              <w:right w:val="single" w:color="auto" w:sz="4" w:space="0"/>
              <w:tl2br w:val="nil"/>
              <w:tr2bl w:val="nil"/>
            </w:tcBorders>
            <w:noWrap w:val="0"/>
            <w:vAlign w:val="center"/>
          </w:tcPr>
          <w:p w14:paraId="080F6E4A">
            <w:pPr>
              <w:pStyle w:val="239"/>
              <w:keepNext w:val="0"/>
              <w:keepLines w:val="0"/>
              <w:pageBreakBefore w:val="0"/>
              <w:widowControl/>
              <w:numPr>
                <w:ilvl w:val="0"/>
                <w:numId w:val="35"/>
              </w:numPr>
              <w:suppressLineNumbers w:val="0"/>
              <w:kinsoku/>
              <w:wordWrap/>
              <w:overflowPunct/>
              <w:topLinePunct w:val="0"/>
              <w:bidi w:val="0"/>
              <w:snapToGrid/>
              <w:spacing w:before="0" w:beforeLines="0" w:beforeAutospacing="0" w:after="0" w:afterLines="0" w:afterAutospacing="0" w:line="240" w:lineRule="atLeast"/>
              <w:ind w:right="0"/>
              <w:jc w:val="center"/>
              <w:textAlignment w:val="auto"/>
              <w:rPr>
                <w:rFonts w:hint="eastAsia" w:ascii="宋体" w:hAnsi="宋体" w:eastAsia="宋体" w:cs="宋体"/>
                <w:color w:val="000000"/>
                <w:sz w:val="18"/>
                <w:szCs w:val="18"/>
              </w:rPr>
            </w:pPr>
          </w:p>
        </w:tc>
        <w:tc>
          <w:tcPr>
            <w:tcW w:w="292" w:type="pct"/>
            <w:vMerge w:val="continue"/>
            <w:tcBorders>
              <w:left w:val="single" w:color="auto" w:sz="4" w:space="0"/>
              <w:bottom w:val="single" w:color="auto" w:sz="12" w:space="0"/>
              <w:right w:val="single" w:color="auto" w:sz="4" w:space="0"/>
              <w:tl2br w:val="nil"/>
              <w:tr2bl w:val="nil"/>
            </w:tcBorders>
            <w:noWrap w:val="0"/>
            <w:vAlign w:val="center"/>
          </w:tcPr>
          <w:p w14:paraId="650055F8">
            <w:pPr>
              <w:pStyle w:val="239"/>
              <w:keepNext w:val="0"/>
              <w:keepLines w:val="0"/>
              <w:pageBreakBefore w:val="0"/>
              <w:widowControl/>
              <w:numPr>
                <w:ilvl w:val="0"/>
                <w:numId w:val="0"/>
              </w:numPr>
              <w:suppressLineNumbers w:val="0"/>
              <w:kinsoku/>
              <w:wordWrap/>
              <w:overflowPunct/>
              <w:topLinePunct w:val="0"/>
              <w:bidi w:val="0"/>
              <w:snapToGrid/>
              <w:spacing w:before="0" w:beforeLines="0" w:beforeAutospacing="0" w:after="0" w:afterLines="0" w:afterAutospacing="0" w:line="240" w:lineRule="atLeast"/>
              <w:ind w:left="0" w:right="0"/>
              <w:jc w:val="center"/>
              <w:textAlignment w:val="auto"/>
              <w:rPr>
                <w:rFonts w:hint="eastAsia" w:ascii="宋体" w:hAnsi="宋体" w:eastAsia="宋体" w:cs="宋体"/>
                <w:color w:val="000000"/>
                <w:sz w:val="18"/>
                <w:szCs w:val="18"/>
                <w:lang w:val="en-US" w:eastAsia="zh-CN"/>
              </w:rPr>
            </w:pPr>
          </w:p>
        </w:tc>
        <w:tc>
          <w:tcPr>
            <w:tcW w:w="309" w:type="pct"/>
            <w:vMerge w:val="continue"/>
            <w:tcBorders>
              <w:left w:val="single" w:color="auto" w:sz="4" w:space="0"/>
              <w:bottom w:val="single" w:color="auto" w:sz="12" w:space="0"/>
              <w:right w:val="single" w:color="auto" w:sz="4" w:space="0"/>
              <w:tl2br w:val="nil"/>
              <w:tr2bl w:val="nil"/>
            </w:tcBorders>
            <w:shd w:val="clear" w:color="auto" w:fill="auto"/>
            <w:noWrap w:val="0"/>
            <w:vAlign w:val="center"/>
          </w:tcPr>
          <w:p w14:paraId="31D48E3E">
            <w:pPr>
              <w:pStyle w:val="239"/>
              <w:keepNext w:val="0"/>
              <w:keepLines w:val="0"/>
              <w:pageBreakBefore w:val="0"/>
              <w:widowControl/>
              <w:numPr>
                <w:ilvl w:val="0"/>
                <w:numId w:val="0"/>
              </w:numPr>
              <w:suppressLineNumbers w:val="0"/>
              <w:kinsoku/>
              <w:wordWrap/>
              <w:overflowPunct/>
              <w:topLinePunct w:val="0"/>
              <w:bidi w:val="0"/>
              <w:snapToGrid/>
              <w:spacing w:before="0" w:beforeLines="0" w:beforeAutospacing="0" w:after="0" w:afterLines="0" w:afterAutospacing="0" w:line="240" w:lineRule="atLeast"/>
              <w:ind w:left="0" w:right="0"/>
              <w:jc w:val="center"/>
              <w:textAlignment w:val="auto"/>
              <w:rPr>
                <w:rFonts w:hint="default" w:ascii="宋体" w:hAnsi="宋体" w:eastAsia="宋体" w:cs="宋体"/>
                <w:color w:val="000000"/>
                <w:sz w:val="18"/>
                <w:szCs w:val="18"/>
                <w:lang w:val="en-US" w:eastAsia="zh-CN"/>
              </w:rPr>
            </w:pPr>
          </w:p>
        </w:tc>
        <w:tc>
          <w:tcPr>
            <w:tcW w:w="461" w:type="pct"/>
            <w:tcBorders>
              <w:top w:val="single" w:color="auto" w:sz="4" w:space="0"/>
              <w:left w:val="single" w:color="auto" w:sz="4" w:space="0"/>
              <w:bottom w:val="single" w:color="auto" w:sz="12" w:space="0"/>
              <w:right w:val="single" w:color="auto" w:sz="4" w:space="0"/>
              <w:tl2br w:val="nil"/>
              <w:tr2bl w:val="nil"/>
            </w:tcBorders>
            <w:noWrap w:val="0"/>
            <w:vAlign w:val="center"/>
          </w:tcPr>
          <w:p w14:paraId="6CA3C2E2">
            <w:pPr>
              <w:pStyle w:val="239"/>
              <w:keepNext w:val="0"/>
              <w:keepLines w:val="0"/>
              <w:pageBreakBefore w:val="0"/>
              <w:widowControl/>
              <w:numPr>
                <w:ilvl w:val="0"/>
                <w:numId w:val="0"/>
              </w:numPr>
              <w:suppressLineNumbers w:val="0"/>
              <w:kinsoku/>
              <w:wordWrap/>
              <w:overflowPunct/>
              <w:topLinePunct w:val="0"/>
              <w:autoSpaceDE/>
              <w:autoSpaceDN/>
              <w:bidi w:val="0"/>
              <w:snapToGrid/>
              <w:spacing w:before="0" w:beforeLines="0" w:beforeAutospacing="0" w:after="0" w:afterLines="0" w:afterAutospacing="0" w:line="240" w:lineRule="atLeast"/>
              <w:ind w:left="0" w:leftChars="0" w:right="0" w:rightChars="0" w:firstLine="0" w:firstLineChars="0"/>
              <w:jc w:val="center"/>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收入</w:t>
            </w:r>
            <w:r>
              <w:rPr>
                <w:rFonts w:hint="eastAsia" w:ascii="宋体" w:hAnsi="宋体" w:eastAsia="宋体" w:cs="宋体"/>
                <w:color w:val="000000"/>
                <w:sz w:val="18"/>
                <w:szCs w:val="18"/>
                <w:lang w:val="en-US" w:eastAsia="zh-CN"/>
              </w:rPr>
              <w:t>水平提升</w:t>
            </w:r>
            <w:r>
              <w:rPr>
                <w:rFonts w:hint="eastAsia" w:ascii="宋体" w:hAnsi="宋体" w:eastAsia="宋体" w:cs="宋体"/>
                <w:color w:val="000000"/>
                <w:sz w:val="18"/>
                <w:szCs w:val="18"/>
              </w:rPr>
              <w:t>（0.</w:t>
            </w:r>
            <w:r>
              <w:rPr>
                <w:rFonts w:hint="eastAsia" w:ascii="宋体" w:hAnsi="宋体" w:eastAsia="宋体" w:cs="宋体"/>
                <w:color w:val="000000"/>
                <w:sz w:val="15"/>
                <w:szCs w:val="15"/>
                <w:lang w:val="en-US" w:eastAsia="zh-CN"/>
              </w:rPr>
              <w:t>6</w:t>
            </w:r>
            <w:r>
              <w:rPr>
                <w:rFonts w:hint="eastAsia" w:ascii="宋体" w:hAnsi="宋体" w:eastAsia="宋体" w:cs="宋体"/>
                <w:color w:val="000000"/>
                <w:sz w:val="18"/>
                <w:szCs w:val="18"/>
              </w:rPr>
              <w:t>）</w:t>
            </w:r>
          </w:p>
        </w:tc>
        <w:tc>
          <w:tcPr>
            <w:tcW w:w="624" w:type="pct"/>
            <w:tcBorders>
              <w:top w:val="single" w:color="auto" w:sz="4" w:space="0"/>
              <w:left w:val="single" w:color="auto" w:sz="4" w:space="0"/>
              <w:bottom w:val="single" w:color="auto" w:sz="12" w:space="0"/>
              <w:right w:val="single" w:color="auto" w:sz="4" w:space="0"/>
              <w:tl2br w:val="nil"/>
              <w:tr2bl w:val="nil"/>
            </w:tcBorders>
            <w:noWrap w:val="0"/>
            <w:vAlign w:val="center"/>
          </w:tcPr>
          <w:p w14:paraId="081BE26A">
            <w:pPr>
              <w:keepNext w:val="0"/>
              <w:keepLines w:val="0"/>
              <w:pageBreakBefore w:val="0"/>
              <w:suppressLineNumbers w:val="0"/>
              <w:kinsoku/>
              <w:wordWrap/>
              <w:overflowPunct/>
              <w:topLinePunct w:val="0"/>
              <w:autoSpaceDE/>
              <w:autoSpaceDN/>
              <w:bidi w:val="0"/>
              <w:snapToGrid/>
              <w:spacing w:beforeAutospacing="0" w:afterAutospacing="0" w:line="240" w:lineRule="atLeast"/>
              <w:ind w:left="0" w:leftChars="0" w:right="0" w:rightChars="0"/>
              <w:textAlignment w:val="auto"/>
              <w:rPr>
                <w:rFonts w:hint="eastAsia" w:ascii="宋体" w:hAnsi="宋体" w:eastAsia="宋体" w:cs="宋体"/>
                <w:color w:val="000000" w:themeColor="text1"/>
                <w:sz w:val="18"/>
                <w:szCs w:val="18"/>
                <w:highlight w:val="none"/>
                <w:lang w:val="en-US" w:eastAsia="zh-CN"/>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中等收入群体占比</w:t>
            </w:r>
            <w:r>
              <w:rPr>
                <w:rFonts w:hint="eastAsia" w:ascii="宋体" w:hAnsi="宋体" w:cs="宋体"/>
                <w:color w:val="000000" w:themeColor="text1"/>
                <w:sz w:val="18"/>
                <w:szCs w:val="18"/>
                <w:highlight w:val="none"/>
                <w:lang w:eastAsia="zh-CN"/>
                <w14:textFill>
                  <w14:solidFill>
                    <w14:schemeClr w14:val="tx1"/>
                  </w14:solidFill>
                </w14:textFill>
              </w:rPr>
              <w:t>（</w:t>
            </w:r>
            <w:r>
              <w:rPr>
                <w:rFonts w:hint="eastAsia" w:ascii="宋体" w:hAnsi="宋体" w:cs="宋体"/>
                <w:color w:val="000000" w:themeColor="text1"/>
                <w:sz w:val="18"/>
                <w:szCs w:val="18"/>
                <w:highlight w:val="none"/>
                <w:lang w:val="en-US" w:eastAsia="zh-CN"/>
                <w14:textFill>
                  <w14:solidFill>
                    <w14:schemeClr w14:val="tx1"/>
                  </w14:solidFill>
                </w14:textFill>
              </w:rPr>
              <w:t>0.6</w:t>
            </w:r>
            <w:r>
              <w:rPr>
                <w:rFonts w:hint="eastAsia" w:ascii="宋体" w:hAnsi="宋体" w:cs="宋体"/>
                <w:color w:val="000000" w:themeColor="text1"/>
                <w:sz w:val="18"/>
                <w:szCs w:val="18"/>
                <w:highlight w:val="none"/>
                <w:lang w:eastAsia="zh-CN"/>
                <w14:textFill>
                  <w14:solidFill>
                    <w14:schemeClr w14:val="tx1"/>
                  </w14:solidFill>
                </w14:textFill>
              </w:rPr>
              <w:t>）</w:t>
            </w:r>
          </w:p>
        </w:tc>
        <w:tc>
          <w:tcPr>
            <w:tcW w:w="220" w:type="pct"/>
            <w:tcBorders>
              <w:top w:val="single" w:color="auto" w:sz="4" w:space="0"/>
              <w:left w:val="single" w:color="auto" w:sz="4" w:space="0"/>
              <w:bottom w:val="single" w:color="auto" w:sz="12" w:space="0"/>
              <w:right w:val="single" w:color="auto" w:sz="4" w:space="0"/>
              <w:tl2br w:val="nil"/>
              <w:tr2bl w:val="nil"/>
            </w:tcBorders>
            <w:noWrap w:val="0"/>
            <w:vAlign w:val="center"/>
          </w:tcPr>
          <w:p w14:paraId="63D663E7">
            <w:pPr>
              <w:keepNext w:val="0"/>
              <w:keepLines w:val="0"/>
              <w:pageBreakBefore w:val="0"/>
              <w:suppressLineNumbers w:val="0"/>
              <w:kinsoku/>
              <w:wordWrap/>
              <w:overflowPunct/>
              <w:topLinePunct w:val="0"/>
              <w:autoSpaceDE/>
              <w:autoSpaceDN/>
              <w:bidi w:val="0"/>
              <w:snapToGrid/>
              <w:spacing w:beforeAutospacing="0" w:afterAutospacing="0" w:line="240" w:lineRule="atLeast"/>
              <w:ind w:left="0" w:leftChars="0" w:right="0" w:rightChars="0"/>
              <w:jc w:val="center"/>
              <w:textAlignment w:val="auto"/>
              <w:rPr>
                <w:rFonts w:hint="eastAsia" w:ascii="宋体" w:hAnsi="宋体" w:eastAsia="宋体" w:cs="宋体"/>
                <w:color w:val="000000" w:themeColor="text1"/>
                <w:sz w:val="18"/>
                <w:szCs w:val="18"/>
                <w:highlight w:val="none"/>
                <w:lang w:val="en-US" w:eastAsia="zh-CN"/>
                <w14:textFill>
                  <w14:solidFill>
                    <w14:schemeClr w14:val="tx1"/>
                  </w14:solidFill>
                </w14:textFill>
              </w:rPr>
            </w:pPr>
            <w:r>
              <w:rPr>
                <w:rFonts w:hint="eastAsia" w:ascii="宋体" w:hAnsi="宋体" w:eastAsia="宋体" w:cs="宋体"/>
                <w:color w:val="000000" w:themeColor="text1"/>
                <w:sz w:val="18"/>
                <w:szCs w:val="18"/>
                <w:highlight w:val="none"/>
                <w:lang w:val="en-US" w:eastAsia="zh-CN"/>
                <w14:textFill>
                  <w14:solidFill>
                    <w14:schemeClr w14:val="tx1"/>
                  </w14:solidFill>
                </w14:textFill>
              </w:rPr>
              <w:t>万元</w:t>
            </w:r>
          </w:p>
        </w:tc>
        <w:tc>
          <w:tcPr>
            <w:tcW w:w="1796" w:type="pct"/>
            <w:tcBorders>
              <w:top w:val="single" w:color="auto" w:sz="4" w:space="0"/>
              <w:left w:val="single" w:color="auto" w:sz="4" w:space="0"/>
              <w:bottom w:val="single" w:color="auto" w:sz="12" w:space="0"/>
              <w:right w:val="single" w:color="auto" w:sz="4" w:space="0"/>
              <w:tl2br w:val="nil"/>
              <w:tr2bl w:val="nil"/>
            </w:tcBorders>
            <w:noWrap w:val="0"/>
            <w:vAlign w:val="center"/>
          </w:tcPr>
          <w:p w14:paraId="007A6501">
            <w:pPr>
              <w:keepNext w:val="0"/>
              <w:keepLines w:val="0"/>
              <w:pageBreakBefore w:val="0"/>
              <w:suppressLineNumbers w:val="0"/>
              <w:kinsoku/>
              <w:wordWrap/>
              <w:overflowPunct/>
              <w:topLinePunct w:val="0"/>
              <w:autoSpaceDE/>
              <w:autoSpaceDN/>
              <w:bidi w:val="0"/>
              <w:snapToGrid/>
              <w:spacing w:beforeAutospacing="0" w:afterAutospacing="0" w:line="240" w:lineRule="atLeast"/>
              <w:ind w:left="0" w:leftChars="0" w:right="0" w:rightChars="0"/>
              <w:textAlignment w:val="auto"/>
              <w:rPr>
                <w:rFonts w:hint="eastAsia" w:ascii="宋体" w:hAnsi="宋体" w:cs="宋体"/>
                <w:color w:val="000000" w:themeColor="text1"/>
                <w:sz w:val="18"/>
                <w:szCs w:val="18"/>
                <w:highlight w:val="none"/>
                <w:lang w:val="en-US" w:eastAsia="zh-CN"/>
                <w14:textFill>
                  <w14:solidFill>
                    <w14:schemeClr w14:val="tx1"/>
                  </w14:solidFill>
                </w14:textFill>
              </w:rPr>
            </w:pPr>
            <w:r>
              <w:rPr>
                <w:rFonts w:hint="eastAsia" w:ascii="宋体" w:hAnsi="宋体" w:cs="宋体"/>
                <w:color w:val="000000" w:themeColor="text1"/>
                <w:sz w:val="18"/>
                <w:szCs w:val="18"/>
                <w:highlight w:val="none"/>
                <w:lang w:val="en-US" w:eastAsia="zh-CN"/>
                <w14:textFill>
                  <w14:solidFill>
                    <w14:schemeClr w14:val="tx1"/>
                  </w14:solidFill>
                </w14:textFill>
              </w:rPr>
              <w:t>联合体内工作人员所在的三口之家年收入10-50 万元的家庭数量，占联合体覆盖家庭总数的比例，反映居民收入水平提升的整体成效。（评分标准：占比＜51.6%得60分；51.6%≤占比＜65%得80分；占比≥65%得100分）</w:t>
            </w:r>
          </w:p>
        </w:tc>
        <w:tc>
          <w:tcPr>
            <w:tcW w:w="373" w:type="pct"/>
            <w:tcBorders>
              <w:top w:val="single" w:color="auto" w:sz="4" w:space="0"/>
              <w:left w:val="single" w:color="auto" w:sz="4" w:space="0"/>
              <w:bottom w:val="single" w:color="auto" w:sz="12" w:space="0"/>
              <w:right w:val="single" w:color="auto" w:sz="4" w:space="0"/>
              <w:tl2br w:val="nil"/>
              <w:tr2bl w:val="nil"/>
            </w:tcBorders>
            <w:noWrap w:val="0"/>
            <w:vAlign w:val="center"/>
          </w:tcPr>
          <w:p w14:paraId="175E423E">
            <w:pPr>
              <w:keepNext w:val="0"/>
              <w:keepLines w:val="0"/>
              <w:pageBreakBefore w:val="0"/>
              <w:widowControl w:val="0"/>
              <w:suppressLineNumbers w:val="0"/>
              <w:kinsoku/>
              <w:wordWrap/>
              <w:overflowPunct/>
              <w:topLinePunct w:val="0"/>
              <w:autoSpaceDE/>
              <w:autoSpaceDN/>
              <w:bidi w:val="0"/>
              <w:snapToGrid/>
              <w:spacing w:beforeAutospacing="0" w:afterAutospacing="0" w:line="240" w:lineRule="atLeast"/>
              <w:ind w:left="0" w:leftChars="0" w:right="0" w:rightChars="0"/>
              <w:jc w:val="center"/>
              <w:textAlignment w:val="auto"/>
              <w:rPr>
                <w:rFonts w:hint="eastAsia" w:ascii="宋体" w:hAnsi="宋体" w:cs="宋体"/>
                <w:color w:val="000000" w:themeColor="text1"/>
                <w:sz w:val="18"/>
                <w:szCs w:val="18"/>
                <w:lang w:val="en-US" w:eastAsia="zh-CN"/>
                <w14:textFill>
                  <w14:solidFill>
                    <w14:schemeClr w14:val="tx1"/>
                  </w14:solidFill>
                </w14:textFill>
              </w:rPr>
            </w:pPr>
            <w:r>
              <w:rPr>
                <w:rFonts w:hint="eastAsia" w:ascii="宋体" w:hAnsi="宋体" w:cs="宋体"/>
                <w:color w:val="000000" w:themeColor="text1"/>
                <w:sz w:val="18"/>
                <w:szCs w:val="18"/>
                <w:lang w:val="en-US" w:eastAsia="zh-CN"/>
                <w14:textFill>
                  <w14:solidFill>
                    <w14:schemeClr w14:val="tx1"/>
                  </w14:solidFill>
                </w14:textFill>
              </w:rPr>
              <w:t>（中等收入家庭户数/总家庭户数）×100%</w:t>
            </w:r>
          </w:p>
        </w:tc>
        <w:tc>
          <w:tcPr>
            <w:tcW w:w="373" w:type="pct"/>
            <w:tcBorders>
              <w:top w:val="single" w:color="auto" w:sz="4" w:space="0"/>
              <w:left w:val="single" w:color="auto" w:sz="4" w:space="0"/>
              <w:bottom w:val="single" w:color="auto" w:sz="12" w:space="0"/>
              <w:right w:val="single" w:color="auto" w:sz="4" w:space="0"/>
              <w:tl2br w:val="nil"/>
              <w:tr2bl w:val="nil"/>
            </w:tcBorders>
            <w:noWrap w:val="0"/>
            <w:vAlign w:val="center"/>
          </w:tcPr>
          <w:p w14:paraId="1320AD6F">
            <w:pPr>
              <w:keepNext w:val="0"/>
              <w:keepLines w:val="0"/>
              <w:pageBreakBefore w:val="0"/>
              <w:widowControl w:val="0"/>
              <w:suppressLineNumbers w:val="0"/>
              <w:kinsoku/>
              <w:wordWrap/>
              <w:overflowPunct/>
              <w:topLinePunct w:val="0"/>
              <w:autoSpaceDE/>
              <w:autoSpaceDN/>
              <w:bidi w:val="0"/>
              <w:snapToGrid/>
              <w:spacing w:beforeAutospacing="0" w:afterAutospacing="0" w:line="240" w:lineRule="atLeast"/>
              <w:ind w:left="0" w:leftChars="0" w:right="0" w:rightChars="0"/>
              <w:jc w:val="center"/>
              <w:textAlignment w:val="auto"/>
              <w:rPr>
                <w:rFonts w:hint="eastAsia" w:ascii="宋体" w:hAnsi="宋体" w:cs="宋体"/>
                <w:color w:val="000000" w:themeColor="text1"/>
                <w:sz w:val="18"/>
                <w:szCs w:val="18"/>
                <w:lang w:val="en-US" w:eastAsia="zh-CN"/>
                <w14:textFill>
                  <w14:solidFill>
                    <w14:schemeClr w14:val="tx1"/>
                  </w14:solidFill>
                </w14:textFill>
              </w:rPr>
            </w:pPr>
            <w:r>
              <w:rPr>
                <w:rFonts w:hint="eastAsia" w:ascii="宋体" w:hAnsi="宋体" w:cs="宋体"/>
                <w:color w:val="000000" w:themeColor="text1"/>
                <w:sz w:val="18"/>
                <w:szCs w:val="18"/>
                <w:lang w:val="en-US" w:eastAsia="zh-CN"/>
                <w14:textFill>
                  <w14:solidFill>
                    <w14:schemeClr w14:val="tx1"/>
                  </w14:solidFill>
                </w14:textFill>
              </w:rPr>
              <w:t>创富工作</w:t>
            </w:r>
          </w:p>
          <w:p w14:paraId="79C44B78">
            <w:pPr>
              <w:keepNext w:val="0"/>
              <w:keepLines w:val="0"/>
              <w:pageBreakBefore w:val="0"/>
              <w:widowControl w:val="0"/>
              <w:suppressLineNumbers w:val="0"/>
              <w:kinsoku/>
              <w:wordWrap/>
              <w:overflowPunct/>
              <w:topLinePunct w:val="0"/>
              <w:autoSpaceDE/>
              <w:autoSpaceDN/>
              <w:bidi w:val="0"/>
              <w:snapToGrid/>
              <w:spacing w:beforeAutospacing="0" w:afterAutospacing="0" w:line="240" w:lineRule="atLeast"/>
              <w:ind w:left="0" w:leftChars="0" w:right="0" w:rightChars="0"/>
              <w:jc w:val="center"/>
              <w:textAlignment w:val="auto"/>
              <w:rPr>
                <w:rFonts w:hint="eastAsia" w:ascii="宋体" w:hAnsi="宋体" w:eastAsia="宋体" w:cs="宋体"/>
                <w:color w:val="000000"/>
                <w:sz w:val="18"/>
                <w:szCs w:val="18"/>
                <w:lang w:val="en-US" w:eastAsia="zh-CN"/>
              </w:rPr>
            </w:pPr>
            <w:r>
              <w:rPr>
                <w:rFonts w:hint="eastAsia" w:ascii="宋体" w:hAnsi="宋体" w:cs="宋体"/>
                <w:color w:val="000000" w:themeColor="text1"/>
                <w:sz w:val="18"/>
                <w:szCs w:val="18"/>
                <w:lang w:val="en-US" w:eastAsia="zh-CN"/>
                <w14:textFill>
                  <w14:solidFill>
                    <w14:schemeClr w14:val="tx1"/>
                  </w14:solidFill>
                </w14:textFill>
              </w:rPr>
              <w:t>形成数据</w:t>
            </w:r>
          </w:p>
        </w:tc>
        <w:tc>
          <w:tcPr>
            <w:tcW w:w="354" w:type="pct"/>
            <w:vMerge w:val="continue"/>
            <w:tcBorders>
              <w:left w:val="single" w:color="auto" w:sz="4" w:space="0"/>
              <w:bottom w:val="single" w:color="auto" w:sz="12" w:space="0"/>
              <w:right w:val="single" w:color="auto" w:sz="12" w:space="0"/>
              <w:tl2br w:val="nil"/>
              <w:tr2bl w:val="nil"/>
            </w:tcBorders>
            <w:noWrap w:val="0"/>
            <w:vAlign w:val="center"/>
          </w:tcPr>
          <w:p w14:paraId="5F5B56EB">
            <w:pPr>
              <w:keepNext w:val="0"/>
              <w:keepLines w:val="0"/>
              <w:pageBreakBefore w:val="0"/>
              <w:suppressLineNumbers w:val="0"/>
              <w:kinsoku/>
              <w:wordWrap/>
              <w:overflowPunct/>
              <w:topLinePunct w:val="0"/>
              <w:bidi w:val="0"/>
              <w:adjustRightInd/>
              <w:snapToGrid/>
              <w:spacing w:beforeAutospacing="0" w:afterAutospacing="0" w:line="240" w:lineRule="atLeast"/>
              <w:ind w:left="0" w:right="0"/>
              <w:jc w:val="center"/>
              <w:textAlignment w:val="auto"/>
              <w:rPr>
                <w:rFonts w:hint="eastAsia" w:ascii="宋体" w:hAnsi="宋体" w:cs="宋体"/>
                <w:color w:val="000000"/>
                <w:sz w:val="18"/>
                <w:szCs w:val="18"/>
                <w:highlight w:val="none"/>
                <w:lang w:val="en-US" w:eastAsia="zh-CN"/>
              </w:rPr>
            </w:pPr>
          </w:p>
        </w:tc>
      </w:tr>
    </w:tbl>
    <w:p w14:paraId="61618DA9">
      <w:pPr>
        <w:adjustRightInd w:val="0"/>
        <w:spacing w:before="156" w:beforeLines="50" w:after="156" w:afterLines="50" w:line="240" w:lineRule="auto"/>
        <w:jc w:val="center"/>
        <w:rPr>
          <w:rFonts w:hint="eastAsia" w:ascii="黑体" w:hAnsi="黑体" w:eastAsia="黑体"/>
          <w:szCs w:val="21"/>
        </w:rPr>
      </w:pPr>
      <w:r>
        <w:rPr>
          <w:rFonts w:hint="eastAsia" w:ascii="黑体" w:hAnsi="黑体" w:eastAsia="黑体"/>
          <w:szCs w:val="21"/>
        </w:rPr>
        <w:t xml:space="preserve">  </w:t>
      </w:r>
    </w:p>
    <w:p w14:paraId="0B38940B">
      <w:pPr>
        <w:rPr>
          <w:rFonts w:hint="eastAsia" w:ascii="黑体" w:hAnsi="黑体" w:eastAsia="黑体"/>
          <w:szCs w:val="21"/>
        </w:rPr>
      </w:pPr>
      <w:r>
        <w:rPr>
          <w:rFonts w:hint="eastAsia" w:ascii="黑体" w:hAnsi="黑体" w:eastAsia="黑体"/>
          <w:szCs w:val="21"/>
        </w:rPr>
        <w:br w:type="page"/>
      </w:r>
    </w:p>
    <w:p w14:paraId="658247F5">
      <w:pPr>
        <w:adjustRightInd w:val="0"/>
        <w:spacing w:before="156" w:beforeLines="50" w:after="156" w:afterLines="50" w:line="240" w:lineRule="auto"/>
        <w:jc w:val="center"/>
        <w:rPr>
          <w:rFonts w:hint="eastAsia" w:ascii="宋体" w:hAnsi="宋体" w:eastAsia="宋体" w:cs="宋体"/>
          <w:szCs w:val="21"/>
          <w:lang w:eastAsia="zh-CN"/>
        </w:rPr>
      </w:pPr>
      <w:r>
        <w:rPr>
          <w:rFonts w:hint="eastAsia" w:ascii="黑体" w:hAnsi="黑体" w:eastAsia="黑体"/>
          <w:szCs w:val="21"/>
        </w:rPr>
        <w:t>表1 康养创富联合体统计监测指标体系内容</w:t>
      </w:r>
      <w:r>
        <w:rPr>
          <w:rFonts w:hint="eastAsia" w:ascii="宋体" w:hAnsi="宋体" w:eastAsia="宋体" w:cs="宋体"/>
          <w:szCs w:val="21"/>
          <w:lang w:eastAsia="zh-CN"/>
        </w:rPr>
        <w:t>（</w:t>
      </w:r>
      <w:r>
        <w:rPr>
          <w:rFonts w:hint="eastAsia" w:ascii="宋体" w:hAnsi="宋体" w:eastAsia="宋体" w:cs="宋体"/>
          <w:szCs w:val="21"/>
          <w:lang w:val="en-US" w:eastAsia="zh-CN"/>
        </w:rPr>
        <w:t>续</w:t>
      </w:r>
      <w:r>
        <w:rPr>
          <w:rFonts w:hint="eastAsia" w:ascii="宋体" w:hAnsi="宋体" w:eastAsia="宋体" w:cs="宋体"/>
          <w:szCs w:val="21"/>
          <w:lang w:eastAsia="zh-CN"/>
        </w:rPr>
        <w:t>）</w:t>
      </w:r>
    </w:p>
    <w:tbl>
      <w:tblPr>
        <w:tblStyle w:val="31"/>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1"/>
        <w:gridCol w:w="880"/>
        <w:gridCol w:w="931"/>
        <w:gridCol w:w="1389"/>
        <w:gridCol w:w="1881"/>
        <w:gridCol w:w="663"/>
        <w:gridCol w:w="5413"/>
        <w:gridCol w:w="1124"/>
        <w:gridCol w:w="1124"/>
        <w:gridCol w:w="1067"/>
      </w:tblGrid>
      <w:tr w14:paraId="26A86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196" w:type="pct"/>
            <w:vMerge w:val="restart"/>
            <w:tcBorders>
              <w:top w:val="single" w:color="auto" w:sz="12" w:space="0"/>
              <w:left w:val="single" w:color="auto" w:sz="12" w:space="0"/>
              <w:right w:val="single" w:color="auto" w:sz="4" w:space="0"/>
              <w:tl2br w:val="nil"/>
              <w:tr2bl w:val="nil"/>
            </w:tcBorders>
            <w:noWrap w:val="0"/>
            <w:vAlign w:val="center"/>
          </w:tcPr>
          <w:p w14:paraId="0A37AB6B">
            <w:pPr>
              <w:pStyle w:val="239"/>
              <w:keepNext w:val="0"/>
              <w:keepLines w:val="0"/>
              <w:pageBreakBefore w:val="0"/>
              <w:widowControl/>
              <w:numPr>
                <w:numId w:val="0"/>
              </w:numPr>
              <w:suppressLineNumbers w:val="0"/>
              <w:tabs>
                <w:tab w:val="left" w:pos="0"/>
              </w:tabs>
              <w:kinsoku/>
              <w:wordWrap/>
              <w:overflowPunct/>
              <w:topLinePunct w:val="0"/>
              <w:autoSpaceDE/>
              <w:autoSpaceDN/>
              <w:bidi w:val="0"/>
              <w:snapToGrid/>
              <w:spacing w:before="0" w:beforeLines="0" w:beforeAutospacing="0" w:after="0" w:afterLines="0" w:afterAutospacing="0" w:line="240" w:lineRule="atLeast"/>
              <w:ind w:leftChars="0" w:right="0" w:rightChars="0"/>
              <w:jc w:val="center"/>
              <w:textAlignment w:val="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序号</w:t>
            </w:r>
          </w:p>
        </w:tc>
        <w:tc>
          <w:tcPr>
            <w:tcW w:w="1686" w:type="pct"/>
            <w:gridSpan w:val="4"/>
            <w:tcBorders>
              <w:top w:val="single" w:color="auto" w:sz="12" w:space="0"/>
              <w:left w:val="single" w:color="auto" w:sz="4" w:space="0"/>
              <w:right w:val="single" w:color="auto" w:sz="4" w:space="0"/>
              <w:tl2br w:val="nil"/>
              <w:tr2bl w:val="nil"/>
            </w:tcBorders>
            <w:noWrap w:val="0"/>
            <w:vAlign w:val="center"/>
          </w:tcPr>
          <w:p w14:paraId="0EC2A894">
            <w:pPr>
              <w:keepNext w:val="0"/>
              <w:keepLines w:val="0"/>
              <w:pageBreakBefore w:val="0"/>
              <w:suppressLineNumbers w:val="0"/>
              <w:kinsoku/>
              <w:wordWrap/>
              <w:overflowPunct/>
              <w:topLinePunct w:val="0"/>
              <w:autoSpaceDE/>
              <w:autoSpaceDN/>
              <w:bidi w:val="0"/>
              <w:snapToGrid/>
              <w:spacing w:beforeAutospacing="0" w:afterAutospacing="0" w:line="240" w:lineRule="atLeast"/>
              <w:ind w:left="0" w:leftChars="0" w:right="0" w:rightChars="0"/>
              <w:jc w:val="center"/>
              <w:textAlignment w:val="auto"/>
              <w:rPr>
                <w:rFonts w:hint="default" w:ascii="宋体" w:hAnsi="宋体" w:eastAsia="宋体" w:cs="宋体"/>
                <w:color w:val="000000" w:themeColor="text1"/>
                <w:sz w:val="18"/>
                <w:szCs w:val="18"/>
                <w:highlight w:val="none"/>
                <w:lang w:val="en-US"/>
                <w14:textFill>
                  <w14:solidFill>
                    <w14:schemeClr w14:val="tx1"/>
                  </w14:solidFill>
                </w14:textFill>
              </w:rPr>
            </w:pPr>
            <w:r>
              <w:rPr>
                <w:rFonts w:hint="eastAsia" w:ascii="宋体" w:hAnsi="宋体" w:eastAsia="宋体" w:cs="宋体"/>
                <w:color w:val="000000"/>
                <w:sz w:val="18"/>
                <w:szCs w:val="18"/>
              </w:rPr>
              <w:t>指标名称</w:t>
            </w:r>
          </w:p>
        </w:tc>
        <w:tc>
          <w:tcPr>
            <w:tcW w:w="220" w:type="pct"/>
            <w:vMerge w:val="restart"/>
            <w:tcBorders>
              <w:top w:val="single" w:color="auto" w:sz="12" w:space="0"/>
              <w:left w:val="single" w:color="auto" w:sz="4" w:space="0"/>
              <w:bottom w:val="single" w:color="auto" w:sz="12" w:space="0"/>
              <w:right w:val="single" w:color="auto" w:sz="4" w:space="0"/>
              <w:tl2br w:val="nil"/>
              <w:tr2bl w:val="nil"/>
            </w:tcBorders>
            <w:noWrap w:val="0"/>
            <w:vAlign w:val="center"/>
          </w:tcPr>
          <w:p w14:paraId="74346437">
            <w:pPr>
              <w:pStyle w:val="23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Lines="0" w:beforeAutospacing="0" w:after="0" w:afterLines="0" w:afterAutospacing="0"/>
              <w:ind w:left="0" w:leftChars="0" w:right="0" w:rightChars="0" w:firstLine="0" w:firstLineChars="0"/>
              <w:jc w:val="center"/>
              <w:textAlignment w:val="auto"/>
              <w:rPr>
                <w:rFonts w:hint="eastAsia" w:ascii="宋体" w:hAnsi="宋体" w:eastAsia="宋体" w:cs="宋体"/>
                <w:color w:val="000000" w:themeColor="text1"/>
                <w:sz w:val="18"/>
                <w:szCs w:val="18"/>
                <w:highlight w:val="none"/>
                <w:lang w:val="en-US" w:eastAsia="zh-CN"/>
                <w14:textFill>
                  <w14:solidFill>
                    <w14:schemeClr w14:val="tx1"/>
                  </w14:solidFill>
                </w14:textFill>
              </w:rPr>
            </w:pPr>
            <w:r>
              <w:rPr>
                <w:rFonts w:hint="eastAsia" w:ascii="宋体" w:hAnsi="宋体" w:eastAsia="宋体" w:cs="宋体"/>
                <w:color w:val="000000"/>
                <w:sz w:val="18"/>
                <w:szCs w:val="18"/>
              </w:rPr>
              <w:t>计量单位</w:t>
            </w:r>
          </w:p>
        </w:tc>
        <w:tc>
          <w:tcPr>
            <w:tcW w:w="1796" w:type="pct"/>
            <w:vMerge w:val="restart"/>
            <w:tcBorders>
              <w:top w:val="single" w:color="auto" w:sz="12" w:space="0"/>
              <w:left w:val="single" w:color="auto" w:sz="4" w:space="0"/>
              <w:bottom w:val="single" w:color="auto" w:sz="12" w:space="0"/>
              <w:right w:val="single" w:color="auto" w:sz="4" w:space="0"/>
              <w:tl2br w:val="nil"/>
              <w:tr2bl w:val="nil"/>
            </w:tcBorders>
            <w:noWrap w:val="0"/>
            <w:vAlign w:val="center"/>
          </w:tcPr>
          <w:p w14:paraId="07978001">
            <w:pPr>
              <w:keepNext w:val="0"/>
              <w:keepLines w:val="0"/>
              <w:pageBreakBefore w:val="0"/>
              <w:suppressLineNumbers w:val="0"/>
              <w:kinsoku/>
              <w:wordWrap/>
              <w:overflowPunct/>
              <w:topLinePunct w:val="0"/>
              <w:autoSpaceDE/>
              <w:autoSpaceDN/>
              <w:bidi w:val="0"/>
              <w:snapToGrid/>
              <w:spacing w:beforeAutospacing="0" w:afterAutospacing="0" w:line="240" w:lineRule="atLeast"/>
              <w:ind w:left="0" w:leftChars="0" w:right="0" w:rightChars="0"/>
              <w:jc w:val="center"/>
              <w:textAlignment w:val="auto"/>
              <w:rPr>
                <w:rFonts w:hint="eastAsia" w:ascii="宋体" w:hAnsi="宋体" w:cs="宋体"/>
                <w:color w:val="000000" w:themeColor="text1"/>
                <w:sz w:val="18"/>
                <w:szCs w:val="18"/>
                <w:highlight w:val="none"/>
                <w:lang w:val="en-US" w:eastAsia="zh-CN"/>
                <w14:textFill>
                  <w14:solidFill>
                    <w14:schemeClr w14:val="tx1"/>
                  </w14:solidFill>
                </w14:textFill>
              </w:rPr>
            </w:pPr>
            <w:r>
              <w:rPr>
                <w:rFonts w:hint="eastAsia" w:ascii="宋体" w:hAnsi="宋体" w:eastAsia="宋体" w:cs="宋体"/>
                <w:color w:val="000000"/>
                <w:sz w:val="18"/>
                <w:szCs w:val="18"/>
              </w:rPr>
              <w:t>指</w:t>
            </w:r>
            <w:r>
              <w:rPr>
                <w:rFonts w:hint="eastAsia" w:ascii="宋体" w:hAnsi="宋体" w:eastAsia="宋体" w:cs="宋体"/>
                <w:color w:val="000000"/>
                <w:sz w:val="18"/>
                <w:szCs w:val="18"/>
                <w:lang w:val="en-US" w:eastAsia="zh-CN"/>
              </w:rPr>
              <w:t>标</w:t>
            </w:r>
            <w:r>
              <w:rPr>
                <w:rFonts w:hint="eastAsia" w:ascii="宋体" w:hAnsi="宋体" w:eastAsia="宋体" w:cs="宋体"/>
                <w:color w:val="000000"/>
                <w:sz w:val="18"/>
                <w:szCs w:val="18"/>
              </w:rPr>
              <w:t>释义</w:t>
            </w:r>
          </w:p>
        </w:tc>
        <w:tc>
          <w:tcPr>
            <w:tcW w:w="373" w:type="pct"/>
            <w:vMerge w:val="restart"/>
            <w:tcBorders>
              <w:top w:val="single" w:color="auto" w:sz="12" w:space="0"/>
              <w:left w:val="single" w:color="auto" w:sz="4" w:space="0"/>
              <w:bottom w:val="single" w:color="auto" w:sz="12" w:space="0"/>
              <w:right w:val="single" w:color="auto" w:sz="4" w:space="0"/>
              <w:tl2br w:val="nil"/>
              <w:tr2bl w:val="nil"/>
            </w:tcBorders>
            <w:noWrap w:val="0"/>
            <w:vAlign w:val="center"/>
          </w:tcPr>
          <w:p w14:paraId="3FC31555">
            <w:pPr>
              <w:keepNext w:val="0"/>
              <w:keepLines w:val="0"/>
              <w:pageBreakBefore w:val="0"/>
              <w:suppressLineNumbers w:val="0"/>
              <w:kinsoku/>
              <w:wordWrap/>
              <w:overflowPunct/>
              <w:topLinePunct w:val="0"/>
              <w:autoSpaceDE/>
              <w:autoSpaceDN/>
              <w:bidi w:val="0"/>
              <w:snapToGrid/>
              <w:spacing w:beforeAutospacing="0" w:afterAutospacing="0" w:line="240" w:lineRule="atLeast"/>
              <w:ind w:left="0" w:leftChars="0" w:right="0" w:rightChars="0"/>
              <w:jc w:val="center"/>
              <w:textAlignment w:val="auto"/>
              <w:rPr>
                <w:rFonts w:hint="eastAsia" w:ascii="宋体" w:hAnsi="宋体" w:cs="宋体"/>
                <w:color w:val="000000" w:themeColor="text1"/>
                <w:sz w:val="18"/>
                <w:szCs w:val="18"/>
                <w:lang w:val="en-US" w:eastAsia="zh-CN"/>
                <w14:textFill>
                  <w14:solidFill>
                    <w14:schemeClr w14:val="tx1"/>
                  </w14:solidFill>
                </w14:textFill>
              </w:rPr>
            </w:pPr>
            <w:r>
              <w:rPr>
                <w:rFonts w:hint="eastAsia" w:ascii="宋体" w:hAnsi="宋体" w:cs="宋体"/>
                <w:color w:val="000000"/>
                <w:sz w:val="18"/>
                <w:szCs w:val="18"/>
                <w:lang w:val="en-US" w:eastAsia="zh-CN"/>
              </w:rPr>
              <w:t>计算方式</w:t>
            </w:r>
          </w:p>
        </w:tc>
        <w:tc>
          <w:tcPr>
            <w:tcW w:w="373" w:type="pct"/>
            <w:vMerge w:val="restart"/>
            <w:tcBorders>
              <w:top w:val="single" w:color="auto" w:sz="12" w:space="0"/>
              <w:left w:val="single" w:color="auto" w:sz="4" w:space="0"/>
              <w:bottom w:val="single" w:color="auto" w:sz="12" w:space="0"/>
              <w:right w:val="single" w:color="auto" w:sz="4" w:space="0"/>
              <w:tl2br w:val="nil"/>
              <w:tr2bl w:val="nil"/>
            </w:tcBorders>
            <w:noWrap w:val="0"/>
            <w:vAlign w:val="center"/>
          </w:tcPr>
          <w:p w14:paraId="212490E7">
            <w:pPr>
              <w:keepNext w:val="0"/>
              <w:keepLines w:val="0"/>
              <w:pageBreakBefore w:val="0"/>
              <w:suppressLineNumbers w:val="0"/>
              <w:kinsoku/>
              <w:wordWrap/>
              <w:overflowPunct/>
              <w:topLinePunct w:val="0"/>
              <w:autoSpaceDE/>
              <w:autoSpaceDN/>
              <w:bidi w:val="0"/>
              <w:snapToGrid/>
              <w:spacing w:beforeAutospacing="0" w:afterAutospacing="0" w:line="240" w:lineRule="atLeast"/>
              <w:ind w:left="0" w:leftChars="0" w:right="0" w:rightChars="0"/>
              <w:jc w:val="center"/>
              <w:textAlignment w:val="auto"/>
              <w:rPr>
                <w:rFonts w:hint="eastAsia" w:ascii="宋体" w:hAnsi="宋体" w:cs="宋体"/>
                <w:color w:val="000000" w:themeColor="text1"/>
                <w:sz w:val="18"/>
                <w:szCs w:val="18"/>
                <w:lang w:val="en-US" w:eastAsia="zh-CN"/>
                <w14:textFill>
                  <w14:solidFill>
                    <w14:schemeClr w14:val="tx1"/>
                  </w14:solidFill>
                </w14:textFill>
              </w:rPr>
            </w:pPr>
            <w:r>
              <w:rPr>
                <w:rFonts w:hint="eastAsia" w:ascii="宋体" w:hAnsi="宋体" w:eastAsia="宋体" w:cs="宋体"/>
                <w:color w:val="000000"/>
                <w:sz w:val="18"/>
                <w:szCs w:val="18"/>
              </w:rPr>
              <w:t>数据来源</w:t>
            </w:r>
          </w:p>
        </w:tc>
        <w:tc>
          <w:tcPr>
            <w:tcW w:w="354" w:type="pct"/>
            <w:vMerge w:val="restart"/>
            <w:tcBorders>
              <w:top w:val="single" w:color="auto" w:sz="12" w:space="0"/>
              <w:left w:val="single" w:color="auto" w:sz="4" w:space="0"/>
              <w:bottom w:val="single" w:color="auto" w:sz="12" w:space="0"/>
              <w:right w:val="single" w:color="auto" w:sz="12" w:space="0"/>
              <w:tl2br w:val="nil"/>
              <w:tr2bl w:val="nil"/>
            </w:tcBorders>
            <w:noWrap w:val="0"/>
            <w:vAlign w:val="center"/>
          </w:tcPr>
          <w:p w14:paraId="27AC5D02">
            <w:pPr>
              <w:keepNext w:val="0"/>
              <w:keepLines w:val="0"/>
              <w:pageBreakBefore w:val="0"/>
              <w:widowControl w:val="0"/>
              <w:suppressLineNumbers w:val="0"/>
              <w:kinsoku/>
              <w:wordWrap/>
              <w:overflowPunct/>
              <w:topLinePunct w:val="0"/>
              <w:autoSpaceDE/>
              <w:autoSpaceDN/>
              <w:bidi w:val="0"/>
              <w:adjustRightInd w:val="0"/>
              <w:snapToGrid/>
              <w:spacing w:beforeAutospacing="0" w:afterAutospacing="0" w:line="240" w:lineRule="atLeast"/>
              <w:ind w:left="0" w:leftChars="0" w:right="0" w:rightChars="0"/>
              <w:jc w:val="center"/>
              <w:textAlignment w:val="auto"/>
              <w:rPr>
                <w:rFonts w:hint="default" w:ascii="宋体" w:hAnsi="宋体" w:cs="宋体"/>
                <w:color w:val="000000"/>
                <w:sz w:val="18"/>
                <w:szCs w:val="18"/>
                <w:highlight w:val="none"/>
                <w:lang w:val="en-US" w:eastAsia="zh-CN"/>
              </w:rPr>
            </w:pPr>
            <w:r>
              <w:rPr>
                <w:rFonts w:hint="eastAsia" w:ascii="宋体" w:hAnsi="宋体" w:eastAsia="宋体" w:cs="宋体"/>
                <w:color w:val="000000"/>
                <w:sz w:val="18"/>
                <w:szCs w:val="18"/>
              </w:rPr>
              <w:t>监测频次</w:t>
            </w:r>
          </w:p>
        </w:tc>
      </w:tr>
      <w:tr w14:paraId="28735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trPr>
        <w:tc>
          <w:tcPr>
            <w:tcW w:w="196" w:type="pct"/>
            <w:vMerge w:val="continue"/>
            <w:tcBorders>
              <w:left w:val="single" w:color="auto" w:sz="12" w:space="0"/>
              <w:bottom w:val="single" w:color="auto" w:sz="12" w:space="0"/>
              <w:right w:val="single" w:color="auto" w:sz="4" w:space="0"/>
              <w:tl2br w:val="nil"/>
              <w:tr2bl w:val="nil"/>
            </w:tcBorders>
            <w:noWrap w:val="0"/>
            <w:vAlign w:val="center"/>
          </w:tcPr>
          <w:p w14:paraId="52391B7E">
            <w:pPr>
              <w:pStyle w:val="239"/>
              <w:keepNext w:val="0"/>
              <w:keepLines w:val="0"/>
              <w:pageBreakBefore w:val="0"/>
              <w:widowControl/>
              <w:numPr>
                <w:numId w:val="0"/>
              </w:numPr>
              <w:suppressLineNumbers w:val="0"/>
              <w:tabs>
                <w:tab w:val="left" w:pos="0"/>
              </w:tabs>
              <w:kinsoku/>
              <w:wordWrap/>
              <w:overflowPunct/>
              <w:topLinePunct w:val="0"/>
              <w:autoSpaceDE/>
              <w:autoSpaceDN/>
              <w:bidi w:val="0"/>
              <w:snapToGrid/>
              <w:spacing w:before="0" w:beforeLines="0" w:beforeAutospacing="0" w:after="0" w:afterLines="0" w:afterAutospacing="0" w:line="240" w:lineRule="atLeast"/>
              <w:ind w:leftChars="0" w:right="0" w:rightChars="0"/>
              <w:jc w:val="center"/>
              <w:textAlignment w:val="auto"/>
              <w:rPr>
                <w:rFonts w:hint="eastAsia" w:ascii="宋体" w:hAnsi="宋体" w:eastAsia="宋体" w:cs="宋体"/>
                <w:color w:val="000000"/>
                <w:sz w:val="18"/>
                <w:szCs w:val="18"/>
              </w:rPr>
            </w:pPr>
          </w:p>
        </w:tc>
        <w:tc>
          <w:tcPr>
            <w:tcW w:w="292" w:type="pct"/>
            <w:tcBorders>
              <w:left w:val="single" w:color="auto" w:sz="4" w:space="0"/>
              <w:bottom w:val="single" w:color="auto" w:sz="12" w:space="0"/>
              <w:right w:val="single" w:color="auto" w:sz="4" w:space="0"/>
              <w:tl2br w:val="nil"/>
              <w:tr2bl w:val="nil"/>
            </w:tcBorders>
            <w:noWrap w:val="0"/>
            <w:vAlign w:val="center"/>
          </w:tcPr>
          <w:p w14:paraId="331C7FC5">
            <w:pPr>
              <w:pStyle w:val="23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Lines="0" w:beforeAutospacing="0" w:after="0" w:afterLines="0" w:afterAutospacing="0"/>
              <w:ind w:left="0" w:leftChars="0" w:right="0" w:rightChars="0" w:firstLine="0" w:firstLineChars="0"/>
              <w:jc w:val="center"/>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一级</w:t>
            </w:r>
          </w:p>
          <w:p w14:paraId="67322BF8">
            <w:pPr>
              <w:pStyle w:val="23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Lines="0" w:beforeAutospacing="0" w:after="0" w:afterLines="0" w:afterAutospacing="0"/>
              <w:ind w:left="0" w:leftChars="0" w:right="0" w:rightChars="0" w:firstLine="0" w:firstLineChars="0"/>
              <w:jc w:val="center"/>
              <w:textAlignment w:val="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指标(权重）</w:t>
            </w:r>
          </w:p>
        </w:tc>
        <w:tc>
          <w:tcPr>
            <w:tcW w:w="309" w:type="pct"/>
            <w:tcBorders>
              <w:left w:val="single" w:color="auto" w:sz="4" w:space="0"/>
              <w:bottom w:val="single" w:color="auto" w:sz="12" w:space="0"/>
              <w:right w:val="single" w:color="auto" w:sz="4" w:space="0"/>
              <w:tl2br w:val="nil"/>
              <w:tr2bl w:val="nil"/>
            </w:tcBorders>
            <w:shd w:val="clear" w:color="auto" w:fill="auto"/>
            <w:noWrap w:val="0"/>
            <w:vAlign w:val="center"/>
          </w:tcPr>
          <w:p w14:paraId="44595800">
            <w:pPr>
              <w:pStyle w:val="23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Lines="0" w:beforeAutospacing="0" w:after="0" w:afterLines="0" w:afterAutospacing="0"/>
              <w:ind w:left="0" w:leftChars="0" w:right="0" w:rightChars="0" w:firstLine="0" w:firstLineChars="0"/>
              <w:jc w:val="center"/>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二级</w:t>
            </w:r>
          </w:p>
          <w:p w14:paraId="1F4AB6C2">
            <w:pPr>
              <w:pStyle w:val="23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Lines="0" w:beforeAutospacing="0" w:after="0" w:afterLines="0" w:afterAutospacing="0"/>
              <w:ind w:left="0" w:leftChars="0" w:right="0" w:rightChars="0" w:firstLine="0" w:firstLineChars="0"/>
              <w:jc w:val="center"/>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指标</w:t>
            </w:r>
          </w:p>
          <w:p w14:paraId="5CB3931E">
            <w:pPr>
              <w:pStyle w:val="23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Lines="0" w:beforeAutospacing="0" w:after="0" w:afterLines="0" w:afterAutospacing="0"/>
              <w:ind w:left="0" w:leftChars="0" w:right="0" w:rightChars="0" w:firstLine="0" w:firstLineChars="0"/>
              <w:jc w:val="center"/>
              <w:textAlignment w:val="auto"/>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(权重）</w:t>
            </w:r>
          </w:p>
        </w:tc>
        <w:tc>
          <w:tcPr>
            <w:tcW w:w="461" w:type="pct"/>
            <w:tcBorders>
              <w:left w:val="single" w:color="auto" w:sz="4" w:space="0"/>
              <w:bottom w:val="single" w:color="auto" w:sz="12" w:space="0"/>
              <w:right w:val="single" w:color="auto" w:sz="4" w:space="0"/>
              <w:tl2br w:val="nil"/>
              <w:tr2bl w:val="nil"/>
            </w:tcBorders>
            <w:noWrap w:val="0"/>
            <w:vAlign w:val="center"/>
          </w:tcPr>
          <w:p w14:paraId="1F6F5954">
            <w:pPr>
              <w:pStyle w:val="23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Lines="0" w:beforeAutospacing="0" w:after="0" w:afterLines="0" w:afterAutospacing="0"/>
              <w:ind w:left="0" w:leftChars="0" w:right="0" w:rightChars="0" w:firstLine="0" w:firstLineChars="0"/>
              <w:jc w:val="center"/>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三级指标</w:t>
            </w:r>
          </w:p>
          <w:p w14:paraId="3FE50821">
            <w:pPr>
              <w:pStyle w:val="23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Lines="0" w:beforeAutospacing="0" w:after="0" w:afterLines="0" w:afterAutospacing="0"/>
              <w:ind w:left="0" w:leftChars="0" w:right="0" w:rightChars="0" w:firstLine="0" w:firstLineChars="0"/>
              <w:jc w:val="center"/>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(权重）</w:t>
            </w:r>
          </w:p>
        </w:tc>
        <w:tc>
          <w:tcPr>
            <w:tcW w:w="624" w:type="pct"/>
            <w:tcBorders>
              <w:top w:val="single" w:color="auto" w:sz="4" w:space="0"/>
              <w:left w:val="single" w:color="auto" w:sz="4" w:space="0"/>
              <w:bottom w:val="single" w:color="auto" w:sz="12" w:space="0"/>
              <w:right w:val="single" w:color="auto" w:sz="4" w:space="0"/>
              <w:tl2br w:val="nil"/>
              <w:tr2bl w:val="nil"/>
            </w:tcBorders>
            <w:noWrap w:val="0"/>
            <w:vAlign w:val="center"/>
          </w:tcPr>
          <w:p w14:paraId="4F710646">
            <w:pPr>
              <w:pStyle w:val="23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Lines="0" w:beforeAutospacing="0" w:after="0" w:afterLines="0" w:afterAutospacing="0"/>
              <w:ind w:left="0" w:leftChars="0" w:right="0" w:rightChars="0" w:firstLine="0" w:firstLineChars="0"/>
              <w:jc w:val="center"/>
              <w:textAlignment w:val="auto"/>
              <w:rPr>
                <w:rFonts w:hint="default" w:ascii="宋体" w:hAnsi="宋体" w:eastAsia="宋体" w:cs="宋体"/>
                <w:color w:val="000000"/>
                <w:sz w:val="18"/>
                <w:szCs w:val="18"/>
                <w:lang w:val="en-US"/>
              </w:rPr>
            </w:pPr>
            <w:r>
              <w:rPr>
                <w:rFonts w:hint="eastAsia" w:ascii="宋体" w:hAnsi="宋体" w:eastAsia="宋体" w:cs="宋体"/>
                <w:color w:val="000000"/>
                <w:sz w:val="18"/>
                <w:szCs w:val="18"/>
              </w:rPr>
              <w:t>四级指标(权重）</w:t>
            </w:r>
          </w:p>
        </w:tc>
        <w:tc>
          <w:tcPr>
            <w:tcW w:w="220" w:type="pct"/>
            <w:vMerge w:val="continue"/>
            <w:tcBorders>
              <w:top w:val="single" w:color="auto" w:sz="12" w:space="0"/>
              <w:left w:val="single" w:color="auto" w:sz="4" w:space="0"/>
              <w:bottom w:val="single" w:color="auto" w:sz="12" w:space="0"/>
              <w:right w:val="single" w:color="auto" w:sz="4" w:space="0"/>
              <w:tl2br w:val="nil"/>
              <w:tr2bl w:val="nil"/>
            </w:tcBorders>
            <w:noWrap w:val="0"/>
            <w:vAlign w:val="center"/>
          </w:tcPr>
          <w:p w14:paraId="08E83834">
            <w:pPr>
              <w:keepNext w:val="0"/>
              <w:keepLines w:val="0"/>
              <w:pageBreakBefore w:val="0"/>
              <w:suppressLineNumbers w:val="0"/>
              <w:kinsoku/>
              <w:wordWrap/>
              <w:overflowPunct/>
              <w:topLinePunct w:val="0"/>
              <w:autoSpaceDE/>
              <w:autoSpaceDN/>
              <w:bidi w:val="0"/>
              <w:snapToGrid/>
              <w:spacing w:beforeAutospacing="0" w:afterAutospacing="0" w:line="240" w:lineRule="atLeast"/>
              <w:ind w:left="0" w:leftChars="0" w:right="0" w:rightChars="0"/>
              <w:jc w:val="center"/>
              <w:textAlignment w:val="auto"/>
              <w:rPr>
                <w:rFonts w:hint="eastAsia" w:ascii="宋体" w:hAnsi="宋体" w:eastAsia="宋体" w:cs="宋体"/>
                <w:color w:val="000000" w:themeColor="text1"/>
                <w:sz w:val="18"/>
                <w:szCs w:val="18"/>
                <w:highlight w:val="none"/>
                <w:lang w:val="en-US" w:eastAsia="zh-CN"/>
                <w14:textFill>
                  <w14:solidFill>
                    <w14:schemeClr w14:val="tx1"/>
                  </w14:solidFill>
                </w14:textFill>
              </w:rPr>
            </w:pPr>
          </w:p>
        </w:tc>
        <w:tc>
          <w:tcPr>
            <w:tcW w:w="1796" w:type="pct"/>
            <w:vMerge w:val="continue"/>
            <w:tcBorders>
              <w:top w:val="single" w:color="auto" w:sz="12" w:space="0"/>
              <w:left w:val="single" w:color="auto" w:sz="4" w:space="0"/>
              <w:bottom w:val="single" w:color="auto" w:sz="12" w:space="0"/>
              <w:right w:val="single" w:color="auto" w:sz="4" w:space="0"/>
              <w:tl2br w:val="nil"/>
              <w:tr2bl w:val="nil"/>
            </w:tcBorders>
            <w:noWrap w:val="0"/>
            <w:vAlign w:val="center"/>
          </w:tcPr>
          <w:p w14:paraId="29F3AAC3">
            <w:pPr>
              <w:keepNext w:val="0"/>
              <w:keepLines w:val="0"/>
              <w:pageBreakBefore w:val="0"/>
              <w:suppressLineNumbers w:val="0"/>
              <w:kinsoku/>
              <w:wordWrap/>
              <w:overflowPunct/>
              <w:topLinePunct w:val="0"/>
              <w:autoSpaceDE/>
              <w:autoSpaceDN/>
              <w:bidi w:val="0"/>
              <w:snapToGrid/>
              <w:spacing w:beforeAutospacing="0" w:afterAutospacing="0" w:line="240" w:lineRule="atLeast"/>
              <w:ind w:left="0" w:leftChars="0" w:right="0" w:rightChars="0"/>
              <w:textAlignment w:val="auto"/>
              <w:rPr>
                <w:rFonts w:hint="eastAsia" w:ascii="宋体" w:hAnsi="宋体" w:cs="宋体"/>
                <w:color w:val="000000" w:themeColor="text1"/>
                <w:sz w:val="18"/>
                <w:szCs w:val="18"/>
                <w:highlight w:val="none"/>
                <w:lang w:val="en-US" w:eastAsia="zh-CN"/>
                <w14:textFill>
                  <w14:solidFill>
                    <w14:schemeClr w14:val="tx1"/>
                  </w14:solidFill>
                </w14:textFill>
              </w:rPr>
            </w:pPr>
          </w:p>
        </w:tc>
        <w:tc>
          <w:tcPr>
            <w:tcW w:w="373" w:type="pct"/>
            <w:vMerge w:val="continue"/>
            <w:tcBorders>
              <w:top w:val="single" w:color="auto" w:sz="12" w:space="0"/>
              <w:left w:val="single" w:color="auto" w:sz="4" w:space="0"/>
              <w:bottom w:val="single" w:color="auto" w:sz="12" w:space="0"/>
              <w:right w:val="single" w:color="auto" w:sz="4" w:space="0"/>
              <w:tl2br w:val="nil"/>
              <w:tr2bl w:val="nil"/>
            </w:tcBorders>
            <w:noWrap w:val="0"/>
            <w:vAlign w:val="center"/>
          </w:tcPr>
          <w:p w14:paraId="7D18A69E">
            <w:pPr>
              <w:keepNext w:val="0"/>
              <w:keepLines w:val="0"/>
              <w:pageBreakBefore w:val="0"/>
              <w:widowControl w:val="0"/>
              <w:suppressLineNumbers w:val="0"/>
              <w:kinsoku/>
              <w:wordWrap/>
              <w:overflowPunct/>
              <w:topLinePunct w:val="0"/>
              <w:autoSpaceDE/>
              <w:autoSpaceDN/>
              <w:bidi w:val="0"/>
              <w:snapToGrid/>
              <w:spacing w:beforeAutospacing="0" w:afterAutospacing="0" w:line="240" w:lineRule="atLeast"/>
              <w:ind w:left="0" w:leftChars="0" w:right="0" w:rightChars="0"/>
              <w:jc w:val="center"/>
              <w:textAlignment w:val="auto"/>
              <w:rPr>
                <w:rFonts w:hint="eastAsia" w:ascii="宋体" w:hAnsi="宋体" w:cs="宋体"/>
                <w:color w:val="000000" w:themeColor="text1"/>
                <w:sz w:val="18"/>
                <w:szCs w:val="18"/>
                <w:lang w:val="en-US" w:eastAsia="zh-CN"/>
                <w14:textFill>
                  <w14:solidFill>
                    <w14:schemeClr w14:val="tx1"/>
                  </w14:solidFill>
                </w14:textFill>
              </w:rPr>
            </w:pPr>
          </w:p>
        </w:tc>
        <w:tc>
          <w:tcPr>
            <w:tcW w:w="373" w:type="pct"/>
            <w:vMerge w:val="continue"/>
            <w:tcBorders>
              <w:top w:val="single" w:color="auto" w:sz="12" w:space="0"/>
              <w:left w:val="single" w:color="auto" w:sz="4" w:space="0"/>
              <w:bottom w:val="single" w:color="auto" w:sz="12" w:space="0"/>
              <w:right w:val="single" w:color="auto" w:sz="4" w:space="0"/>
              <w:tl2br w:val="nil"/>
              <w:tr2bl w:val="nil"/>
            </w:tcBorders>
            <w:noWrap w:val="0"/>
            <w:vAlign w:val="center"/>
          </w:tcPr>
          <w:p w14:paraId="15DA691C">
            <w:pPr>
              <w:keepNext w:val="0"/>
              <w:keepLines w:val="0"/>
              <w:pageBreakBefore w:val="0"/>
              <w:widowControl w:val="0"/>
              <w:suppressLineNumbers w:val="0"/>
              <w:kinsoku/>
              <w:wordWrap/>
              <w:overflowPunct/>
              <w:topLinePunct w:val="0"/>
              <w:autoSpaceDE/>
              <w:autoSpaceDN/>
              <w:bidi w:val="0"/>
              <w:snapToGrid/>
              <w:spacing w:beforeAutospacing="0" w:afterAutospacing="0" w:line="240" w:lineRule="atLeast"/>
              <w:ind w:left="0" w:leftChars="0" w:right="0" w:rightChars="0"/>
              <w:jc w:val="center"/>
              <w:textAlignment w:val="auto"/>
              <w:rPr>
                <w:rFonts w:hint="eastAsia" w:ascii="宋体" w:hAnsi="宋体" w:cs="宋体"/>
                <w:color w:val="000000" w:themeColor="text1"/>
                <w:sz w:val="18"/>
                <w:szCs w:val="18"/>
                <w:lang w:val="en-US" w:eastAsia="zh-CN"/>
                <w14:textFill>
                  <w14:solidFill>
                    <w14:schemeClr w14:val="tx1"/>
                  </w14:solidFill>
                </w14:textFill>
              </w:rPr>
            </w:pPr>
          </w:p>
        </w:tc>
        <w:tc>
          <w:tcPr>
            <w:tcW w:w="354" w:type="pct"/>
            <w:vMerge w:val="continue"/>
            <w:tcBorders>
              <w:top w:val="single" w:color="auto" w:sz="12" w:space="0"/>
              <w:left w:val="single" w:color="auto" w:sz="4" w:space="0"/>
              <w:bottom w:val="single" w:color="auto" w:sz="12" w:space="0"/>
              <w:right w:val="single" w:color="auto" w:sz="12" w:space="0"/>
              <w:tl2br w:val="nil"/>
              <w:tr2bl w:val="nil"/>
            </w:tcBorders>
            <w:noWrap w:val="0"/>
            <w:vAlign w:val="center"/>
          </w:tcPr>
          <w:p w14:paraId="00359449">
            <w:pPr>
              <w:keepNext w:val="0"/>
              <w:keepLines w:val="0"/>
              <w:pageBreakBefore w:val="0"/>
              <w:suppressLineNumbers w:val="0"/>
              <w:kinsoku/>
              <w:wordWrap/>
              <w:overflowPunct/>
              <w:topLinePunct w:val="0"/>
              <w:autoSpaceDE/>
              <w:autoSpaceDN/>
              <w:bidi w:val="0"/>
              <w:adjustRightInd/>
              <w:snapToGrid/>
              <w:spacing w:beforeAutospacing="0" w:afterAutospacing="0" w:line="240" w:lineRule="atLeast"/>
              <w:ind w:left="0" w:right="0"/>
              <w:jc w:val="center"/>
              <w:textAlignment w:val="auto"/>
              <w:rPr>
                <w:rFonts w:hint="default" w:ascii="宋体" w:hAnsi="宋体" w:cs="宋体"/>
                <w:color w:val="000000"/>
                <w:sz w:val="18"/>
                <w:szCs w:val="18"/>
                <w:highlight w:val="none"/>
                <w:lang w:val="en-US" w:eastAsia="zh-CN"/>
              </w:rPr>
            </w:pPr>
          </w:p>
        </w:tc>
      </w:tr>
      <w:tr w14:paraId="782C1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trPr>
        <w:tc>
          <w:tcPr>
            <w:tcW w:w="196" w:type="pct"/>
            <w:tcBorders>
              <w:top w:val="single" w:color="auto" w:sz="12" w:space="0"/>
              <w:left w:val="single" w:color="auto" w:sz="12" w:space="0"/>
              <w:bottom w:val="single" w:color="auto" w:sz="4" w:space="0"/>
              <w:right w:val="single" w:color="auto" w:sz="4" w:space="0"/>
              <w:tl2br w:val="nil"/>
              <w:tr2bl w:val="nil"/>
            </w:tcBorders>
            <w:noWrap w:val="0"/>
            <w:vAlign w:val="center"/>
          </w:tcPr>
          <w:p w14:paraId="5964463D">
            <w:pPr>
              <w:pStyle w:val="239"/>
              <w:keepNext w:val="0"/>
              <w:keepLines w:val="0"/>
              <w:pageBreakBefore w:val="0"/>
              <w:widowControl/>
              <w:numPr>
                <w:ilvl w:val="0"/>
                <w:numId w:val="35"/>
              </w:numPr>
              <w:suppressLineNumbers w:val="0"/>
              <w:kinsoku/>
              <w:wordWrap/>
              <w:overflowPunct/>
              <w:topLinePunct w:val="0"/>
              <w:autoSpaceDE/>
              <w:autoSpaceDN/>
              <w:bidi w:val="0"/>
              <w:snapToGrid/>
              <w:spacing w:before="0" w:beforeLines="0" w:beforeAutospacing="0" w:after="0" w:afterLines="0" w:afterAutospacing="0" w:line="240" w:lineRule="atLeast"/>
              <w:ind w:right="0"/>
              <w:jc w:val="center"/>
              <w:textAlignment w:val="auto"/>
              <w:rPr>
                <w:rFonts w:hint="eastAsia" w:ascii="宋体" w:hAnsi="宋体" w:eastAsia="宋体" w:cs="宋体"/>
                <w:color w:val="000000"/>
                <w:sz w:val="18"/>
                <w:szCs w:val="18"/>
              </w:rPr>
            </w:pPr>
          </w:p>
        </w:tc>
        <w:tc>
          <w:tcPr>
            <w:tcW w:w="292" w:type="pct"/>
            <w:vMerge w:val="restart"/>
            <w:tcBorders>
              <w:top w:val="single" w:color="auto" w:sz="12" w:space="0"/>
              <w:left w:val="single" w:color="auto" w:sz="4" w:space="0"/>
              <w:right w:val="single" w:color="auto" w:sz="4" w:space="0"/>
              <w:tl2br w:val="nil"/>
              <w:tr2bl w:val="nil"/>
            </w:tcBorders>
            <w:noWrap w:val="0"/>
            <w:vAlign w:val="center"/>
          </w:tcPr>
          <w:p w14:paraId="5573B1FB">
            <w:pPr>
              <w:pStyle w:val="239"/>
              <w:keepNext w:val="0"/>
              <w:keepLines w:val="0"/>
              <w:pageBreakBefore w:val="0"/>
              <w:widowControl/>
              <w:numPr>
                <w:ilvl w:val="0"/>
                <w:numId w:val="0"/>
              </w:numPr>
              <w:suppressLineNumbers w:val="0"/>
              <w:kinsoku/>
              <w:wordWrap/>
              <w:overflowPunct/>
              <w:topLinePunct w:val="0"/>
              <w:autoSpaceDE/>
              <w:autoSpaceDN/>
              <w:bidi w:val="0"/>
              <w:snapToGrid/>
              <w:spacing w:before="0" w:beforeLines="0" w:beforeAutospacing="0" w:after="0" w:afterLines="0" w:afterAutospacing="0" w:line="240" w:lineRule="atLeast"/>
              <w:ind w:left="0" w:right="0"/>
              <w:jc w:val="center"/>
              <w:textAlignment w:val="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共富(0.6)</w:t>
            </w:r>
          </w:p>
        </w:tc>
        <w:tc>
          <w:tcPr>
            <w:tcW w:w="309" w:type="pct"/>
            <w:tcBorders>
              <w:top w:val="single" w:color="auto" w:sz="12" w:space="0"/>
              <w:left w:val="single" w:color="auto" w:sz="4" w:space="0"/>
              <w:right w:val="single" w:color="auto" w:sz="4" w:space="0"/>
              <w:tl2br w:val="nil"/>
              <w:tr2bl w:val="nil"/>
            </w:tcBorders>
            <w:shd w:val="clear" w:color="auto" w:fill="auto"/>
            <w:noWrap w:val="0"/>
            <w:vAlign w:val="center"/>
          </w:tcPr>
          <w:p w14:paraId="5889FC08">
            <w:pPr>
              <w:pStyle w:val="239"/>
              <w:keepNext w:val="0"/>
              <w:keepLines w:val="0"/>
              <w:pageBreakBefore w:val="0"/>
              <w:widowControl/>
              <w:numPr>
                <w:ilvl w:val="0"/>
                <w:numId w:val="0"/>
              </w:numPr>
              <w:suppressLineNumbers w:val="0"/>
              <w:kinsoku/>
              <w:wordWrap/>
              <w:overflowPunct/>
              <w:topLinePunct w:val="0"/>
              <w:autoSpaceDE/>
              <w:autoSpaceDN/>
              <w:bidi w:val="0"/>
              <w:snapToGrid/>
              <w:spacing w:before="0" w:beforeLines="0" w:beforeAutospacing="0" w:after="0" w:afterLines="0" w:afterAutospacing="0" w:line="240" w:lineRule="atLeast"/>
              <w:ind w:left="0" w:right="0"/>
              <w:jc w:val="center"/>
              <w:textAlignment w:val="auto"/>
              <w:rPr>
                <w:rFonts w:hint="default" w:ascii="宋体" w:hAnsi="宋体" w:eastAsia="宋体" w:cs="宋体"/>
                <w:color w:val="000000"/>
                <w:sz w:val="18"/>
                <w:szCs w:val="18"/>
                <w:lang w:val="en-US" w:eastAsia="zh-CN"/>
              </w:rPr>
            </w:pPr>
            <w:r>
              <w:rPr>
                <w:rFonts w:hint="default" w:ascii="宋体" w:hAnsi="宋体" w:eastAsia="宋体" w:cs="宋体"/>
                <w:color w:val="000000"/>
                <w:sz w:val="18"/>
                <w:szCs w:val="18"/>
                <w:lang w:val="en-US" w:eastAsia="zh-CN"/>
              </w:rPr>
              <w:t>物质</w:t>
            </w:r>
          </w:p>
          <w:p w14:paraId="6B19C76D">
            <w:pPr>
              <w:pStyle w:val="239"/>
              <w:keepNext w:val="0"/>
              <w:keepLines w:val="0"/>
              <w:pageBreakBefore w:val="0"/>
              <w:widowControl/>
              <w:numPr>
                <w:ilvl w:val="0"/>
                <w:numId w:val="0"/>
              </w:numPr>
              <w:suppressLineNumbers w:val="0"/>
              <w:kinsoku/>
              <w:wordWrap/>
              <w:overflowPunct/>
              <w:topLinePunct w:val="0"/>
              <w:autoSpaceDE/>
              <w:autoSpaceDN/>
              <w:bidi w:val="0"/>
              <w:snapToGrid/>
              <w:spacing w:before="0" w:beforeLines="0" w:beforeAutospacing="0" w:after="0" w:afterLines="0" w:afterAutospacing="0" w:line="240" w:lineRule="atLeast"/>
              <w:ind w:left="0" w:right="0"/>
              <w:jc w:val="center"/>
              <w:textAlignment w:val="auto"/>
              <w:rPr>
                <w:rFonts w:hint="default" w:ascii="宋体" w:hAnsi="宋体" w:eastAsia="宋体" w:cs="宋体"/>
                <w:color w:val="000000"/>
                <w:sz w:val="18"/>
                <w:szCs w:val="18"/>
                <w:lang w:val="en-US" w:eastAsia="zh-CN"/>
              </w:rPr>
            </w:pPr>
            <w:r>
              <w:rPr>
                <w:rFonts w:hint="default" w:ascii="宋体" w:hAnsi="宋体" w:eastAsia="宋体" w:cs="宋体"/>
                <w:color w:val="000000"/>
                <w:sz w:val="18"/>
                <w:szCs w:val="18"/>
                <w:lang w:val="en-US" w:eastAsia="zh-CN"/>
              </w:rPr>
              <w:t>富裕（0.4）</w:t>
            </w:r>
          </w:p>
        </w:tc>
        <w:tc>
          <w:tcPr>
            <w:tcW w:w="461" w:type="pct"/>
            <w:tcBorders>
              <w:top w:val="single" w:color="auto" w:sz="12" w:space="0"/>
              <w:left w:val="single" w:color="auto" w:sz="4" w:space="0"/>
              <w:right w:val="single" w:color="auto" w:sz="4" w:space="0"/>
              <w:tl2br w:val="nil"/>
              <w:tr2bl w:val="nil"/>
            </w:tcBorders>
            <w:noWrap w:val="0"/>
            <w:vAlign w:val="center"/>
          </w:tcPr>
          <w:p w14:paraId="53E737DC">
            <w:pPr>
              <w:pStyle w:val="239"/>
              <w:keepNext w:val="0"/>
              <w:keepLines w:val="0"/>
              <w:pageBreakBefore w:val="0"/>
              <w:widowControl/>
              <w:numPr>
                <w:ilvl w:val="0"/>
                <w:numId w:val="0"/>
              </w:numPr>
              <w:suppressLineNumbers w:val="0"/>
              <w:kinsoku/>
              <w:wordWrap/>
              <w:overflowPunct/>
              <w:topLinePunct w:val="0"/>
              <w:autoSpaceDE/>
              <w:autoSpaceDN/>
              <w:bidi w:val="0"/>
              <w:snapToGrid/>
              <w:spacing w:before="0" w:beforeLines="0" w:beforeAutospacing="0" w:after="0" w:afterLines="0" w:afterAutospacing="0" w:line="240" w:lineRule="atLeast"/>
              <w:ind w:left="0" w:leftChars="0" w:right="0" w:rightChars="0" w:firstLine="0" w:firstLineChars="0"/>
              <w:jc w:val="center"/>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收入</w:t>
            </w:r>
            <w:r>
              <w:rPr>
                <w:rFonts w:hint="eastAsia" w:ascii="宋体" w:hAnsi="宋体" w:eastAsia="宋体" w:cs="宋体"/>
                <w:color w:val="000000"/>
                <w:sz w:val="18"/>
                <w:szCs w:val="18"/>
                <w:lang w:val="en-US" w:eastAsia="zh-CN"/>
              </w:rPr>
              <w:t>水平提升</w:t>
            </w:r>
            <w:r>
              <w:rPr>
                <w:rFonts w:hint="eastAsia" w:ascii="宋体" w:hAnsi="宋体" w:eastAsia="宋体" w:cs="宋体"/>
                <w:color w:val="000000"/>
                <w:sz w:val="18"/>
                <w:szCs w:val="18"/>
              </w:rPr>
              <w:t>（0.</w:t>
            </w:r>
            <w:r>
              <w:rPr>
                <w:rFonts w:hint="eastAsia" w:ascii="宋体" w:hAnsi="宋体" w:eastAsia="宋体" w:cs="宋体"/>
                <w:color w:val="000000"/>
                <w:sz w:val="18"/>
                <w:szCs w:val="18"/>
                <w:lang w:val="en-US" w:eastAsia="zh-CN"/>
              </w:rPr>
              <w:t>6</w:t>
            </w:r>
            <w:r>
              <w:rPr>
                <w:rFonts w:hint="eastAsia" w:ascii="宋体" w:hAnsi="宋体" w:eastAsia="宋体" w:cs="宋体"/>
                <w:color w:val="000000"/>
                <w:sz w:val="18"/>
                <w:szCs w:val="18"/>
              </w:rPr>
              <w:t>）</w:t>
            </w:r>
          </w:p>
        </w:tc>
        <w:tc>
          <w:tcPr>
            <w:tcW w:w="624" w:type="pct"/>
            <w:tcBorders>
              <w:top w:val="single" w:color="auto" w:sz="12" w:space="0"/>
              <w:left w:val="single" w:color="auto" w:sz="4" w:space="0"/>
              <w:right w:val="single" w:color="auto" w:sz="4" w:space="0"/>
              <w:tl2br w:val="nil"/>
              <w:tr2bl w:val="nil"/>
            </w:tcBorders>
            <w:noWrap w:val="0"/>
            <w:vAlign w:val="center"/>
          </w:tcPr>
          <w:p w14:paraId="719629D5">
            <w:pPr>
              <w:keepNext w:val="0"/>
              <w:keepLines w:val="0"/>
              <w:pageBreakBefore w:val="0"/>
              <w:suppressLineNumbers w:val="0"/>
              <w:kinsoku/>
              <w:wordWrap/>
              <w:overflowPunct/>
              <w:topLinePunct w:val="0"/>
              <w:autoSpaceDE/>
              <w:autoSpaceDN/>
              <w:bidi w:val="0"/>
              <w:snapToGrid/>
              <w:spacing w:beforeAutospacing="0" w:afterAutospacing="0" w:line="240" w:lineRule="atLeast"/>
              <w:ind w:left="0" w:leftChars="0" w:right="0" w:rightChars="0"/>
              <w:textAlignment w:val="auto"/>
              <w:rPr>
                <w:rFonts w:hint="eastAsia" w:ascii="宋体" w:hAnsi="宋体" w:eastAsia="宋体" w:cs="宋体"/>
                <w:color w:val="000000" w:themeColor="text1"/>
                <w:sz w:val="18"/>
                <w:szCs w:val="18"/>
                <w:highlight w:val="none"/>
                <w:lang w:val="en-US" w:eastAsia="zh-CN"/>
                <w14:textFill>
                  <w14:solidFill>
                    <w14:schemeClr w14:val="tx1"/>
                  </w14:solidFill>
                </w14:textFill>
              </w:rPr>
            </w:pPr>
            <w:r>
              <w:rPr>
                <w:rFonts w:hint="default" w:ascii="宋体" w:hAnsi="宋体" w:eastAsia="宋体" w:cs="宋体"/>
                <w:color w:val="000000" w:themeColor="text1"/>
                <w:sz w:val="18"/>
                <w:szCs w:val="18"/>
                <w:highlight w:val="none"/>
                <w:lang w:val="en-US"/>
                <w14:textFill>
                  <w14:solidFill>
                    <w14:schemeClr w14:val="tx1"/>
                  </w14:solidFill>
                </w14:textFill>
              </w:rPr>
              <w:t>居民人均可支配收</w:t>
            </w:r>
            <w:r>
              <w:rPr>
                <w:rFonts w:hint="default" w:ascii="宋体" w:hAnsi="宋体" w:eastAsia="宋体" w:cs="宋体"/>
                <w:color w:val="000000" w:themeColor="text1"/>
                <w:sz w:val="18"/>
                <w:szCs w:val="18"/>
                <w:highlight w:val="none"/>
                <w:lang w:val="en-US"/>
                <w14:textFill>
                  <w14:solidFill>
                    <w14:schemeClr w14:val="tx1"/>
                  </w14:solidFill>
                </w14:textFill>
              </w:rPr>
              <w:t>入</w:t>
            </w:r>
            <w:r>
              <w:rPr>
                <w:rFonts w:hint="eastAsia" w:ascii="宋体" w:hAnsi="宋体" w:cs="宋体"/>
                <w:color w:val="000000" w:themeColor="text1"/>
                <w:sz w:val="18"/>
                <w:szCs w:val="18"/>
                <w:highlight w:val="none"/>
                <w:lang w:val="en-US" w:eastAsia="zh-CN"/>
                <w14:textFill>
                  <w14:solidFill>
                    <w14:schemeClr w14:val="tx1"/>
                  </w14:solidFill>
                </w14:textFill>
              </w:rPr>
              <w:t>（0.4）</w:t>
            </w:r>
          </w:p>
        </w:tc>
        <w:tc>
          <w:tcPr>
            <w:tcW w:w="220" w:type="pct"/>
            <w:tcBorders>
              <w:top w:val="single" w:color="auto" w:sz="12" w:space="0"/>
              <w:left w:val="single" w:color="auto" w:sz="4" w:space="0"/>
              <w:right w:val="single" w:color="auto" w:sz="4" w:space="0"/>
              <w:tl2br w:val="nil"/>
              <w:tr2bl w:val="nil"/>
            </w:tcBorders>
            <w:noWrap w:val="0"/>
            <w:vAlign w:val="center"/>
          </w:tcPr>
          <w:p w14:paraId="76232E56">
            <w:pPr>
              <w:keepNext w:val="0"/>
              <w:keepLines w:val="0"/>
              <w:pageBreakBefore w:val="0"/>
              <w:suppressLineNumbers w:val="0"/>
              <w:kinsoku/>
              <w:wordWrap/>
              <w:overflowPunct/>
              <w:topLinePunct w:val="0"/>
              <w:autoSpaceDE/>
              <w:autoSpaceDN/>
              <w:bidi w:val="0"/>
              <w:snapToGrid/>
              <w:spacing w:beforeAutospacing="0" w:afterAutospacing="0" w:line="240" w:lineRule="atLeast"/>
              <w:ind w:left="0" w:leftChars="0" w:right="0" w:rightChars="0"/>
              <w:jc w:val="center"/>
              <w:textAlignment w:val="auto"/>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lang w:val="en-US" w:eastAsia="zh-CN"/>
                <w14:textFill>
                  <w14:solidFill>
                    <w14:schemeClr w14:val="tx1"/>
                  </w14:solidFill>
                </w14:textFill>
              </w:rPr>
              <w:t>万元</w:t>
            </w:r>
          </w:p>
        </w:tc>
        <w:tc>
          <w:tcPr>
            <w:tcW w:w="1796" w:type="pct"/>
            <w:tcBorders>
              <w:top w:val="single" w:color="auto" w:sz="12" w:space="0"/>
              <w:left w:val="single" w:color="auto" w:sz="4" w:space="0"/>
              <w:right w:val="single" w:color="auto" w:sz="4" w:space="0"/>
              <w:tl2br w:val="nil"/>
              <w:tr2bl w:val="nil"/>
            </w:tcBorders>
            <w:noWrap w:val="0"/>
            <w:vAlign w:val="center"/>
          </w:tcPr>
          <w:p w14:paraId="5B3BDD8B">
            <w:pPr>
              <w:keepNext w:val="0"/>
              <w:keepLines w:val="0"/>
              <w:pageBreakBefore w:val="0"/>
              <w:suppressLineNumbers w:val="0"/>
              <w:kinsoku/>
              <w:wordWrap/>
              <w:overflowPunct/>
              <w:topLinePunct w:val="0"/>
              <w:autoSpaceDE/>
              <w:autoSpaceDN/>
              <w:bidi w:val="0"/>
              <w:snapToGrid/>
              <w:spacing w:beforeAutospacing="0" w:afterAutospacing="0" w:line="240" w:lineRule="atLeast"/>
              <w:ind w:left="0" w:leftChars="0" w:right="0" w:rightChars="0"/>
              <w:textAlignment w:val="auto"/>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cs="宋体"/>
                <w:color w:val="000000" w:themeColor="text1"/>
                <w:sz w:val="18"/>
                <w:szCs w:val="18"/>
                <w:highlight w:val="none"/>
                <w:lang w:val="en-US" w:eastAsia="zh-CN"/>
                <w14:textFill>
                  <w14:solidFill>
                    <w14:schemeClr w14:val="tx1"/>
                  </w14:solidFill>
                </w14:textFill>
              </w:rPr>
              <w:t>联合体内居民可支配收入总额除以常住人口数后的平均值，衡量居民收入水平、反映生活质量和购买力的核心经济指标（评分标准： 收入＜4.18万元得60分；4.18万元≤收入＜5万元得80分；收入≥5万元得100分）</w:t>
            </w:r>
          </w:p>
        </w:tc>
        <w:tc>
          <w:tcPr>
            <w:tcW w:w="373" w:type="pct"/>
            <w:tcBorders>
              <w:top w:val="single" w:color="auto" w:sz="12" w:space="0"/>
              <w:left w:val="single" w:color="auto" w:sz="4" w:space="0"/>
              <w:right w:val="single" w:color="auto" w:sz="4" w:space="0"/>
              <w:tl2br w:val="nil"/>
              <w:tr2bl w:val="nil"/>
            </w:tcBorders>
            <w:noWrap w:val="0"/>
            <w:vAlign w:val="center"/>
          </w:tcPr>
          <w:p w14:paraId="0F868248">
            <w:pPr>
              <w:keepNext w:val="0"/>
              <w:keepLines w:val="0"/>
              <w:pageBreakBefore w:val="0"/>
              <w:widowControl w:val="0"/>
              <w:suppressLineNumbers w:val="0"/>
              <w:kinsoku/>
              <w:wordWrap/>
              <w:overflowPunct/>
              <w:topLinePunct w:val="0"/>
              <w:autoSpaceDE/>
              <w:autoSpaceDN/>
              <w:bidi w:val="0"/>
              <w:snapToGrid/>
              <w:spacing w:beforeAutospacing="0" w:afterAutospacing="0" w:line="240" w:lineRule="atLeast"/>
              <w:ind w:left="0" w:leftChars="0" w:right="0" w:rightChars="0"/>
              <w:jc w:val="center"/>
              <w:textAlignment w:val="auto"/>
              <w:rPr>
                <w:rFonts w:hint="eastAsia" w:ascii="宋体" w:hAnsi="宋体" w:cs="宋体"/>
                <w:color w:val="000000" w:themeColor="text1"/>
                <w:sz w:val="18"/>
                <w:szCs w:val="18"/>
                <w:lang w:val="en-US" w:eastAsia="zh-CN"/>
                <w14:textFill>
                  <w14:solidFill>
                    <w14:schemeClr w14:val="tx1"/>
                  </w14:solidFill>
                </w14:textFill>
              </w:rPr>
            </w:pPr>
            <w:r>
              <w:rPr>
                <w:rFonts w:hint="eastAsia" w:ascii="宋体" w:hAnsi="宋体" w:cs="宋体"/>
                <w:color w:val="000000" w:themeColor="text1"/>
                <w:sz w:val="18"/>
                <w:szCs w:val="18"/>
                <w:lang w:val="en-US" w:eastAsia="zh-CN"/>
                <w14:textFill>
                  <w14:solidFill>
                    <w14:schemeClr w14:val="tx1"/>
                  </w14:solidFill>
                </w14:textFill>
              </w:rPr>
              <w:t>居民可支配收入总额/常住人口数</w:t>
            </w:r>
          </w:p>
        </w:tc>
        <w:tc>
          <w:tcPr>
            <w:tcW w:w="373" w:type="pct"/>
            <w:tcBorders>
              <w:top w:val="single" w:color="auto" w:sz="12" w:space="0"/>
              <w:left w:val="single" w:color="auto" w:sz="4" w:space="0"/>
              <w:right w:val="single" w:color="auto" w:sz="4" w:space="0"/>
              <w:tl2br w:val="nil"/>
              <w:tr2bl w:val="nil"/>
            </w:tcBorders>
            <w:noWrap w:val="0"/>
            <w:vAlign w:val="center"/>
          </w:tcPr>
          <w:p w14:paraId="68F6B24E">
            <w:pPr>
              <w:keepNext w:val="0"/>
              <w:keepLines w:val="0"/>
              <w:pageBreakBefore w:val="0"/>
              <w:widowControl w:val="0"/>
              <w:suppressLineNumbers w:val="0"/>
              <w:kinsoku/>
              <w:wordWrap/>
              <w:overflowPunct/>
              <w:topLinePunct w:val="0"/>
              <w:autoSpaceDE/>
              <w:autoSpaceDN/>
              <w:bidi w:val="0"/>
              <w:snapToGrid/>
              <w:spacing w:beforeAutospacing="0" w:afterAutospacing="0" w:line="240" w:lineRule="atLeast"/>
              <w:ind w:left="0" w:leftChars="0" w:right="0" w:rightChars="0"/>
              <w:jc w:val="center"/>
              <w:textAlignment w:val="auto"/>
              <w:rPr>
                <w:rFonts w:hint="eastAsia" w:ascii="宋体" w:hAnsi="宋体" w:cs="宋体"/>
                <w:color w:val="000000" w:themeColor="text1"/>
                <w:sz w:val="18"/>
                <w:szCs w:val="18"/>
                <w:lang w:val="en-US" w:eastAsia="zh-CN"/>
                <w14:textFill>
                  <w14:solidFill>
                    <w14:schemeClr w14:val="tx1"/>
                  </w14:solidFill>
                </w14:textFill>
              </w:rPr>
            </w:pPr>
            <w:r>
              <w:rPr>
                <w:rFonts w:hint="eastAsia" w:ascii="宋体" w:hAnsi="宋体" w:cs="宋体"/>
                <w:color w:val="000000" w:themeColor="text1"/>
                <w:sz w:val="18"/>
                <w:szCs w:val="18"/>
                <w:lang w:val="en-US" w:eastAsia="zh-CN"/>
                <w14:textFill>
                  <w14:solidFill>
                    <w14:schemeClr w14:val="tx1"/>
                  </w14:solidFill>
                </w14:textFill>
              </w:rPr>
              <w:t>创富工作</w:t>
            </w:r>
          </w:p>
          <w:p w14:paraId="59AAAB29">
            <w:pPr>
              <w:keepNext w:val="0"/>
              <w:keepLines w:val="0"/>
              <w:pageBreakBefore w:val="0"/>
              <w:widowControl w:val="0"/>
              <w:suppressLineNumbers w:val="0"/>
              <w:kinsoku/>
              <w:wordWrap/>
              <w:overflowPunct/>
              <w:topLinePunct w:val="0"/>
              <w:autoSpaceDE/>
              <w:autoSpaceDN/>
              <w:bidi w:val="0"/>
              <w:snapToGrid/>
              <w:spacing w:beforeAutospacing="0" w:afterAutospacing="0" w:line="240" w:lineRule="atLeast"/>
              <w:ind w:left="0" w:leftChars="0" w:right="0" w:rightChars="0"/>
              <w:jc w:val="center"/>
              <w:textAlignment w:val="auto"/>
              <w:rPr>
                <w:rFonts w:hint="eastAsia" w:ascii="宋体" w:hAnsi="宋体" w:eastAsia="宋体" w:cs="宋体"/>
                <w:color w:val="000000"/>
                <w:sz w:val="18"/>
                <w:szCs w:val="18"/>
                <w:lang w:val="en-US" w:eastAsia="zh-CN"/>
              </w:rPr>
            </w:pPr>
            <w:r>
              <w:rPr>
                <w:rFonts w:hint="eastAsia" w:ascii="宋体" w:hAnsi="宋体" w:cs="宋体"/>
                <w:color w:val="000000" w:themeColor="text1"/>
                <w:sz w:val="18"/>
                <w:szCs w:val="18"/>
                <w:lang w:val="en-US" w:eastAsia="zh-CN"/>
                <w14:textFill>
                  <w14:solidFill>
                    <w14:schemeClr w14:val="tx1"/>
                  </w14:solidFill>
                </w14:textFill>
              </w:rPr>
              <w:t>形成数据</w:t>
            </w:r>
          </w:p>
        </w:tc>
        <w:tc>
          <w:tcPr>
            <w:tcW w:w="354" w:type="pct"/>
            <w:vMerge w:val="restart"/>
            <w:tcBorders>
              <w:top w:val="single" w:color="auto" w:sz="12" w:space="0"/>
              <w:left w:val="single" w:color="auto" w:sz="4" w:space="0"/>
              <w:right w:val="single" w:color="auto" w:sz="12" w:space="0"/>
              <w:tl2br w:val="nil"/>
              <w:tr2bl w:val="nil"/>
            </w:tcBorders>
            <w:noWrap w:val="0"/>
            <w:vAlign w:val="center"/>
          </w:tcPr>
          <w:p w14:paraId="30AB8F93">
            <w:pPr>
              <w:keepNext w:val="0"/>
              <w:keepLines w:val="0"/>
              <w:pageBreakBefore w:val="0"/>
              <w:suppressLineNumbers w:val="0"/>
              <w:kinsoku/>
              <w:wordWrap/>
              <w:overflowPunct/>
              <w:topLinePunct w:val="0"/>
              <w:autoSpaceDE/>
              <w:autoSpaceDN/>
              <w:bidi w:val="0"/>
              <w:snapToGrid/>
              <w:spacing w:beforeAutospacing="0" w:afterAutospacing="0" w:line="240" w:lineRule="atLeast"/>
              <w:ind w:left="0" w:right="0"/>
              <w:jc w:val="center"/>
              <w:textAlignment w:val="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每年</w:t>
            </w:r>
          </w:p>
          <w:p w14:paraId="6DD76209">
            <w:pPr>
              <w:keepNext w:val="0"/>
              <w:keepLines w:val="0"/>
              <w:pageBreakBefore w:val="0"/>
              <w:suppressLineNumbers w:val="0"/>
              <w:kinsoku/>
              <w:wordWrap/>
              <w:overflowPunct/>
              <w:topLinePunct w:val="0"/>
              <w:autoSpaceDE/>
              <w:autoSpaceDN/>
              <w:bidi w:val="0"/>
              <w:snapToGrid/>
              <w:spacing w:beforeAutospacing="0" w:afterAutospacing="0" w:line="240" w:lineRule="atLeast"/>
              <w:ind w:left="0" w:right="0"/>
              <w:jc w:val="center"/>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lang w:val="en-US" w:eastAsia="zh-CN"/>
              </w:rPr>
              <w:t>1次</w:t>
            </w:r>
          </w:p>
        </w:tc>
      </w:tr>
      <w:tr w14:paraId="643FA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8" w:hRule="atLeast"/>
        </w:trPr>
        <w:tc>
          <w:tcPr>
            <w:tcW w:w="196" w:type="pct"/>
            <w:tcBorders>
              <w:top w:val="single" w:color="auto" w:sz="4" w:space="0"/>
              <w:left w:val="single" w:color="auto" w:sz="12" w:space="0"/>
              <w:right w:val="single" w:color="auto" w:sz="4" w:space="0"/>
              <w:tl2br w:val="nil"/>
              <w:tr2bl w:val="nil"/>
            </w:tcBorders>
            <w:noWrap w:val="0"/>
            <w:vAlign w:val="center"/>
          </w:tcPr>
          <w:p w14:paraId="01C17F54">
            <w:pPr>
              <w:pStyle w:val="239"/>
              <w:keepNext w:val="0"/>
              <w:keepLines w:val="0"/>
              <w:pageBreakBefore w:val="0"/>
              <w:widowControl/>
              <w:numPr>
                <w:ilvl w:val="0"/>
                <w:numId w:val="35"/>
              </w:numPr>
              <w:suppressLineNumbers w:val="0"/>
              <w:kinsoku/>
              <w:wordWrap/>
              <w:overflowPunct/>
              <w:topLinePunct w:val="0"/>
              <w:autoSpaceDE/>
              <w:autoSpaceDN/>
              <w:bidi w:val="0"/>
              <w:snapToGrid/>
              <w:spacing w:before="0" w:beforeLines="0" w:beforeAutospacing="0" w:after="0" w:afterLines="0" w:afterAutospacing="0" w:line="240" w:lineRule="atLeast"/>
              <w:ind w:right="0"/>
              <w:jc w:val="center"/>
              <w:textAlignment w:val="auto"/>
              <w:rPr>
                <w:rFonts w:hint="eastAsia" w:ascii="宋体" w:hAnsi="宋体" w:eastAsia="宋体" w:cs="宋体"/>
                <w:color w:val="000000"/>
                <w:sz w:val="18"/>
                <w:szCs w:val="18"/>
              </w:rPr>
            </w:pPr>
          </w:p>
        </w:tc>
        <w:tc>
          <w:tcPr>
            <w:tcW w:w="292" w:type="pct"/>
            <w:vMerge w:val="continue"/>
            <w:tcBorders>
              <w:left w:val="single" w:color="auto" w:sz="4" w:space="0"/>
              <w:right w:val="single" w:color="auto" w:sz="4" w:space="0"/>
              <w:tl2br w:val="nil"/>
              <w:tr2bl w:val="nil"/>
            </w:tcBorders>
            <w:noWrap w:val="0"/>
            <w:vAlign w:val="center"/>
          </w:tcPr>
          <w:p w14:paraId="50AD5237">
            <w:pPr>
              <w:pStyle w:val="239"/>
              <w:keepNext w:val="0"/>
              <w:keepLines w:val="0"/>
              <w:pageBreakBefore w:val="0"/>
              <w:widowControl/>
              <w:numPr>
                <w:ilvl w:val="0"/>
                <w:numId w:val="0"/>
              </w:numPr>
              <w:suppressLineNumbers w:val="0"/>
              <w:kinsoku/>
              <w:wordWrap/>
              <w:overflowPunct/>
              <w:topLinePunct w:val="0"/>
              <w:autoSpaceDE/>
              <w:autoSpaceDN/>
              <w:bidi w:val="0"/>
              <w:snapToGrid/>
              <w:spacing w:before="0" w:beforeLines="0" w:beforeAutospacing="0" w:after="0" w:afterLines="0" w:afterAutospacing="0" w:line="240" w:lineRule="atLeast"/>
              <w:ind w:left="0" w:right="0"/>
              <w:jc w:val="center"/>
              <w:textAlignment w:val="auto"/>
              <w:rPr>
                <w:rFonts w:hint="eastAsia" w:ascii="宋体" w:hAnsi="宋体" w:eastAsia="宋体" w:cs="宋体"/>
                <w:color w:val="000000"/>
                <w:sz w:val="18"/>
                <w:szCs w:val="18"/>
                <w:lang w:val="en-US" w:eastAsia="zh-CN"/>
              </w:rPr>
            </w:pPr>
          </w:p>
        </w:tc>
        <w:tc>
          <w:tcPr>
            <w:tcW w:w="309" w:type="pct"/>
            <w:vMerge w:val="restart"/>
            <w:tcBorders>
              <w:left w:val="single" w:color="auto" w:sz="4" w:space="0"/>
              <w:right w:val="single" w:color="auto" w:sz="4" w:space="0"/>
              <w:tl2br w:val="nil"/>
              <w:tr2bl w:val="nil"/>
            </w:tcBorders>
            <w:shd w:val="clear" w:color="auto" w:fill="auto"/>
            <w:noWrap w:val="0"/>
            <w:vAlign w:val="center"/>
          </w:tcPr>
          <w:p w14:paraId="2CE5C506">
            <w:pPr>
              <w:pStyle w:val="239"/>
              <w:keepNext w:val="0"/>
              <w:keepLines w:val="0"/>
              <w:pageBreakBefore w:val="0"/>
              <w:widowControl/>
              <w:numPr>
                <w:ilvl w:val="0"/>
                <w:numId w:val="0"/>
              </w:numPr>
              <w:suppressLineNumbers w:val="0"/>
              <w:kinsoku/>
              <w:wordWrap/>
              <w:overflowPunct/>
              <w:topLinePunct w:val="0"/>
              <w:autoSpaceDE/>
              <w:autoSpaceDN/>
              <w:bidi w:val="0"/>
              <w:snapToGrid/>
              <w:spacing w:before="0" w:beforeLines="0" w:beforeAutospacing="0" w:after="0" w:afterLines="0" w:afterAutospacing="0" w:line="240" w:lineRule="atLeast"/>
              <w:ind w:left="0" w:right="0"/>
              <w:jc w:val="center"/>
              <w:textAlignment w:val="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生态</w:t>
            </w:r>
          </w:p>
          <w:p w14:paraId="3B6DB7F4">
            <w:pPr>
              <w:pStyle w:val="239"/>
              <w:keepNext w:val="0"/>
              <w:keepLines w:val="0"/>
              <w:pageBreakBefore w:val="0"/>
              <w:widowControl/>
              <w:numPr>
                <w:ilvl w:val="0"/>
                <w:numId w:val="0"/>
              </w:numPr>
              <w:suppressLineNumbers w:val="0"/>
              <w:kinsoku/>
              <w:wordWrap/>
              <w:overflowPunct/>
              <w:topLinePunct w:val="0"/>
              <w:autoSpaceDE/>
              <w:autoSpaceDN/>
              <w:bidi w:val="0"/>
              <w:snapToGrid/>
              <w:spacing w:before="0" w:beforeLines="0" w:beforeAutospacing="0" w:after="0" w:afterLines="0" w:afterAutospacing="0" w:line="240" w:lineRule="atLeast"/>
              <w:ind w:left="0" w:right="0"/>
              <w:jc w:val="center"/>
              <w:textAlignment w:val="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富美（0.3）</w:t>
            </w:r>
          </w:p>
        </w:tc>
        <w:tc>
          <w:tcPr>
            <w:tcW w:w="461" w:type="pct"/>
            <w:tcBorders>
              <w:top w:val="single" w:color="auto" w:sz="4" w:space="0"/>
              <w:left w:val="single" w:color="auto" w:sz="4" w:space="0"/>
              <w:right w:val="single" w:color="auto" w:sz="4" w:space="0"/>
              <w:tl2br w:val="nil"/>
              <w:tr2bl w:val="nil"/>
            </w:tcBorders>
            <w:shd w:val="clear" w:color="auto" w:fill="auto"/>
            <w:noWrap w:val="0"/>
            <w:vAlign w:val="center"/>
          </w:tcPr>
          <w:p w14:paraId="75DEE865">
            <w:pPr>
              <w:pStyle w:val="239"/>
              <w:keepNext w:val="0"/>
              <w:keepLines w:val="0"/>
              <w:pageBreakBefore w:val="0"/>
              <w:widowControl/>
              <w:numPr>
                <w:ilvl w:val="0"/>
                <w:numId w:val="0"/>
              </w:numPr>
              <w:suppressLineNumbers w:val="0"/>
              <w:kinsoku/>
              <w:wordWrap/>
              <w:overflowPunct/>
              <w:topLinePunct w:val="0"/>
              <w:autoSpaceDE/>
              <w:autoSpaceDN/>
              <w:bidi w:val="0"/>
              <w:snapToGrid/>
              <w:spacing w:before="0" w:beforeLines="0" w:beforeAutospacing="0" w:after="0" w:afterLines="0" w:afterAutospacing="0" w:line="240" w:lineRule="atLeast"/>
              <w:ind w:left="0" w:leftChars="0" w:right="0" w:rightChars="0" w:firstLine="0" w:firstLineChars="0"/>
              <w:jc w:val="center"/>
              <w:textAlignment w:val="auto"/>
              <w:rPr>
                <w:rFonts w:hint="default" w:ascii="宋体" w:hAnsi="宋体" w:eastAsia="宋体" w:cs="宋体"/>
                <w:color w:val="000000"/>
                <w:sz w:val="18"/>
                <w:szCs w:val="18"/>
                <w:lang w:val="en-US" w:eastAsia="zh-CN" w:bidi="ar-SA"/>
              </w:rPr>
            </w:pPr>
            <w:r>
              <w:rPr>
                <w:rFonts w:hint="eastAsia" w:ascii="宋体" w:hAnsi="宋体" w:eastAsia="宋体" w:cs="宋体"/>
                <w:color w:val="000000"/>
                <w:sz w:val="18"/>
                <w:szCs w:val="18"/>
              </w:rPr>
              <w:t>基础设施完善</w:t>
            </w:r>
            <w:r>
              <w:rPr>
                <w:rFonts w:hint="eastAsia" w:ascii="宋体" w:hAnsi="宋体" w:eastAsia="宋体" w:cs="宋体"/>
                <w:color w:val="000000"/>
                <w:sz w:val="18"/>
                <w:szCs w:val="18"/>
                <w:lang w:val="en-US" w:eastAsia="zh-CN"/>
              </w:rPr>
              <w:t>（0.3）</w:t>
            </w:r>
          </w:p>
          <w:p w14:paraId="3E81C92F">
            <w:pPr>
              <w:pStyle w:val="239"/>
              <w:keepNext w:val="0"/>
              <w:keepLines w:val="0"/>
              <w:pageBreakBefore w:val="0"/>
              <w:widowControl/>
              <w:numPr>
                <w:ilvl w:val="0"/>
                <w:numId w:val="0"/>
              </w:numPr>
              <w:suppressLineNumbers w:val="0"/>
              <w:kinsoku/>
              <w:wordWrap/>
              <w:overflowPunct/>
              <w:topLinePunct w:val="0"/>
              <w:autoSpaceDE/>
              <w:autoSpaceDN/>
              <w:bidi w:val="0"/>
              <w:snapToGrid/>
              <w:spacing w:before="0" w:beforeLines="0" w:beforeAutospacing="0" w:after="0" w:afterLines="0" w:afterAutospacing="0" w:line="240" w:lineRule="atLeast"/>
              <w:ind w:left="0" w:right="0"/>
              <w:jc w:val="center"/>
              <w:textAlignment w:val="auto"/>
              <w:rPr>
                <w:rFonts w:hint="default" w:ascii="宋体" w:hAnsi="宋体" w:eastAsia="宋体" w:cs="宋体"/>
                <w:color w:val="000000"/>
                <w:sz w:val="18"/>
                <w:szCs w:val="18"/>
                <w:lang w:val="en-US" w:eastAsia="zh-CN"/>
              </w:rPr>
            </w:pPr>
          </w:p>
        </w:tc>
        <w:tc>
          <w:tcPr>
            <w:tcW w:w="624" w:type="pct"/>
            <w:tcBorders>
              <w:top w:val="single" w:color="auto" w:sz="4" w:space="0"/>
              <w:left w:val="single" w:color="auto" w:sz="4" w:space="0"/>
              <w:right w:val="single" w:color="auto" w:sz="4" w:space="0"/>
              <w:tl2br w:val="nil"/>
              <w:tr2bl w:val="nil"/>
            </w:tcBorders>
            <w:shd w:val="clear" w:color="auto" w:fill="auto"/>
            <w:noWrap w:val="0"/>
            <w:vAlign w:val="center"/>
          </w:tcPr>
          <w:p w14:paraId="5B600739">
            <w:pPr>
              <w:keepNext w:val="0"/>
              <w:keepLines w:val="0"/>
              <w:pageBreakBefore w:val="0"/>
              <w:suppressLineNumbers w:val="0"/>
              <w:kinsoku/>
              <w:wordWrap/>
              <w:overflowPunct/>
              <w:topLinePunct w:val="0"/>
              <w:autoSpaceDE/>
              <w:autoSpaceDN/>
              <w:bidi w:val="0"/>
              <w:snapToGrid/>
              <w:spacing w:beforeAutospacing="0" w:afterAutospacing="0" w:line="240" w:lineRule="atLeast"/>
              <w:ind w:left="0" w:leftChars="0" w:right="0" w:rightChars="0"/>
              <w:textAlignment w:val="auto"/>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lang w:val="en-US" w:eastAsia="zh-CN"/>
                <w14:textFill>
                  <w14:solidFill>
                    <w14:schemeClr w14:val="tx1"/>
                  </w14:solidFill>
                </w14:textFill>
              </w:rPr>
              <w:t>康养产业发展可持续基金</w:t>
            </w:r>
            <w:r>
              <w:rPr>
                <w:rFonts w:hint="eastAsia" w:ascii="宋体" w:hAnsi="宋体" w:cs="宋体"/>
                <w:color w:val="000000" w:themeColor="text1"/>
                <w:sz w:val="18"/>
                <w:szCs w:val="18"/>
                <w:highlight w:val="none"/>
                <w:lang w:val="en-US" w:eastAsia="zh-CN"/>
                <w14:textFill>
                  <w14:solidFill>
                    <w14:schemeClr w14:val="tx1"/>
                  </w14:solidFill>
                </w14:textFill>
              </w:rPr>
              <w:t>占比</w:t>
            </w:r>
          </w:p>
        </w:tc>
        <w:tc>
          <w:tcPr>
            <w:tcW w:w="220" w:type="pct"/>
            <w:tcBorders>
              <w:top w:val="single" w:color="auto" w:sz="4" w:space="0"/>
              <w:left w:val="single" w:color="auto" w:sz="4" w:space="0"/>
              <w:right w:val="single" w:color="auto" w:sz="4" w:space="0"/>
              <w:tl2br w:val="nil"/>
              <w:tr2bl w:val="nil"/>
            </w:tcBorders>
            <w:noWrap w:val="0"/>
            <w:vAlign w:val="center"/>
          </w:tcPr>
          <w:p w14:paraId="2D56F050">
            <w:pPr>
              <w:keepNext w:val="0"/>
              <w:keepLines w:val="0"/>
              <w:pageBreakBefore w:val="0"/>
              <w:suppressLineNumbers w:val="0"/>
              <w:kinsoku/>
              <w:wordWrap/>
              <w:overflowPunct/>
              <w:topLinePunct w:val="0"/>
              <w:autoSpaceDE/>
              <w:autoSpaceDN/>
              <w:bidi w:val="0"/>
              <w:snapToGrid/>
              <w:spacing w:beforeAutospacing="0" w:afterAutospacing="0" w:line="240" w:lineRule="atLeast"/>
              <w:ind w:left="0" w:leftChars="0" w:right="0" w:rightChars="0"/>
              <w:jc w:val="center"/>
              <w:textAlignment w:val="auto"/>
              <w:rPr>
                <w:rFonts w:hint="eastAsia" w:ascii="宋体" w:hAnsi="宋体" w:eastAsia="宋体" w:cs="宋体"/>
                <w:color w:val="000000" w:themeColor="text1"/>
                <w:sz w:val="18"/>
                <w:szCs w:val="18"/>
                <w:highlight w:val="none"/>
                <w:lang w:val="en-US" w:eastAsia="zh-CN"/>
                <w14:textFill>
                  <w14:solidFill>
                    <w14:schemeClr w14:val="tx1"/>
                  </w14:solidFill>
                </w14:textFill>
              </w:rPr>
            </w:pPr>
            <w:r>
              <w:rPr>
                <w:rFonts w:hint="eastAsia" w:ascii="宋体" w:hAnsi="宋体" w:eastAsia="宋体" w:cs="宋体"/>
                <w:color w:val="000000" w:themeColor="text1"/>
                <w:sz w:val="18"/>
                <w:szCs w:val="18"/>
                <w:highlight w:val="none"/>
                <w:lang w:val="en-US" w:eastAsia="zh-CN"/>
                <w14:textFill>
                  <w14:solidFill>
                    <w14:schemeClr w14:val="tx1"/>
                  </w14:solidFill>
                </w14:textFill>
              </w:rPr>
              <w:t>%</w:t>
            </w:r>
          </w:p>
        </w:tc>
        <w:tc>
          <w:tcPr>
            <w:tcW w:w="1796" w:type="pct"/>
            <w:tcBorders>
              <w:top w:val="single" w:color="auto" w:sz="4" w:space="0"/>
              <w:left w:val="single" w:color="auto" w:sz="4" w:space="0"/>
              <w:right w:val="single" w:color="auto" w:sz="4" w:space="0"/>
              <w:tl2br w:val="nil"/>
              <w:tr2bl w:val="nil"/>
            </w:tcBorders>
            <w:noWrap w:val="0"/>
            <w:vAlign w:val="center"/>
          </w:tcPr>
          <w:p w14:paraId="195CA2D2">
            <w:pPr>
              <w:keepNext w:val="0"/>
              <w:keepLines w:val="0"/>
              <w:pageBreakBefore w:val="0"/>
              <w:suppressLineNumbers w:val="0"/>
              <w:kinsoku/>
              <w:wordWrap/>
              <w:overflowPunct/>
              <w:topLinePunct w:val="0"/>
              <w:autoSpaceDE/>
              <w:autoSpaceDN/>
              <w:bidi w:val="0"/>
              <w:snapToGrid/>
              <w:spacing w:beforeAutospacing="0" w:afterAutospacing="0" w:line="240" w:lineRule="atLeast"/>
              <w:ind w:left="0" w:leftChars="0" w:right="0" w:rightChars="0"/>
              <w:textAlignment w:val="auto"/>
              <w:rPr>
                <w:rFonts w:hint="eastAsia" w:ascii="宋体" w:hAnsi="宋体" w:cs="宋体"/>
                <w:color w:val="000000" w:themeColor="text1"/>
                <w:sz w:val="18"/>
                <w:szCs w:val="18"/>
                <w:highlight w:val="none"/>
                <w:lang w:val="en-US" w:eastAsia="zh-CN"/>
                <w14:textFill>
                  <w14:solidFill>
                    <w14:schemeClr w14:val="tx1"/>
                  </w14:solidFill>
                </w14:textFill>
              </w:rPr>
            </w:pPr>
            <w:r>
              <w:rPr>
                <w:rFonts w:hint="eastAsia" w:ascii="宋体" w:hAnsi="宋体" w:cs="宋体"/>
                <w:color w:val="000000" w:themeColor="text1"/>
                <w:sz w:val="18"/>
                <w:szCs w:val="18"/>
                <w:highlight w:val="none"/>
                <w:lang w:val="en-US" w:eastAsia="zh-CN"/>
                <w14:textFill>
                  <w14:solidFill>
                    <w14:schemeClr w14:val="tx1"/>
                  </w14:solidFill>
                </w14:textFill>
              </w:rPr>
              <w:t>联合体内设立的“康养产业发展可持续基金”中</w:t>
            </w:r>
            <w:r>
              <w:rPr>
                <w:rFonts w:hint="default" w:ascii="宋体" w:hAnsi="宋体" w:cs="宋体"/>
                <w:color w:val="000000" w:themeColor="text1"/>
                <w:sz w:val="18"/>
                <w:szCs w:val="18"/>
                <w:highlight w:val="none"/>
                <w:lang w:val="en-US" w:eastAsia="zh-CN"/>
                <w14:textFill>
                  <w14:solidFill>
                    <w14:schemeClr w14:val="tx1"/>
                  </w14:solidFill>
                </w14:textFill>
              </w:rPr>
              <w:t>专门用于生态环境改善、康养公共空间提升</w:t>
            </w:r>
            <w:r>
              <w:rPr>
                <w:rFonts w:hint="eastAsia" w:ascii="宋体" w:hAnsi="宋体" w:cs="宋体"/>
                <w:color w:val="000000" w:themeColor="text1"/>
                <w:sz w:val="18"/>
                <w:szCs w:val="18"/>
                <w:highlight w:val="none"/>
                <w:lang w:val="en-US" w:eastAsia="zh-CN"/>
                <w14:textFill>
                  <w14:solidFill>
                    <w14:schemeClr w14:val="tx1"/>
                  </w14:solidFill>
                </w14:textFill>
              </w:rPr>
              <w:t>改造</w:t>
            </w:r>
            <w:r>
              <w:rPr>
                <w:rFonts w:hint="default" w:ascii="宋体" w:hAnsi="宋体" w:cs="宋体"/>
                <w:color w:val="000000" w:themeColor="text1"/>
                <w:sz w:val="18"/>
                <w:szCs w:val="18"/>
                <w:highlight w:val="none"/>
                <w:lang w:val="en-US" w:eastAsia="zh-CN"/>
                <w14:textFill>
                  <w14:solidFill>
                    <w14:schemeClr w14:val="tx1"/>
                  </w14:solidFill>
                </w14:textFill>
              </w:rPr>
              <w:t>的资金额度，占</w:t>
            </w:r>
            <w:r>
              <w:rPr>
                <w:rFonts w:hint="eastAsia" w:ascii="宋体" w:hAnsi="宋体" w:cs="宋体"/>
                <w:color w:val="000000" w:themeColor="text1"/>
                <w:sz w:val="18"/>
                <w:szCs w:val="18"/>
                <w:highlight w:val="none"/>
                <w:lang w:val="en-US" w:eastAsia="zh-CN"/>
                <w14:textFill>
                  <w14:solidFill>
                    <w14:schemeClr w14:val="tx1"/>
                  </w14:solidFill>
                </w14:textFill>
              </w:rPr>
              <w:t>康养创富联合体收益</w:t>
            </w:r>
            <w:r>
              <w:rPr>
                <w:rFonts w:hint="default" w:ascii="宋体" w:hAnsi="宋体" w:cs="宋体"/>
                <w:color w:val="000000" w:themeColor="text1"/>
                <w:sz w:val="18"/>
                <w:szCs w:val="18"/>
                <w:highlight w:val="none"/>
                <w:lang w:val="en-US" w:eastAsia="zh-CN"/>
                <w14:textFill>
                  <w14:solidFill>
                    <w14:schemeClr w14:val="tx1"/>
                  </w14:solidFill>
                </w14:textFill>
              </w:rPr>
              <w:t>总额度的百分比</w:t>
            </w:r>
            <w:r>
              <w:rPr>
                <w:rFonts w:hint="eastAsia" w:ascii="宋体" w:hAnsi="宋体" w:cs="宋体"/>
                <w:color w:val="000000" w:themeColor="text1"/>
                <w:sz w:val="18"/>
                <w:szCs w:val="18"/>
                <w:highlight w:val="none"/>
                <w:lang w:val="en-US" w:eastAsia="zh-CN"/>
                <w14:textFill>
                  <w14:solidFill>
                    <w14:schemeClr w14:val="tx1"/>
                  </w14:solidFill>
                </w14:textFill>
              </w:rPr>
              <w:t>，指标反映联合体对生态富美的资金投入力度，体现“产业反哺生态”的导向（评分标准：占比＜5%得60分；5%≤占比＜40%得80分；占比≥40%得100分）</w:t>
            </w:r>
          </w:p>
        </w:tc>
        <w:tc>
          <w:tcPr>
            <w:tcW w:w="373"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89DCB35">
            <w:pPr>
              <w:keepNext w:val="0"/>
              <w:keepLines w:val="0"/>
              <w:pageBreakBefore w:val="0"/>
              <w:suppressLineNumbers w:val="0"/>
              <w:kinsoku/>
              <w:wordWrap/>
              <w:overflowPunct/>
              <w:topLinePunct w:val="0"/>
              <w:autoSpaceDE/>
              <w:autoSpaceDN/>
              <w:bidi w:val="0"/>
              <w:snapToGrid/>
              <w:spacing w:beforeAutospacing="0" w:afterAutospacing="0" w:line="240" w:lineRule="atLeast"/>
              <w:ind w:left="0" w:leftChars="0" w:right="0" w:rightChars="0"/>
              <w:jc w:val="center"/>
              <w:textAlignment w:val="auto"/>
              <w:rPr>
                <w:rFonts w:hint="eastAsia" w:ascii="宋体" w:hAnsi="宋体" w:cs="宋体"/>
                <w:color w:val="000000" w:themeColor="text1"/>
                <w:sz w:val="18"/>
                <w:szCs w:val="18"/>
                <w:lang w:val="en-US" w:eastAsia="zh-CN"/>
                <w14:textFill>
                  <w14:solidFill>
                    <w14:schemeClr w14:val="tx1"/>
                  </w14:solidFill>
                </w14:textFill>
              </w:rPr>
            </w:pPr>
            <w:r>
              <w:rPr>
                <w:rFonts w:hint="eastAsia" w:ascii="宋体" w:hAnsi="宋体" w:cs="宋体"/>
                <w:color w:val="000000" w:themeColor="text1"/>
                <w:sz w:val="18"/>
                <w:szCs w:val="18"/>
                <w:lang w:val="en-US" w:eastAsia="zh-CN"/>
                <w14:textFill>
                  <w14:solidFill>
                    <w14:schemeClr w14:val="tx1"/>
                  </w14:solidFill>
                </w14:textFill>
              </w:rPr>
              <w:t>（年度生态、公共用途基金额/联合体年度收益总额×100%</w:t>
            </w:r>
          </w:p>
        </w:tc>
        <w:tc>
          <w:tcPr>
            <w:tcW w:w="373"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925CCA4">
            <w:pPr>
              <w:keepNext w:val="0"/>
              <w:keepLines w:val="0"/>
              <w:pageBreakBefore w:val="0"/>
              <w:suppressLineNumbers w:val="0"/>
              <w:kinsoku/>
              <w:wordWrap/>
              <w:overflowPunct/>
              <w:topLinePunct w:val="0"/>
              <w:autoSpaceDE/>
              <w:autoSpaceDN/>
              <w:bidi w:val="0"/>
              <w:snapToGrid/>
              <w:spacing w:beforeAutospacing="0" w:afterAutospacing="0" w:line="240" w:lineRule="atLeast"/>
              <w:ind w:left="0" w:leftChars="0" w:right="0" w:rightChars="0"/>
              <w:jc w:val="center"/>
              <w:textAlignment w:val="auto"/>
              <w:rPr>
                <w:rFonts w:hint="eastAsia" w:ascii="宋体" w:hAnsi="宋体" w:cs="宋体"/>
                <w:color w:val="000000" w:themeColor="text1"/>
                <w:sz w:val="18"/>
                <w:szCs w:val="18"/>
                <w:lang w:val="en-US" w:eastAsia="zh-CN"/>
                <w14:textFill>
                  <w14:solidFill>
                    <w14:schemeClr w14:val="tx1"/>
                  </w14:solidFill>
                </w14:textFill>
              </w:rPr>
            </w:pPr>
            <w:r>
              <w:rPr>
                <w:rFonts w:hint="eastAsia" w:ascii="宋体" w:hAnsi="宋体" w:cs="宋体"/>
                <w:color w:val="000000" w:themeColor="text1"/>
                <w:sz w:val="18"/>
                <w:szCs w:val="18"/>
                <w:lang w:val="en-US" w:eastAsia="zh-CN"/>
                <w14:textFill>
                  <w14:solidFill>
                    <w14:schemeClr w14:val="tx1"/>
                  </w14:solidFill>
                </w14:textFill>
              </w:rPr>
              <w:t>创富工作</w:t>
            </w:r>
          </w:p>
          <w:p w14:paraId="6A529756">
            <w:pPr>
              <w:keepNext w:val="0"/>
              <w:keepLines w:val="0"/>
              <w:pageBreakBefore w:val="0"/>
              <w:suppressLineNumbers w:val="0"/>
              <w:kinsoku/>
              <w:wordWrap/>
              <w:overflowPunct/>
              <w:topLinePunct w:val="0"/>
              <w:autoSpaceDE/>
              <w:autoSpaceDN/>
              <w:bidi w:val="0"/>
              <w:snapToGrid/>
              <w:spacing w:beforeAutospacing="0" w:afterAutospacing="0" w:line="240" w:lineRule="atLeast"/>
              <w:ind w:left="0" w:leftChars="0" w:right="0" w:rightChars="0"/>
              <w:jc w:val="center"/>
              <w:textAlignment w:val="auto"/>
              <w:rPr>
                <w:rFonts w:hint="eastAsia" w:ascii="宋体" w:hAnsi="宋体" w:eastAsia="宋体" w:cs="宋体"/>
                <w:color w:val="000000"/>
                <w:sz w:val="18"/>
                <w:szCs w:val="18"/>
                <w:lang w:val="en-US" w:eastAsia="zh-CN"/>
              </w:rPr>
            </w:pPr>
            <w:r>
              <w:rPr>
                <w:rFonts w:hint="eastAsia" w:ascii="宋体" w:hAnsi="宋体" w:cs="宋体"/>
                <w:color w:val="000000" w:themeColor="text1"/>
                <w:sz w:val="18"/>
                <w:szCs w:val="18"/>
                <w:lang w:val="en-US" w:eastAsia="zh-CN"/>
                <w14:textFill>
                  <w14:solidFill>
                    <w14:schemeClr w14:val="tx1"/>
                  </w14:solidFill>
                </w14:textFill>
              </w:rPr>
              <w:t>形成数据</w:t>
            </w:r>
          </w:p>
        </w:tc>
        <w:tc>
          <w:tcPr>
            <w:tcW w:w="354" w:type="pct"/>
            <w:vMerge w:val="continue"/>
            <w:tcBorders>
              <w:left w:val="single" w:color="auto" w:sz="4" w:space="0"/>
              <w:right w:val="single" w:color="auto" w:sz="12" w:space="0"/>
              <w:tl2br w:val="nil"/>
              <w:tr2bl w:val="nil"/>
            </w:tcBorders>
            <w:noWrap w:val="0"/>
            <w:vAlign w:val="center"/>
          </w:tcPr>
          <w:p w14:paraId="4295C0EF">
            <w:pPr>
              <w:keepNext w:val="0"/>
              <w:keepLines w:val="0"/>
              <w:pageBreakBefore w:val="0"/>
              <w:suppressLineNumbers w:val="0"/>
              <w:kinsoku/>
              <w:wordWrap/>
              <w:overflowPunct/>
              <w:topLinePunct w:val="0"/>
              <w:autoSpaceDE/>
              <w:autoSpaceDN/>
              <w:bidi w:val="0"/>
              <w:snapToGrid/>
              <w:spacing w:beforeAutospacing="0" w:afterAutospacing="0" w:line="240" w:lineRule="atLeast"/>
              <w:ind w:left="0" w:right="0"/>
              <w:jc w:val="center"/>
              <w:textAlignment w:val="auto"/>
              <w:rPr>
                <w:rFonts w:hint="eastAsia" w:ascii="宋体" w:hAnsi="宋体" w:eastAsia="宋体" w:cs="宋体"/>
                <w:color w:val="000000"/>
                <w:sz w:val="18"/>
                <w:szCs w:val="18"/>
              </w:rPr>
            </w:pPr>
          </w:p>
        </w:tc>
      </w:tr>
      <w:tr w14:paraId="5AC1C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8" w:hRule="atLeast"/>
        </w:trPr>
        <w:tc>
          <w:tcPr>
            <w:tcW w:w="196" w:type="pct"/>
            <w:tcBorders>
              <w:top w:val="single" w:color="auto" w:sz="4" w:space="0"/>
              <w:left w:val="single" w:color="auto" w:sz="12" w:space="0"/>
              <w:bottom w:val="single" w:color="auto" w:sz="4" w:space="0"/>
              <w:right w:val="single" w:color="auto" w:sz="4" w:space="0"/>
              <w:tl2br w:val="nil"/>
              <w:tr2bl w:val="nil"/>
            </w:tcBorders>
            <w:noWrap w:val="0"/>
            <w:vAlign w:val="center"/>
          </w:tcPr>
          <w:p w14:paraId="67ADABA2">
            <w:pPr>
              <w:pStyle w:val="239"/>
              <w:keepNext w:val="0"/>
              <w:keepLines w:val="0"/>
              <w:pageBreakBefore w:val="0"/>
              <w:widowControl/>
              <w:numPr>
                <w:ilvl w:val="0"/>
                <w:numId w:val="35"/>
              </w:numPr>
              <w:suppressLineNumbers w:val="0"/>
              <w:kinsoku/>
              <w:wordWrap/>
              <w:overflowPunct/>
              <w:topLinePunct w:val="0"/>
              <w:autoSpaceDE/>
              <w:autoSpaceDN/>
              <w:bidi w:val="0"/>
              <w:snapToGrid/>
              <w:spacing w:before="0" w:beforeLines="0" w:beforeAutospacing="0" w:after="0" w:afterLines="0" w:afterAutospacing="0" w:line="240" w:lineRule="atLeast"/>
              <w:ind w:right="0"/>
              <w:jc w:val="center"/>
              <w:textAlignment w:val="auto"/>
              <w:rPr>
                <w:rFonts w:hint="eastAsia" w:ascii="宋体" w:hAnsi="宋体" w:eastAsia="宋体" w:cs="宋体"/>
                <w:color w:val="000000"/>
                <w:sz w:val="18"/>
                <w:szCs w:val="18"/>
              </w:rPr>
            </w:pPr>
          </w:p>
        </w:tc>
        <w:tc>
          <w:tcPr>
            <w:tcW w:w="292" w:type="pct"/>
            <w:vMerge w:val="continue"/>
            <w:tcBorders>
              <w:left w:val="single" w:color="auto" w:sz="4" w:space="0"/>
              <w:right w:val="single" w:color="auto" w:sz="4" w:space="0"/>
              <w:tl2br w:val="nil"/>
              <w:tr2bl w:val="nil"/>
            </w:tcBorders>
            <w:noWrap w:val="0"/>
            <w:vAlign w:val="center"/>
          </w:tcPr>
          <w:p w14:paraId="5D15B051">
            <w:pPr>
              <w:pStyle w:val="239"/>
              <w:keepNext w:val="0"/>
              <w:keepLines w:val="0"/>
              <w:pageBreakBefore w:val="0"/>
              <w:widowControl/>
              <w:numPr>
                <w:ilvl w:val="0"/>
                <w:numId w:val="0"/>
              </w:numPr>
              <w:suppressLineNumbers w:val="0"/>
              <w:kinsoku/>
              <w:wordWrap/>
              <w:overflowPunct/>
              <w:topLinePunct w:val="0"/>
              <w:autoSpaceDE/>
              <w:autoSpaceDN/>
              <w:bidi w:val="0"/>
              <w:snapToGrid/>
              <w:spacing w:before="0" w:beforeLines="0" w:beforeAutospacing="0" w:after="0" w:afterLines="0" w:afterAutospacing="0" w:line="240" w:lineRule="atLeast"/>
              <w:ind w:left="0" w:right="0"/>
              <w:jc w:val="center"/>
              <w:textAlignment w:val="auto"/>
              <w:rPr>
                <w:rFonts w:hint="eastAsia" w:ascii="宋体" w:hAnsi="宋体" w:eastAsia="宋体" w:cs="宋体"/>
                <w:color w:val="000000"/>
                <w:sz w:val="18"/>
                <w:szCs w:val="18"/>
                <w:lang w:val="en-US" w:eastAsia="zh-CN"/>
              </w:rPr>
            </w:pPr>
          </w:p>
        </w:tc>
        <w:tc>
          <w:tcPr>
            <w:tcW w:w="309" w:type="pct"/>
            <w:vMerge w:val="continue"/>
            <w:tcBorders>
              <w:left w:val="single" w:color="auto" w:sz="4" w:space="0"/>
              <w:right w:val="single" w:color="auto" w:sz="4" w:space="0"/>
              <w:tl2br w:val="nil"/>
              <w:tr2bl w:val="nil"/>
            </w:tcBorders>
            <w:shd w:val="clear" w:color="auto" w:fill="auto"/>
            <w:noWrap w:val="0"/>
            <w:vAlign w:val="center"/>
          </w:tcPr>
          <w:p w14:paraId="18B8BE22">
            <w:pPr>
              <w:pStyle w:val="239"/>
              <w:keepNext w:val="0"/>
              <w:keepLines w:val="0"/>
              <w:pageBreakBefore w:val="0"/>
              <w:widowControl/>
              <w:numPr>
                <w:ilvl w:val="0"/>
                <w:numId w:val="0"/>
              </w:numPr>
              <w:suppressLineNumbers w:val="0"/>
              <w:kinsoku/>
              <w:wordWrap/>
              <w:overflowPunct/>
              <w:topLinePunct w:val="0"/>
              <w:autoSpaceDE/>
              <w:autoSpaceDN/>
              <w:bidi w:val="0"/>
              <w:snapToGrid/>
              <w:spacing w:before="0" w:beforeLines="0" w:beforeAutospacing="0" w:after="0" w:afterLines="0" w:afterAutospacing="0" w:line="240" w:lineRule="atLeast"/>
              <w:ind w:left="0" w:right="0"/>
              <w:jc w:val="center"/>
              <w:textAlignment w:val="auto"/>
              <w:rPr>
                <w:rFonts w:hint="eastAsia" w:ascii="宋体" w:hAnsi="宋体" w:eastAsia="宋体" w:cs="宋体"/>
                <w:color w:val="000000"/>
                <w:sz w:val="18"/>
                <w:szCs w:val="18"/>
                <w:lang w:val="en-US" w:eastAsia="zh-CN"/>
              </w:rPr>
            </w:pPr>
          </w:p>
        </w:tc>
        <w:tc>
          <w:tcPr>
            <w:tcW w:w="461" w:type="pct"/>
            <w:tcBorders>
              <w:left w:val="single" w:color="auto" w:sz="4" w:space="0"/>
              <w:right w:val="single" w:color="auto" w:sz="4" w:space="0"/>
              <w:tl2br w:val="nil"/>
              <w:tr2bl w:val="nil"/>
            </w:tcBorders>
            <w:shd w:val="clear" w:color="auto" w:fill="auto"/>
            <w:noWrap w:val="0"/>
            <w:vAlign w:val="center"/>
          </w:tcPr>
          <w:p w14:paraId="06680308">
            <w:pPr>
              <w:keepNext w:val="0"/>
              <w:keepLines w:val="0"/>
              <w:pageBreakBefore w:val="0"/>
              <w:suppressLineNumbers w:val="0"/>
              <w:kinsoku/>
              <w:wordWrap/>
              <w:overflowPunct/>
              <w:topLinePunct w:val="0"/>
              <w:autoSpaceDE/>
              <w:autoSpaceDN/>
              <w:bidi w:val="0"/>
              <w:snapToGrid/>
              <w:spacing w:beforeAutospacing="0" w:afterAutospacing="0"/>
              <w:ind w:left="0" w:leftChars="0" w:right="0" w:rightChars="0"/>
              <w:jc w:val="center"/>
              <w:textAlignment w:val="auto"/>
              <w:rPr>
                <w:rFonts w:hint="default" w:ascii="宋体" w:hAnsi="宋体" w:eastAsia="宋体" w:cs="宋体"/>
                <w:color w:val="000000"/>
                <w:sz w:val="18"/>
                <w:szCs w:val="18"/>
                <w:lang w:val="en-US" w:eastAsia="zh-CN"/>
              </w:rPr>
            </w:pPr>
            <w:r>
              <w:rPr>
                <w:rFonts w:hint="eastAsia" w:ascii="宋体" w:hAnsi="宋体" w:eastAsia="宋体" w:cs="宋体"/>
                <w:sz w:val="18"/>
                <w:szCs w:val="18"/>
                <w:lang w:val="en-US" w:eastAsia="zh-CN"/>
              </w:rPr>
              <w:t>社会生态和谐</w:t>
            </w:r>
            <w:r>
              <w:rPr>
                <w:rFonts w:hint="eastAsia" w:ascii="宋体" w:hAnsi="宋体" w:cs="宋体"/>
                <w:sz w:val="18"/>
                <w:szCs w:val="18"/>
                <w:lang w:val="en-US" w:eastAsia="zh-CN"/>
              </w:rPr>
              <w:t>（0.7）</w:t>
            </w:r>
          </w:p>
        </w:tc>
        <w:tc>
          <w:tcPr>
            <w:tcW w:w="624" w:type="pct"/>
            <w:tcBorders>
              <w:top w:val="single" w:color="auto" w:sz="4" w:space="0"/>
              <w:left w:val="single" w:color="auto" w:sz="4" w:space="0"/>
              <w:bottom w:val="single" w:color="auto" w:sz="4" w:space="0"/>
              <w:right w:val="single" w:color="auto" w:sz="4" w:space="0"/>
              <w:tl2br w:val="nil"/>
              <w:tr2bl w:val="nil"/>
            </w:tcBorders>
            <w:shd w:val="clear" w:color="auto" w:fill="auto"/>
            <w:noWrap w:val="0"/>
            <w:vAlign w:val="center"/>
          </w:tcPr>
          <w:p w14:paraId="0F7AC306">
            <w:pPr>
              <w:keepNext w:val="0"/>
              <w:keepLines w:val="0"/>
              <w:pageBreakBefore w:val="0"/>
              <w:suppressLineNumbers w:val="0"/>
              <w:kinsoku/>
              <w:wordWrap/>
              <w:overflowPunct/>
              <w:topLinePunct w:val="0"/>
              <w:autoSpaceDE/>
              <w:autoSpaceDN/>
              <w:bidi w:val="0"/>
              <w:snapToGrid/>
              <w:spacing w:beforeAutospacing="0" w:afterAutospacing="0"/>
              <w:ind w:left="0" w:leftChars="0" w:right="0" w:rightChars="0"/>
              <w:textAlignment w:val="auto"/>
              <w:rPr>
                <w:rFonts w:hint="eastAsia" w:ascii="宋体" w:hAnsi="宋体" w:eastAsia="宋体" w:cs="宋体"/>
                <w:color w:val="000000" w:themeColor="text1"/>
                <w:sz w:val="18"/>
                <w:szCs w:val="18"/>
                <w:highlight w:val="none"/>
                <w:lang w:val="en-US" w:eastAsia="zh-CN"/>
                <w14:textFill>
                  <w14:solidFill>
                    <w14:schemeClr w14:val="tx1"/>
                  </w14:solidFill>
                </w14:textFill>
              </w:rPr>
            </w:pPr>
            <w:r>
              <w:rPr>
                <w:rFonts w:hint="eastAsia" w:ascii="宋体" w:hAnsi="宋体" w:cs="宋体"/>
                <w:color w:val="000000"/>
                <w:sz w:val="18"/>
                <w:szCs w:val="18"/>
                <w:lang w:val="en-US" w:eastAsia="zh-CN"/>
              </w:rPr>
              <w:t>投诉解决</w:t>
            </w:r>
            <w:r>
              <w:rPr>
                <w:rFonts w:hint="default" w:ascii="宋体" w:hAnsi="宋体" w:eastAsia="宋体" w:cs="宋体"/>
                <w:color w:val="000000"/>
                <w:sz w:val="18"/>
                <w:szCs w:val="18"/>
                <w:lang w:val="en-US" w:eastAsia="zh-CN"/>
              </w:rPr>
              <w:t>率</w:t>
            </w:r>
          </w:p>
        </w:tc>
        <w:tc>
          <w:tcPr>
            <w:tcW w:w="22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060B31F">
            <w:pPr>
              <w:keepNext w:val="0"/>
              <w:keepLines w:val="0"/>
              <w:pageBreakBefore w:val="0"/>
              <w:suppressLineNumbers w:val="0"/>
              <w:kinsoku/>
              <w:wordWrap/>
              <w:overflowPunct/>
              <w:topLinePunct w:val="0"/>
              <w:autoSpaceDE/>
              <w:autoSpaceDN/>
              <w:bidi w:val="0"/>
              <w:snapToGrid/>
              <w:spacing w:beforeAutospacing="0" w:afterAutospacing="0"/>
              <w:ind w:left="0" w:leftChars="0" w:right="0" w:rightChars="0"/>
              <w:jc w:val="center"/>
              <w:textAlignment w:val="auto"/>
              <w:rPr>
                <w:rFonts w:hint="eastAsia" w:ascii="宋体" w:hAnsi="宋体" w:eastAsia="宋体" w:cs="宋体"/>
                <w:color w:val="000000" w:themeColor="text1"/>
                <w:sz w:val="18"/>
                <w:szCs w:val="18"/>
                <w:highlight w:val="none"/>
                <w:lang w:val="en-US" w:eastAsia="zh-CN"/>
                <w14:textFill>
                  <w14:solidFill>
                    <w14:schemeClr w14:val="tx1"/>
                  </w14:solidFill>
                </w14:textFill>
              </w:rPr>
            </w:pPr>
            <w:r>
              <w:rPr>
                <w:rFonts w:hint="eastAsia" w:ascii="宋体" w:hAnsi="宋体" w:eastAsia="宋体" w:cs="宋体"/>
                <w:color w:val="000000"/>
                <w:sz w:val="18"/>
                <w:szCs w:val="18"/>
              </w:rPr>
              <w:t>%</w:t>
            </w:r>
          </w:p>
        </w:tc>
        <w:tc>
          <w:tcPr>
            <w:tcW w:w="1796"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CF72C2C">
            <w:pPr>
              <w:keepNext w:val="0"/>
              <w:keepLines w:val="0"/>
              <w:pageBreakBefore w:val="0"/>
              <w:suppressLineNumbers w:val="0"/>
              <w:kinsoku/>
              <w:wordWrap/>
              <w:overflowPunct/>
              <w:topLinePunct w:val="0"/>
              <w:autoSpaceDE/>
              <w:autoSpaceDN/>
              <w:bidi w:val="0"/>
              <w:snapToGrid/>
              <w:spacing w:beforeAutospacing="0" w:afterAutospacing="0"/>
              <w:ind w:left="0" w:leftChars="0" w:right="0" w:rightChars="0"/>
              <w:textAlignment w:val="auto"/>
              <w:rPr>
                <w:rFonts w:hint="eastAsia" w:ascii="宋体" w:hAnsi="宋体" w:cs="宋体"/>
                <w:color w:val="000000" w:themeColor="text1"/>
                <w:sz w:val="18"/>
                <w:szCs w:val="18"/>
                <w:highlight w:val="none"/>
                <w:lang w:val="en-US" w:eastAsia="zh-CN"/>
                <w14:textFill>
                  <w14:solidFill>
                    <w14:schemeClr w14:val="tx1"/>
                  </w14:solidFill>
                </w14:textFill>
              </w:rPr>
            </w:pPr>
            <w:r>
              <w:rPr>
                <w:rFonts w:hint="eastAsia" w:ascii="宋体" w:hAnsi="宋体" w:cs="宋体"/>
                <w:color w:val="000000"/>
                <w:sz w:val="18"/>
                <w:szCs w:val="18"/>
                <w:lang w:val="en-US" w:eastAsia="zh-CN"/>
              </w:rPr>
              <w:t>联合体内民宿、酒店、餐饮、景区、医养机构等产业主体每年收到投诉中得到有效解决或得到满意回应的投诉占总投诉数量的比例。（评分标准：投诉率＜85%得60分；85%≤投诉率＜90%得80分；投诉率≥90%得100分）‌</w:t>
            </w:r>
          </w:p>
        </w:tc>
        <w:tc>
          <w:tcPr>
            <w:tcW w:w="373"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8EABDFB">
            <w:pPr>
              <w:keepNext w:val="0"/>
              <w:keepLines w:val="0"/>
              <w:pageBreakBefore w:val="0"/>
              <w:suppressLineNumbers w:val="0"/>
              <w:kinsoku/>
              <w:wordWrap/>
              <w:overflowPunct/>
              <w:topLinePunct w:val="0"/>
              <w:autoSpaceDE/>
              <w:autoSpaceDN/>
              <w:bidi w:val="0"/>
              <w:snapToGrid/>
              <w:spacing w:beforeAutospacing="0" w:afterAutospacing="0"/>
              <w:ind w:left="0" w:leftChars="0" w:right="0" w:rightChars="0"/>
              <w:jc w:val="center"/>
              <w:textAlignment w:val="auto"/>
              <w:rPr>
                <w:rFonts w:hint="eastAsia" w:ascii="宋体" w:hAnsi="宋体" w:cs="宋体"/>
                <w:color w:val="000000" w:themeColor="text1"/>
                <w:sz w:val="18"/>
                <w:szCs w:val="18"/>
                <w:lang w:val="en-US" w:eastAsia="zh-CN"/>
                <w14:textFill>
                  <w14:solidFill>
                    <w14:schemeClr w14:val="tx1"/>
                  </w14:solidFill>
                </w14:textFill>
              </w:rPr>
            </w:pPr>
            <w:r>
              <w:rPr>
                <w:rFonts w:hint="eastAsia" w:ascii="宋体" w:hAnsi="宋体" w:cs="宋体"/>
                <w:color w:val="000000" w:themeColor="text1"/>
                <w:sz w:val="18"/>
                <w:szCs w:val="18"/>
                <w:lang w:val="en-US" w:eastAsia="zh-CN"/>
                <w14:textFill>
                  <w14:solidFill>
                    <w14:schemeClr w14:val="tx1"/>
                  </w14:solidFill>
                </w14:textFill>
              </w:rPr>
              <w:t>（有效解决或满意的投诉数/总投诉数100%</w:t>
            </w:r>
          </w:p>
        </w:tc>
        <w:tc>
          <w:tcPr>
            <w:tcW w:w="373"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1FF7BD9">
            <w:pPr>
              <w:keepNext w:val="0"/>
              <w:keepLines w:val="0"/>
              <w:pageBreakBefore w:val="0"/>
              <w:suppressLineNumbers w:val="0"/>
              <w:kinsoku/>
              <w:wordWrap/>
              <w:overflowPunct/>
              <w:topLinePunct w:val="0"/>
              <w:autoSpaceDE/>
              <w:autoSpaceDN/>
              <w:bidi w:val="0"/>
              <w:snapToGrid/>
              <w:spacing w:beforeAutospacing="0" w:afterAutospacing="0"/>
              <w:ind w:left="0" w:leftChars="0" w:right="0" w:rightChars="0"/>
              <w:jc w:val="center"/>
              <w:textAlignment w:val="auto"/>
              <w:rPr>
                <w:rFonts w:hint="eastAsia" w:ascii="宋体" w:hAnsi="宋体" w:cs="宋体"/>
                <w:color w:val="000000" w:themeColor="text1"/>
                <w:sz w:val="18"/>
                <w:szCs w:val="18"/>
                <w:lang w:val="en-US" w:eastAsia="zh-CN"/>
                <w14:textFill>
                  <w14:solidFill>
                    <w14:schemeClr w14:val="tx1"/>
                  </w14:solidFill>
                </w14:textFill>
              </w:rPr>
            </w:pPr>
            <w:r>
              <w:rPr>
                <w:rFonts w:hint="eastAsia" w:ascii="宋体" w:hAnsi="宋体" w:cs="宋体"/>
                <w:color w:val="000000" w:themeColor="text1"/>
                <w:sz w:val="18"/>
                <w:szCs w:val="18"/>
                <w:lang w:val="en-US" w:eastAsia="zh-CN"/>
                <w14:textFill>
                  <w14:solidFill>
                    <w14:schemeClr w14:val="tx1"/>
                  </w14:solidFill>
                </w14:textFill>
              </w:rPr>
              <w:t>创富工作</w:t>
            </w:r>
          </w:p>
          <w:p w14:paraId="19DCBB64">
            <w:pPr>
              <w:keepNext w:val="0"/>
              <w:keepLines w:val="0"/>
              <w:pageBreakBefore w:val="0"/>
              <w:suppressLineNumbers w:val="0"/>
              <w:kinsoku/>
              <w:wordWrap/>
              <w:overflowPunct/>
              <w:topLinePunct w:val="0"/>
              <w:autoSpaceDE/>
              <w:autoSpaceDN/>
              <w:bidi w:val="0"/>
              <w:snapToGrid/>
              <w:spacing w:beforeAutospacing="0" w:afterAutospacing="0"/>
              <w:ind w:left="0" w:leftChars="0" w:right="0" w:rightChars="0"/>
              <w:jc w:val="center"/>
              <w:textAlignment w:val="auto"/>
              <w:rPr>
                <w:rFonts w:hint="eastAsia" w:ascii="宋体" w:hAnsi="宋体" w:eastAsia="宋体" w:cs="宋体"/>
                <w:color w:val="000000"/>
                <w:sz w:val="18"/>
                <w:szCs w:val="18"/>
                <w:lang w:val="en-US" w:eastAsia="zh-CN"/>
              </w:rPr>
            </w:pPr>
            <w:r>
              <w:rPr>
                <w:rFonts w:hint="eastAsia" w:ascii="宋体" w:hAnsi="宋体" w:cs="宋体"/>
                <w:color w:val="000000" w:themeColor="text1"/>
                <w:sz w:val="18"/>
                <w:szCs w:val="18"/>
                <w:lang w:val="en-US" w:eastAsia="zh-CN"/>
                <w14:textFill>
                  <w14:solidFill>
                    <w14:schemeClr w14:val="tx1"/>
                  </w14:solidFill>
                </w14:textFill>
              </w:rPr>
              <w:t>形成数据</w:t>
            </w:r>
          </w:p>
        </w:tc>
        <w:tc>
          <w:tcPr>
            <w:tcW w:w="354" w:type="pct"/>
            <w:vMerge w:val="continue"/>
            <w:tcBorders>
              <w:left w:val="single" w:color="auto" w:sz="4" w:space="0"/>
              <w:right w:val="single" w:color="auto" w:sz="12" w:space="0"/>
              <w:tl2br w:val="nil"/>
              <w:tr2bl w:val="nil"/>
            </w:tcBorders>
            <w:noWrap w:val="0"/>
            <w:vAlign w:val="center"/>
          </w:tcPr>
          <w:p w14:paraId="2A99FEC7">
            <w:pPr>
              <w:keepNext w:val="0"/>
              <w:keepLines w:val="0"/>
              <w:pageBreakBefore w:val="0"/>
              <w:suppressLineNumbers w:val="0"/>
              <w:kinsoku/>
              <w:wordWrap/>
              <w:overflowPunct/>
              <w:topLinePunct w:val="0"/>
              <w:autoSpaceDE/>
              <w:autoSpaceDN/>
              <w:bidi w:val="0"/>
              <w:snapToGrid/>
              <w:spacing w:beforeAutospacing="0" w:afterAutospacing="0" w:line="240" w:lineRule="atLeast"/>
              <w:ind w:left="0" w:right="0"/>
              <w:jc w:val="center"/>
              <w:textAlignment w:val="auto"/>
              <w:rPr>
                <w:rFonts w:hint="eastAsia" w:ascii="宋体" w:hAnsi="宋体" w:eastAsia="宋体" w:cs="宋体"/>
                <w:color w:val="000000"/>
                <w:sz w:val="18"/>
                <w:szCs w:val="18"/>
              </w:rPr>
            </w:pPr>
          </w:p>
        </w:tc>
      </w:tr>
      <w:tr w14:paraId="7BB78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8" w:hRule="atLeast"/>
        </w:trPr>
        <w:tc>
          <w:tcPr>
            <w:tcW w:w="196" w:type="pct"/>
            <w:tcBorders>
              <w:top w:val="single" w:color="auto" w:sz="4" w:space="0"/>
              <w:left w:val="single" w:color="auto" w:sz="12" w:space="0"/>
              <w:bottom w:val="single" w:color="auto" w:sz="12" w:space="0"/>
              <w:right w:val="single" w:color="auto" w:sz="4" w:space="0"/>
              <w:tl2br w:val="nil"/>
              <w:tr2bl w:val="nil"/>
            </w:tcBorders>
            <w:noWrap w:val="0"/>
            <w:vAlign w:val="center"/>
          </w:tcPr>
          <w:p w14:paraId="41577BF8">
            <w:pPr>
              <w:pStyle w:val="239"/>
              <w:keepNext w:val="0"/>
              <w:keepLines w:val="0"/>
              <w:pageBreakBefore w:val="0"/>
              <w:widowControl/>
              <w:numPr>
                <w:ilvl w:val="0"/>
                <w:numId w:val="35"/>
              </w:numPr>
              <w:suppressLineNumbers w:val="0"/>
              <w:kinsoku/>
              <w:wordWrap/>
              <w:overflowPunct/>
              <w:topLinePunct w:val="0"/>
              <w:autoSpaceDE/>
              <w:autoSpaceDN/>
              <w:bidi w:val="0"/>
              <w:snapToGrid/>
              <w:spacing w:before="0" w:beforeLines="0" w:beforeAutospacing="0" w:after="0" w:afterLines="0" w:afterAutospacing="0" w:line="240" w:lineRule="atLeast"/>
              <w:ind w:right="0"/>
              <w:jc w:val="center"/>
              <w:textAlignment w:val="auto"/>
              <w:rPr>
                <w:rFonts w:hint="eastAsia" w:ascii="宋体" w:hAnsi="宋体" w:eastAsia="宋体" w:cs="宋体"/>
                <w:color w:val="000000"/>
                <w:sz w:val="18"/>
                <w:szCs w:val="18"/>
              </w:rPr>
            </w:pPr>
          </w:p>
        </w:tc>
        <w:tc>
          <w:tcPr>
            <w:tcW w:w="292" w:type="pct"/>
            <w:vMerge w:val="continue"/>
            <w:tcBorders>
              <w:left w:val="single" w:color="auto" w:sz="4" w:space="0"/>
              <w:bottom w:val="single" w:color="auto" w:sz="12" w:space="0"/>
              <w:right w:val="single" w:color="auto" w:sz="4" w:space="0"/>
              <w:tl2br w:val="nil"/>
              <w:tr2bl w:val="nil"/>
            </w:tcBorders>
            <w:noWrap w:val="0"/>
            <w:vAlign w:val="center"/>
          </w:tcPr>
          <w:p w14:paraId="60A34EE2">
            <w:pPr>
              <w:pStyle w:val="239"/>
              <w:keepNext w:val="0"/>
              <w:keepLines w:val="0"/>
              <w:pageBreakBefore w:val="0"/>
              <w:widowControl/>
              <w:numPr>
                <w:ilvl w:val="0"/>
                <w:numId w:val="0"/>
              </w:numPr>
              <w:suppressLineNumbers w:val="0"/>
              <w:kinsoku/>
              <w:wordWrap/>
              <w:overflowPunct/>
              <w:topLinePunct w:val="0"/>
              <w:autoSpaceDE/>
              <w:autoSpaceDN/>
              <w:bidi w:val="0"/>
              <w:snapToGrid/>
              <w:spacing w:before="0" w:beforeLines="0" w:beforeAutospacing="0" w:after="0" w:afterLines="0" w:afterAutospacing="0" w:line="240" w:lineRule="atLeast"/>
              <w:ind w:left="0" w:right="0"/>
              <w:jc w:val="center"/>
              <w:textAlignment w:val="auto"/>
              <w:rPr>
                <w:rFonts w:hint="eastAsia" w:ascii="宋体" w:hAnsi="宋体" w:eastAsia="宋体" w:cs="宋体"/>
                <w:color w:val="000000"/>
                <w:sz w:val="18"/>
                <w:szCs w:val="18"/>
                <w:lang w:val="en-US" w:eastAsia="zh-CN"/>
              </w:rPr>
            </w:pPr>
          </w:p>
        </w:tc>
        <w:tc>
          <w:tcPr>
            <w:tcW w:w="309" w:type="pct"/>
            <w:tcBorders>
              <w:left w:val="single" w:color="auto" w:sz="4" w:space="0"/>
              <w:bottom w:val="single" w:color="auto" w:sz="12" w:space="0"/>
              <w:right w:val="single" w:color="auto" w:sz="4" w:space="0"/>
              <w:tl2br w:val="nil"/>
              <w:tr2bl w:val="nil"/>
            </w:tcBorders>
            <w:shd w:val="clear" w:color="auto" w:fill="auto"/>
            <w:noWrap w:val="0"/>
            <w:vAlign w:val="center"/>
          </w:tcPr>
          <w:p w14:paraId="56261AED">
            <w:pPr>
              <w:pStyle w:val="239"/>
              <w:keepNext w:val="0"/>
              <w:keepLines w:val="0"/>
              <w:pageBreakBefore w:val="0"/>
              <w:widowControl/>
              <w:numPr>
                <w:ilvl w:val="0"/>
                <w:numId w:val="0"/>
              </w:numPr>
              <w:suppressLineNumbers w:val="0"/>
              <w:kinsoku/>
              <w:wordWrap/>
              <w:overflowPunct/>
              <w:topLinePunct w:val="0"/>
              <w:autoSpaceDE/>
              <w:autoSpaceDN/>
              <w:bidi w:val="0"/>
              <w:snapToGrid/>
              <w:spacing w:before="0" w:beforeLines="0" w:beforeAutospacing="0" w:after="0" w:afterLines="0" w:afterAutospacing="0" w:line="240" w:lineRule="atLeast"/>
              <w:ind w:left="0" w:right="0"/>
              <w:jc w:val="center"/>
              <w:textAlignment w:val="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精神</w:t>
            </w:r>
          </w:p>
          <w:p w14:paraId="53635462">
            <w:pPr>
              <w:pStyle w:val="239"/>
              <w:keepNext w:val="0"/>
              <w:keepLines w:val="0"/>
              <w:pageBreakBefore w:val="0"/>
              <w:widowControl/>
              <w:numPr>
                <w:ilvl w:val="0"/>
                <w:numId w:val="0"/>
              </w:numPr>
              <w:suppressLineNumbers w:val="0"/>
              <w:kinsoku/>
              <w:wordWrap/>
              <w:overflowPunct/>
              <w:topLinePunct w:val="0"/>
              <w:autoSpaceDE/>
              <w:autoSpaceDN/>
              <w:bidi w:val="0"/>
              <w:snapToGrid/>
              <w:spacing w:before="0" w:beforeLines="0" w:beforeAutospacing="0" w:after="0" w:afterLines="0" w:afterAutospacing="0" w:line="240" w:lineRule="atLeast"/>
              <w:ind w:left="0" w:right="0"/>
              <w:jc w:val="center"/>
              <w:textAlignment w:val="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富足（0.3）</w:t>
            </w:r>
          </w:p>
        </w:tc>
        <w:tc>
          <w:tcPr>
            <w:tcW w:w="461" w:type="pct"/>
            <w:tcBorders>
              <w:left w:val="single" w:color="auto" w:sz="4" w:space="0"/>
              <w:bottom w:val="single" w:color="auto" w:sz="12" w:space="0"/>
              <w:right w:val="single" w:color="auto" w:sz="4" w:space="0"/>
              <w:tl2br w:val="nil"/>
              <w:tr2bl w:val="nil"/>
            </w:tcBorders>
            <w:shd w:val="clear" w:color="auto" w:fill="auto"/>
            <w:noWrap w:val="0"/>
            <w:vAlign w:val="center"/>
          </w:tcPr>
          <w:p w14:paraId="5EAFA8C2">
            <w:pPr>
              <w:pStyle w:val="239"/>
              <w:keepNext w:val="0"/>
              <w:keepLines w:val="0"/>
              <w:pageBreakBefore w:val="0"/>
              <w:widowControl/>
              <w:numPr>
                <w:ilvl w:val="0"/>
                <w:numId w:val="0"/>
              </w:numPr>
              <w:suppressLineNumbers w:val="0"/>
              <w:kinsoku/>
              <w:wordWrap/>
              <w:overflowPunct/>
              <w:topLinePunct w:val="0"/>
              <w:bidi w:val="0"/>
              <w:snapToGrid/>
              <w:spacing w:before="0" w:beforeLines="0" w:beforeAutospacing="0" w:after="0" w:afterLines="0" w:afterAutospacing="0"/>
              <w:ind w:left="0" w:leftChars="0" w:right="0" w:rightChars="0" w:firstLine="0" w:firstLineChars="0"/>
              <w:jc w:val="center"/>
              <w:textAlignment w:val="auto"/>
              <w:rPr>
                <w:rFonts w:hint="eastAsia" w:ascii="宋体" w:hAnsi="宋体" w:eastAsia="宋体" w:cs="宋体"/>
                <w:sz w:val="18"/>
                <w:szCs w:val="18"/>
                <w:lang w:val="en-US" w:eastAsia="zh-CN"/>
              </w:rPr>
            </w:pPr>
            <w:r>
              <w:rPr>
                <w:rFonts w:hint="eastAsia" w:ascii="宋体" w:hAnsi="宋体" w:eastAsia="宋体" w:cs="宋体"/>
                <w:color w:val="000000"/>
                <w:sz w:val="18"/>
                <w:szCs w:val="18"/>
                <w:lang w:val="en-US" w:eastAsia="zh-CN"/>
              </w:rPr>
              <w:t>精神需求多样（0.3）</w:t>
            </w:r>
          </w:p>
        </w:tc>
        <w:tc>
          <w:tcPr>
            <w:tcW w:w="624" w:type="pct"/>
            <w:tcBorders>
              <w:top w:val="single" w:color="auto" w:sz="4" w:space="0"/>
              <w:left w:val="single" w:color="auto" w:sz="4" w:space="0"/>
              <w:bottom w:val="single" w:color="auto" w:sz="12" w:space="0"/>
              <w:right w:val="single" w:color="auto" w:sz="4" w:space="0"/>
              <w:tl2br w:val="nil"/>
              <w:tr2bl w:val="nil"/>
            </w:tcBorders>
            <w:shd w:val="clear" w:color="auto" w:fill="auto"/>
            <w:noWrap w:val="0"/>
            <w:vAlign w:val="center"/>
          </w:tcPr>
          <w:p w14:paraId="282029B9">
            <w:pPr>
              <w:keepNext w:val="0"/>
              <w:keepLines w:val="0"/>
              <w:pageBreakBefore w:val="0"/>
              <w:suppressLineNumbers w:val="0"/>
              <w:kinsoku/>
              <w:wordWrap/>
              <w:overflowPunct/>
              <w:topLinePunct w:val="0"/>
              <w:bidi w:val="0"/>
              <w:snapToGrid/>
              <w:spacing w:beforeAutospacing="0" w:afterAutospacing="0"/>
              <w:ind w:left="0" w:leftChars="0" w:right="0" w:rightChars="0"/>
              <w:textAlignment w:val="auto"/>
              <w:rPr>
                <w:rFonts w:hint="eastAsia" w:ascii="宋体" w:hAnsi="宋体" w:cs="宋体"/>
                <w:color w:val="000000"/>
                <w:sz w:val="18"/>
                <w:szCs w:val="18"/>
                <w:lang w:val="en-US" w:eastAsia="zh-CN"/>
              </w:rPr>
            </w:pPr>
            <w:r>
              <w:rPr>
                <w:rFonts w:hint="eastAsia" w:ascii="宋体" w:hAnsi="宋体" w:cs="宋体"/>
                <w:color w:val="000000"/>
                <w:sz w:val="18"/>
                <w:szCs w:val="18"/>
                <w:lang w:val="en-US" w:eastAsia="zh-CN"/>
              </w:rPr>
              <w:t>各类群众文化活动开展场次</w:t>
            </w:r>
          </w:p>
        </w:tc>
        <w:tc>
          <w:tcPr>
            <w:tcW w:w="220" w:type="pct"/>
            <w:tcBorders>
              <w:top w:val="single" w:color="auto" w:sz="4" w:space="0"/>
              <w:left w:val="single" w:color="auto" w:sz="4" w:space="0"/>
              <w:bottom w:val="single" w:color="auto" w:sz="12" w:space="0"/>
              <w:right w:val="single" w:color="auto" w:sz="4" w:space="0"/>
              <w:tl2br w:val="nil"/>
              <w:tr2bl w:val="nil"/>
            </w:tcBorders>
            <w:noWrap w:val="0"/>
            <w:vAlign w:val="center"/>
          </w:tcPr>
          <w:p w14:paraId="557DF25D">
            <w:pPr>
              <w:keepNext w:val="0"/>
              <w:keepLines w:val="0"/>
              <w:pageBreakBefore w:val="0"/>
              <w:suppressLineNumbers w:val="0"/>
              <w:kinsoku/>
              <w:wordWrap/>
              <w:overflowPunct/>
              <w:topLinePunct w:val="0"/>
              <w:bidi w:val="0"/>
              <w:snapToGrid/>
              <w:spacing w:beforeAutospacing="0" w:afterAutospacing="0"/>
              <w:ind w:left="0" w:leftChars="0" w:right="0" w:rightChars="0"/>
              <w:jc w:val="center"/>
              <w:textAlignment w:val="auto"/>
              <w:rPr>
                <w:rFonts w:hint="eastAsia" w:ascii="宋体" w:hAnsi="宋体" w:eastAsia="宋体" w:cs="宋体"/>
                <w:color w:val="000000"/>
                <w:sz w:val="18"/>
                <w:szCs w:val="18"/>
              </w:rPr>
            </w:pPr>
            <w:r>
              <w:rPr>
                <w:rFonts w:hint="eastAsia" w:ascii="宋体" w:hAnsi="宋体" w:cs="宋体"/>
                <w:color w:val="000000"/>
                <w:sz w:val="18"/>
                <w:szCs w:val="18"/>
                <w:lang w:val="en-US" w:eastAsia="zh-CN"/>
              </w:rPr>
              <w:t>场次</w:t>
            </w:r>
          </w:p>
        </w:tc>
        <w:tc>
          <w:tcPr>
            <w:tcW w:w="1796" w:type="pct"/>
            <w:tcBorders>
              <w:top w:val="single" w:color="auto" w:sz="4" w:space="0"/>
              <w:left w:val="single" w:color="auto" w:sz="4" w:space="0"/>
              <w:bottom w:val="single" w:color="auto" w:sz="12" w:space="0"/>
              <w:right w:val="single" w:color="auto" w:sz="4" w:space="0"/>
              <w:tl2br w:val="nil"/>
              <w:tr2bl w:val="nil"/>
            </w:tcBorders>
            <w:noWrap w:val="0"/>
            <w:vAlign w:val="center"/>
          </w:tcPr>
          <w:p w14:paraId="6D8863BF">
            <w:pPr>
              <w:keepNext w:val="0"/>
              <w:keepLines w:val="0"/>
              <w:pageBreakBefore w:val="0"/>
              <w:suppressLineNumbers w:val="0"/>
              <w:kinsoku/>
              <w:wordWrap/>
              <w:overflowPunct/>
              <w:topLinePunct w:val="0"/>
              <w:bidi w:val="0"/>
              <w:snapToGrid/>
              <w:spacing w:beforeAutospacing="0" w:afterAutospacing="0"/>
              <w:ind w:left="0" w:leftChars="0" w:right="0" w:rightChars="0"/>
              <w:textAlignment w:val="auto"/>
              <w:rPr>
                <w:rFonts w:hint="eastAsia" w:ascii="宋体" w:hAnsi="宋体" w:cs="宋体"/>
                <w:color w:val="000000"/>
                <w:sz w:val="18"/>
                <w:szCs w:val="18"/>
                <w:lang w:val="en-US" w:eastAsia="zh-CN"/>
              </w:rPr>
            </w:pPr>
            <w:r>
              <w:rPr>
                <w:rFonts w:hint="eastAsia" w:ascii="宋体" w:hAnsi="宋体" w:eastAsia="宋体" w:cs="宋体"/>
                <w:color w:val="000000"/>
                <w:sz w:val="18"/>
                <w:szCs w:val="18"/>
              </w:rPr>
              <w:t>每场活动以独立举办为统计单位，</w:t>
            </w:r>
            <w:r>
              <w:rPr>
                <w:rFonts w:hint="eastAsia" w:ascii="宋体" w:hAnsi="宋体" w:cs="宋体"/>
                <w:color w:val="000000"/>
                <w:sz w:val="18"/>
                <w:szCs w:val="18"/>
                <w:lang w:val="en-US" w:eastAsia="zh-CN"/>
              </w:rPr>
              <w:t>包括线下的</w:t>
            </w:r>
            <w:r>
              <w:rPr>
                <w:rFonts w:hint="eastAsia" w:ascii="宋体" w:hAnsi="宋体" w:eastAsia="宋体" w:cs="宋体"/>
                <w:color w:val="000000"/>
                <w:sz w:val="18"/>
                <w:szCs w:val="18"/>
              </w:rPr>
              <w:t>文艺演出、展览、讲座等</w:t>
            </w:r>
            <w:r>
              <w:rPr>
                <w:rFonts w:hint="eastAsia" w:ascii="宋体" w:hAnsi="宋体" w:cs="宋体"/>
                <w:color w:val="000000"/>
                <w:sz w:val="18"/>
                <w:szCs w:val="18"/>
                <w:lang w:eastAsia="zh-CN"/>
              </w:rPr>
              <w:t>，</w:t>
            </w:r>
            <w:r>
              <w:rPr>
                <w:rFonts w:hint="eastAsia" w:ascii="宋体" w:hAnsi="宋体" w:cs="宋体"/>
                <w:color w:val="000000"/>
                <w:sz w:val="18"/>
                <w:szCs w:val="18"/>
                <w:lang w:val="en-US" w:eastAsia="zh-CN"/>
              </w:rPr>
              <w:t>以及线上</w:t>
            </w:r>
            <w:r>
              <w:rPr>
                <w:rFonts w:hint="eastAsia" w:ascii="宋体" w:hAnsi="宋体" w:eastAsia="宋体" w:cs="宋体"/>
                <w:i w:val="0"/>
                <w:iCs w:val="0"/>
                <w:caps w:val="0"/>
                <w:color w:val="000000"/>
                <w:spacing w:val="0"/>
                <w:sz w:val="18"/>
                <w:szCs w:val="18"/>
                <w:shd w:val="clear" w:fill="auto"/>
              </w:rPr>
              <w:t>活动场次</w:t>
            </w:r>
            <w:r>
              <w:rPr>
                <w:rFonts w:hint="eastAsia" w:ascii="宋体" w:hAnsi="宋体" w:cs="宋体"/>
                <w:color w:val="000000"/>
                <w:sz w:val="18"/>
                <w:szCs w:val="18"/>
                <w:lang w:eastAsia="zh-CN"/>
              </w:rPr>
              <w:t>。</w:t>
            </w:r>
            <w:r>
              <w:rPr>
                <w:rFonts w:hint="eastAsia" w:ascii="宋体" w:hAnsi="宋体" w:cs="宋体"/>
                <w:color w:val="000000"/>
                <w:sz w:val="18"/>
                <w:szCs w:val="18"/>
                <w:lang w:val="en-US" w:eastAsia="zh-CN"/>
              </w:rPr>
              <w:t>（评分标准：场次＜10得60分；10≤场次＜30得80分；场次≥30得100分）</w:t>
            </w:r>
          </w:p>
        </w:tc>
        <w:tc>
          <w:tcPr>
            <w:tcW w:w="373" w:type="pct"/>
            <w:tcBorders>
              <w:top w:val="single" w:color="auto" w:sz="4" w:space="0"/>
              <w:left w:val="single" w:color="auto" w:sz="4" w:space="0"/>
              <w:bottom w:val="single" w:color="auto" w:sz="12" w:space="0"/>
              <w:right w:val="single" w:color="auto" w:sz="4" w:space="0"/>
              <w:tl2br w:val="nil"/>
              <w:tr2bl w:val="nil"/>
            </w:tcBorders>
            <w:noWrap w:val="0"/>
            <w:vAlign w:val="center"/>
          </w:tcPr>
          <w:p w14:paraId="2D0ED447">
            <w:pPr>
              <w:keepNext w:val="0"/>
              <w:keepLines w:val="0"/>
              <w:pageBreakBefore w:val="0"/>
              <w:suppressLineNumbers w:val="0"/>
              <w:kinsoku/>
              <w:wordWrap/>
              <w:overflowPunct/>
              <w:topLinePunct w:val="0"/>
              <w:bidi w:val="0"/>
              <w:snapToGrid/>
              <w:spacing w:beforeAutospacing="0" w:afterAutospacing="0"/>
              <w:ind w:left="0" w:leftChars="0" w:right="0" w:rightChars="0"/>
              <w:jc w:val="center"/>
              <w:textAlignment w:val="auto"/>
              <w:rPr>
                <w:rFonts w:hint="eastAsia" w:ascii="宋体" w:hAnsi="宋体" w:cs="宋体"/>
                <w:color w:val="000000" w:themeColor="text1"/>
                <w:sz w:val="18"/>
                <w:szCs w:val="18"/>
                <w:lang w:val="en-US" w:eastAsia="zh-CN"/>
                <w14:textFill>
                  <w14:solidFill>
                    <w14:schemeClr w14:val="tx1"/>
                  </w14:solidFill>
                </w14:textFill>
              </w:rPr>
            </w:pPr>
            <w:r>
              <w:rPr>
                <w:rFonts w:hint="eastAsia" w:ascii="宋体" w:hAnsi="宋体" w:cs="宋体"/>
                <w:color w:val="000000" w:themeColor="text1"/>
                <w:sz w:val="18"/>
                <w:szCs w:val="18"/>
                <w:lang w:val="en-US" w:eastAsia="zh-CN"/>
                <w14:textFill>
                  <w14:solidFill>
                    <w14:schemeClr w14:val="tx1"/>
                  </w14:solidFill>
                </w14:textFill>
              </w:rPr>
              <w:t>直接统计汇总值（线下、线上分别统计后汇总）</w:t>
            </w:r>
          </w:p>
        </w:tc>
        <w:tc>
          <w:tcPr>
            <w:tcW w:w="373" w:type="pct"/>
            <w:tcBorders>
              <w:top w:val="single" w:color="auto" w:sz="4" w:space="0"/>
              <w:left w:val="single" w:color="auto" w:sz="4" w:space="0"/>
              <w:bottom w:val="single" w:color="auto" w:sz="12" w:space="0"/>
              <w:right w:val="single" w:color="auto" w:sz="4" w:space="0"/>
              <w:tl2br w:val="nil"/>
              <w:tr2bl w:val="nil"/>
            </w:tcBorders>
            <w:noWrap w:val="0"/>
            <w:vAlign w:val="center"/>
          </w:tcPr>
          <w:p w14:paraId="306EF8F6">
            <w:pPr>
              <w:keepNext w:val="0"/>
              <w:keepLines w:val="0"/>
              <w:pageBreakBefore w:val="0"/>
              <w:suppressLineNumbers w:val="0"/>
              <w:kinsoku/>
              <w:wordWrap/>
              <w:overflowPunct/>
              <w:topLinePunct w:val="0"/>
              <w:bidi w:val="0"/>
              <w:snapToGrid/>
              <w:spacing w:beforeAutospacing="0" w:afterAutospacing="0"/>
              <w:ind w:left="0" w:leftChars="0" w:right="0" w:rightChars="0"/>
              <w:jc w:val="center"/>
              <w:textAlignment w:val="auto"/>
              <w:rPr>
                <w:rFonts w:hint="eastAsia" w:ascii="宋体" w:hAnsi="宋体" w:cs="宋体"/>
                <w:color w:val="000000" w:themeColor="text1"/>
                <w:sz w:val="18"/>
                <w:szCs w:val="18"/>
                <w:lang w:val="en-US" w:eastAsia="zh-CN"/>
                <w14:textFill>
                  <w14:solidFill>
                    <w14:schemeClr w14:val="tx1"/>
                  </w14:solidFill>
                </w14:textFill>
              </w:rPr>
            </w:pPr>
            <w:r>
              <w:rPr>
                <w:rFonts w:hint="eastAsia" w:ascii="宋体" w:hAnsi="宋体" w:cs="宋体"/>
                <w:color w:val="000000" w:themeColor="text1"/>
                <w:sz w:val="18"/>
                <w:szCs w:val="18"/>
                <w:lang w:val="en-US" w:eastAsia="zh-CN"/>
                <w14:textFill>
                  <w14:solidFill>
                    <w14:schemeClr w14:val="tx1"/>
                  </w14:solidFill>
                </w14:textFill>
              </w:rPr>
              <w:t>创富工作</w:t>
            </w:r>
          </w:p>
          <w:p w14:paraId="2F06E8F6">
            <w:pPr>
              <w:keepNext w:val="0"/>
              <w:keepLines w:val="0"/>
              <w:pageBreakBefore w:val="0"/>
              <w:suppressLineNumbers w:val="0"/>
              <w:kinsoku/>
              <w:wordWrap/>
              <w:overflowPunct/>
              <w:topLinePunct w:val="0"/>
              <w:bidi w:val="0"/>
              <w:snapToGrid/>
              <w:spacing w:beforeAutospacing="0" w:afterAutospacing="0"/>
              <w:ind w:left="0" w:leftChars="0" w:right="0" w:rightChars="0"/>
              <w:jc w:val="center"/>
              <w:textAlignment w:val="auto"/>
              <w:rPr>
                <w:rFonts w:hint="eastAsia" w:ascii="宋体" w:hAnsi="宋体" w:cs="宋体"/>
                <w:color w:val="000000" w:themeColor="text1"/>
                <w:sz w:val="18"/>
                <w:szCs w:val="18"/>
                <w:lang w:val="en-US" w:eastAsia="zh-CN"/>
                <w14:textFill>
                  <w14:solidFill>
                    <w14:schemeClr w14:val="tx1"/>
                  </w14:solidFill>
                </w14:textFill>
              </w:rPr>
            </w:pPr>
            <w:r>
              <w:rPr>
                <w:rFonts w:hint="eastAsia" w:ascii="宋体" w:hAnsi="宋体" w:cs="宋体"/>
                <w:color w:val="000000" w:themeColor="text1"/>
                <w:sz w:val="18"/>
                <w:szCs w:val="18"/>
                <w:lang w:val="en-US" w:eastAsia="zh-CN"/>
                <w14:textFill>
                  <w14:solidFill>
                    <w14:schemeClr w14:val="tx1"/>
                  </w14:solidFill>
                </w14:textFill>
              </w:rPr>
              <w:t>形成数据</w:t>
            </w:r>
          </w:p>
        </w:tc>
        <w:tc>
          <w:tcPr>
            <w:tcW w:w="354" w:type="pct"/>
            <w:vMerge w:val="continue"/>
            <w:tcBorders>
              <w:left w:val="single" w:color="auto" w:sz="4" w:space="0"/>
              <w:bottom w:val="single" w:color="auto" w:sz="12" w:space="0"/>
              <w:right w:val="single" w:color="auto" w:sz="12" w:space="0"/>
              <w:tl2br w:val="nil"/>
              <w:tr2bl w:val="nil"/>
            </w:tcBorders>
            <w:noWrap w:val="0"/>
            <w:vAlign w:val="center"/>
          </w:tcPr>
          <w:p w14:paraId="72201830">
            <w:pPr>
              <w:keepNext w:val="0"/>
              <w:keepLines w:val="0"/>
              <w:pageBreakBefore w:val="0"/>
              <w:suppressLineNumbers w:val="0"/>
              <w:kinsoku/>
              <w:wordWrap/>
              <w:overflowPunct/>
              <w:topLinePunct w:val="0"/>
              <w:autoSpaceDE/>
              <w:autoSpaceDN/>
              <w:bidi w:val="0"/>
              <w:snapToGrid/>
              <w:spacing w:beforeAutospacing="0" w:afterAutospacing="0" w:line="240" w:lineRule="atLeast"/>
              <w:ind w:left="0" w:right="0"/>
              <w:jc w:val="center"/>
              <w:textAlignment w:val="auto"/>
              <w:rPr>
                <w:rFonts w:hint="eastAsia" w:ascii="宋体" w:hAnsi="宋体" w:eastAsia="宋体" w:cs="宋体"/>
                <w:color w:val="000000"/>
                <w:sz w:val="18"/>
                <w:szCs w:val="18"/>
              </w:rPr>
            </w:pPr>
          </w:p>
        </w:tc>
      </w:tr>
    </w:tbl>
    <w:p w14:paraId="38DF7B68">
      <w:pPr>
        <w:adjustRightInd w:val="0"/>
        <w:spacing w:before="156" w:beforeLines="50" w:after="156" w:afterLines="50" w:line="240" w:lineRule="auto"/>
        <w:jc w:val="center"/>
        <w:rPr>
          <w:rFonts w:hint="eastAsia" w:ascii="宋体" w:hAnsi="宋体" w:eastAsia="宋体" w:cs="宋体"/>
          <w:szCs w:val="21"/>
          <w:lang w:eastAsia="zh-CN"/>
        </w:rPr>
      </w:pPr>
      <w:r>
        <w:rPr>
          <w:rFonts w:hint="eastAsia" w:ascii="黑体" w:hAnsi="黑体" w:eastAsia="黑体"/>
          <w:szCs w:val="21"/>
        </w:rPr>
        <w:t>表1 康养创富联合体统计监测指标体系内容</w:t>
      </w:r>
      <w:r>
        <w:rPr>
          <w:rFonts w:hint="eastAsia" w:ascii="宋体" w:hAnsi="宋体" w:eastAsia="宋体" w:cs="宋体"/>
          <w:szCs w:val="21"/>
          <w:lang w:eastAsia="zh-CN"/>
        </w:rPr>
        <w:t>（</w:t>
      </w:r>
      <w:r>
        <w:rPr>
          <w:rFonts w:hint="eastAsia" w:ascii="宋体" w:hAnsi="宋体" w:eastAsia="宋体" w:cs="宋体"/>
          <w:szCs w:val="21"/>
          <w:lang w:val="en-US" w:eastAsia="zh-CN"/>
        </w:rPr>
        <w:t>续</w:t>
      </w:r>
      <w:r>
        <w:rPr>
          <w:rFonts w:hint="eastAsia" w:ascii="宋体" w:hAnsi="宋体" w:eastAsia="宋体" w:cs="宋体"/>
          <w:szCs w:val="21"/>
          <w:lang w:eastAsia="zh-CN"/>
        </w:rPr>
        <w:t>）</w:t>
      </w:r>
    </w:p>
    <w:tbl>
      <w:tblPr>
        <w:tblStyle w:val="3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6"/>
        <w:gridCol w:w="900"/>
        <w:gridCol w:w="945"/>
        <w:gridCol w:w="1365"/>
        <w:gridCol w:w="1890"/>
        <w:gridCol w:w="675"/>
        <w:gridCol w:w="5399"/>
        <w:gridCol w:w="1125"/>
        <w:gridCol w:w="1125"/>
        <w:gridCol w:w="1080"/>
      </w:tblGrid>
      <w:tr w14:paraId="62D82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187" w:type="pct"/>
            <w:vMerge w:val="restart"/>
            <w:tcBorders>
              <w:top w:val="single" w:color="auto" w:sz="12" w:space="0"/>
              <w:left w:val="single" w:color="auto" w:sz="12" w:space="0"/>
              <w:right w:val="single" w:color="auto" w:sz="4" w:space="0"/>
              <w:tl2br w:val="nil"/>
              <w:tr2bl w:val="nil"/>
            </w:tcBorders>
            <w:noWrap w:val="0"/>
            <w:vAlign w:val="center"/>
          </w:tcPr>
          <w:p w14:paraId="251AFD7C">
            <w:pPr>
              <w:pStyle w:val="23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Lines="0" w:beforeAutospacing="0" w:after="0" w:afterLines="0" w:afterAutospacing="0"/>
              <w:ind w:left="0" w:leftChars="0" w:right="0" w:rightChars="0" w:firstLine="0" w:firstLineChars="0"/>
              <w:jc w:val="center"/>
              <w:textAlignment w:val="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序号</w:t>
            </w:r>
          </w:p>
        </w:tc>
        <w:tc>
          <w:tcPr>
            <w:tcW w:w="1692" w:type="pct"/>
            <w:gridSpan w:val="4"/>
            <w:tcBorders>
              <w:top w:val="single" w:color="auto" w:sz="12" w:space="0"/>
              <w:left w:val="single" w:color="auto" w:sz="4" w:space="0"/>
              <w:right w:val="single" w:color="auto" w:sz="4" w:space="0"/>
              <w:tl2br w:val="nil"/>
              <w:tr2bl w:val="nil"/>
            </w:tcBorders>
            <w:noWrap w:val="0"/>
            <w:vAlign w:val="center"/>
          </w:tcPr>
          <w:p w14:paraId="3262901D">
            <w:pPr>
              <w:pStyle w:val="23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Lines="0" w:beforeAutospacing="0" w:after="0" w:afterLines="0" w:afterAutospacing="0"/>
              <w:ind w:left="0" w:leftChars="0" w:right="0" w:rightChars="0" w:firstLine="0" w:firstLineChars="0"/>
              <w:jc w:val="center"/>
              <w:textAlignment w:val="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指标名称</w:t>
            </w:r>
          </w:p>
        </w:tc>
        <w:tc>
          <w:tcPr>
            <w:tcW w:w="223" w:type="pct"/>
            <w:vMerge w:val="restart"/>
            <w:tcBorders>
              <w:top w:val="single" w:color="auto" w:sz="12" w:space="0"/>
              <w:left w:val="single" w:color="auto" w:sz="4" w:space="0"/>
              <w:bottom w:val="nil"/>
              <w:right w:val="single" w:color="auto" w:sz="4" w:space="0"/>
              <w:tl2br w:val="nil"/>
              <w:tr2bl w:val="nil"/>
            </w:tcBorders>
            <w:noWrap w:val="0"/>
            <w:vAlign w:val="center"/>
          </w:tcPr>
          <w:p w14:paraId="770C9A5C">
            <w:pPr>
              <w:pStyle w:val="23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Lines="0" w:beforeAutospacing="0" w:after="0" w:afterLines="0" w:afterAutospacing="0"/>
              <w:ind w:left="0" w:leftChars="0" w:right="0" w:rightChars="0" w:firstLine="0" w:firstLineChars="0"/>
              <w:jc w:val="center"/>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计量</w:t>
            </w:r>
          </w:p>
          <w:p w14:paraId="2E3D2970">
            <w:pPr>
              <w:pStyle w:val="23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Lines="0" w:beforeAutospacing="0" w:after="0" w:afterLines="0" w:afterAutospacing="0"/>
              <w:ind w:left="0" w:leftChars="0" w:right="0" w:rightChars="0" w:firstLine="0" w:firstLineChars="0"/>
              <w:jc w:val="center"/>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单位</w:t>
            </w:r>
          </w:p>
        </w:tc>
        <w:tc>
          <w:tcPr>
            <w:tcW w:w="1791" w:type="pct"/>
            <w:vMerge w:val="restart"/>
            <w:tcBorders>
              <w:top w:val="single" w:color="auto" w:sz="12" w:space="0"/>
              <w:left w:val="single" w:color="auto" w:sz="4" w:space="0"/>
              <w:bottom w:val="nil"/>
              <w:right w:val="single" w:color="auto" w:sz="4" w:space="0"/>
              <w:tl2br w:val="nil"/>
              <w:tr2bl w:val="nil"/>
            </w:tcBorders>
            <w:noWrap w:val="0"/>
            <w:vAlign w:val="center"/>
          </w:tcPr>
          <w:p w14:paraId="2533D152">
            <w:pPr>
              <w:pStyle w:val="23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Lines="0" w:beforeAutospacing="0" w:after="0" w:afterLines="0" w:afterAutospacing="0"/>
              <w:ind w:left="0" w:leftChars="0" w:right="0" w:rightChars="0" w:firstLine="0" w:firstLineChars="0"/>
              <w:jc w:val="center"/>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指</w:t>
            </w:r>
            <w:r>
              <w:rPr>
                <w:rFonts w:hint="eastAsia" w:ascii="宋体" w:hAnsi="宋体" w:eastAsia="宋体" w:cs="宋体"/>
                <w:color w:val="000000"/>
                <w:sz w:val="18"/>
                <w:szCs w:val="18"/>
                <w:lang w:val="en-US" w:eastAsia="zh-CN"/>
              </w:rPr>
              <w:t>标</w:t>
            </w:r>
            <w:r>
              <w:rPr>
                <w:rFonts w:hint="eastAsia" w:ascii="宋体" w:hAnsi="宋体" w:eastAsia="宋体" w:cs="宋体"/>
                <w:color w:val="000000"/>
                <w:sz w:val="18"/>
                <w:szCs w:val="18"/>
              </w:rPr>
              <w:t>释义</w:t>
            </w:r>
          </w:p>
        </w:tc>
        <w:tc>
          <w:tcPr>
            <w:tcW w:w="373" w:type="pct"/>
            <w:vMerge w:val="restart"/>
            <w:tcBorders>
              <w:top w:val="single" w:color="auto" w:sz="12" w:space="0"/>
              <w:left w:val="single" w:color="auto" w:sz="4" w:space="0"/>
              <w:right w:val="single" w:color="auto" w:sz="4" w:space="0"/>
              <w:tl2br w:val="nil"/>
              <w:tr2bl w:val="nil"/>
            </w:tcBorders>
            <w:noWrap w:val="0"/>
            <w:vAlign w:val="center"/>
          </w:tcPr>
          <w:p w14:paraId="33E86CCC">
            <w:pPr>
              <w:pStyle w:val="23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Lines="0" w:beforeAutospacing="0" w:after="0" w:afterLines="0" w:afterAutospacing="0"/>
              <w:ind w:left="0" w:leftChars="0" w:right="0" w:rightChars="0" w:firstLine="0" w:firstLineChars="0"/>
              <w:jc w:val="center"/>
              <w:textAlignment w:val="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计算方式</w:t>
            </w:r>
          </w:p>
        </w:tc>
        <w:tc>
          <w:tcPr>
            <w:tcW w:w="373" w:type="pct"/>
            <w:vMerge w:val="restart"/>
            <w:tcBorders>
              <w:top w:val="single" w:color="auto" w:sz="12" w:space="0"/>
              <w:left w:val="single" w:color="auto" w:sz="4" w:space="0"/>
              <w:bottom w:val="nil"/>
              <w:right w:val="single" w:color="auto" w:sz="4" w:space="0"/>
              <w:tl2br w:val="nil"/>
              <w:tr2bl w:val="nil"/>
            </w:tcBorders>
            <w:noWrap w:val="0"/>
            <w:vAlign w:val="center"/>
          </w:tcPr>
          <w:p w14:paraId="231EA047">
            <w:pPr>
              <w:pStyle w:val="23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Lines="0" w:beforeAutospacing="0" w:after="0" w:afterLines="0" w:afterAutospacing="0"/>
              <w:ind w:left="0" w:leftChars="0" w:right="0" w:rightChars="0" w:firstLine="0" w:firstLineChars="0"/>
              <w:jc w:val="center"/>
              <w:textAlignment w:val="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数据来源</w:t>
            </w:r>
          </w:p>
        </w:tc>
        <w:tc>
          <w:tcPr>
            <w:tcW w:w="358" w:type="pct"/>
            <w:vMerge w:val="restart"/>
            <w:tcBorders>
              <w:top w:val="single" w:color="auto" w:sz="12" w:space="0"/>
              <w:left w:val="single" w:color="auto" w:sz="4" w:space="0"/>
              <w:bottom w:val="nil"/>
              <w:right w:val="single" w:color="auto" w:sz="12" w:space="0"/>
              <w:tl2br w:val="nil"/>
              <w:tr2bl w:val="nil"/>
            </w:tcBorders>
            <w:noWrap w:val="0"/>
            <w:vAlign w:val="center"/>
          </w:tcPr>
          <w:p w14:paraId="465FDEBD">
            <w:pPr>
              <w:pStyle w:val="23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Lines="0" w:beforeAutospacing="0" w:after="0" w:afterLines="0" w:afterAutospacing="0"/>
              <w:ind w:left="0" w:leftChars="0" w:right="0" w:rightChars="0" w:firstLine="0" w:firstLineChars="0"/>
              <w:jc w:val="center"/>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监测频次</w:t>
            </w:r>
          </w:p>
        </w:tc>
      </w:tr>
      <w:tr w14:paraId="1FC26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187" w:type="pct"/>
            <w:vMerge w:val="continue"/>
            <w:tcBorders>
              <w:left w:val="single" w:color="auto" w:sz="12" w:space="0"/>
              <w:bottom w:val="single" w:color="auto" w:sz="12" w:space="0"/>
              <w:right w:val="single" w:color="auto" w:sz="4" w:space="0"/>
              <w:tl2br w:val="nil"/>
              <w:tr2bl w:val="nil"/>
            </w:tcBorders>
            <w:noWrap w:val="0"/>
            <w:vAlign w:val="center"/>
          </w:tcPr>
          <w:p w14:paraId="5FDA1EFC">
            <w:pPr>
              <w:pStyle w:val="239"/>
              <w:keepNext w:val="0"/>
              <w:keepLines w:val="0"/>
              <w:pageBreakBefore w:val="0"/>
              <w:widowControl/>
              <w:numPr>
                <w:ilvl w:val="0"/>
                <w:numId w:val="0"/>
              </w:numPr>
              <w:suppressLineNumbers w:val="0"/>
              <w:tabs>
                <w:tab w:val="left" w:pos="0"/>
              </w:tabs>
              <w:kinsoku/>
              <w:wordWrap/>
              <w:overflowPunct/>
              <w:topLinePunct w:val="0"/>
              <w:bidi w:val="0"/>
              <w:snapToGrid/>
              <w:spacing w:before="0" w:beforeLines="0" w:beforeAutospacing="0" w:after="0" w:afterLines="0" w:afterAutospacing="0"/>
              <w:ind w:left="0" w:leftChars="0" w:right="0" w:rightChars="0"/>
              <w:jc w:val="center"/>
              <w:textAlignment w:val="auto"/>
              <w:rPr>
                <w:rFonts w:hint="eastAsia" w:ascii="宋体" w:hAnsi="宋体" w:eastAsia="宋体" w:cs="宋体"/>
                <w:color w:val="000000"/>
                <w:sz w:val="18"/>
                <w:szCs w:val="18"/>
              </w:rPr>
            </w:pPr>
          </w:p>
        </w:tc>
        <w:tc>
          <w:tcPr>
            <w:tcW w:w="298" w:type="pct"/>
            <w:tcBorders>
              <w:left w:val="single" w:color="auto" w:sz="4" w:space="0"/>
              <w:bottom w:val="single" w:color="auto" w:sz="12" w:space="0"/>
              <w:right w:val="single" w:color="auto" w:sz="4" w:space="0"/>
              <w:tl2br w:val="nil"/>
              <w:tr2bl w:val="nil"/>
            </w:tcBorders>
            <w:noWrap w:val="0"/>
            <w:vAlign w:val="center"/>
          </w:tcPr>
          <w:p w14:paraId="4DBA19D3">
            <w:pPr>
              <w:pStyle w:val="23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Lines="0" w:beforeAutospacing="0" w:after="0" w:afterLines="0" w:afterAutospacing="0"/>
              <w:ind w:left="0" w:leftChars="0" w:right="0" w:rightChars="0" w:firstLine="0" w:firstLineChars="0"/>
              <w:jc w:val="center"/>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一级</w:t>
            </w:r>
          </w:p>
          <w:p w14:paraId="7D3F3619">
            <w:pPr>
              <w:pStyle w:val="23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Lines="0" w:beforeAutospacing="0" w:after="0" w:afterLines="0" w:afterAutospacing="0"/>
              <w:ind w:left="0" w:leftChars="0" w:right="0" w:rightChars="0" w:firstLine="0" w:firstLineChars="0"/>
              <w:jc w:val="center"/>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指标</w:t>
            </w:r>
          </w:p>
          <w:p w14:paraId="69804DFA">
            <w:pPr>
              <w:pStyle w:val="23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Lines="0" w:beforeAutospacing="0" w:after="0" w:afterLines="0" w:afterAutospacing="0"/>
              <w:ind w:left="0" w:leftChars="0" w:right="0" w:rightChars="0" w:firstLine="0" w:firstLineChars="0"/>
              <w:jc w:val="center"/>
              <w:textAlignment w:val="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(权重）</w:t>
            </w:r>
          </w:p>
        </w:tc>
        <w:tc>
          <w:tcPr>
            <w:tcW w:w="313" w:type="pct"/>
            <w:tcBorders>
              <w:left w:val="single" w:color="auto" w:sz="4" w:space="0"/>
              <w:bottom w:val="single" w:color="auto" w:sz="12" w:space="0"/>
              <w:right w:val="single" w:color="auto" w:sz="4" w:space="0"/>
              <w:tl2br w:val="nil"/>
              <w:tr2bl w:val="nil"/>
            </w:tcBorders>
            <w:noWrap w:val="0"/>
            <w:vAlign w:val="center"/>
          </w:tcPr>
          <w:p w14:paraId="4438E419">
            <w:pPr>
              <w:pStyle w:val="239"/>
              <w:keepNext w:val="0"/>
              <w:keepLines w:val="0"/>
              <w:pageBreakBefore w:val="0"/>
              <w:widowControl/>
              <w:numPr>
                <w:ilvl w:val="0"/>
                <w:numId w:val="0"/>
              </w:numPr>
              <w:suppressLineNumbers w:val="0"/>
              <w:kinsoku/>
              <w:wordWrap/>
              <w:overflowPunct/>
              <w:topLinePunct w:val="0"/>
              <w:bidi w:val="0"/>
              <w:adjustRightInd/>
              <w:snapToGrid/>
              <w:spacing w:before="0" w:beforeLines="0" w:beforeAutospacing="0" w:after="0" w:afterLines="0" w:afterAutospacing="0"/>
              <w:ind w:left="0" w:right="0"/>
              <w:jc w:val="center"/>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二级指标</w:t>
            </w:r>
          </w:p>
          <w:p w14:paraId="2AAE9B5F">
            <w:pPr>
              <w:pStyle w:val="240"/>
              <w:keepNext w:val="0"/>
              <w:keepLines w:val="0"/>
              <w:pageBreakBefore w:val="0"/>
              <w:widowControl/>
              <w:suppressLineNumbers w:val="0"/>
              <w:kinsoku/>
              <w:wordWrap/>
              <w:overflowPunct/>
              <w:topLinePunct w:val="0"/>
              <w:bidi w:val="0"/>
              <w:adjustRightInd/>
              <w:snapToGrid/>
              <w:spacing w:beforeAutospacing="0" w:afterAutospacing="0"/>
              <w:ind w:left="0" w:leftChars="0" w:right="0" w:rightChars="0" w:firstLine="0" w:firstLineChars="0"/>
              <w:jc w:val="center"/>
              <w:textAlignment w:val="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bidi="ar-SA"/>
              </w:rPr>
              <w:t>(权重）</w:t>
            </w:r>
          </w:p>
        </w:tc>
        <w:tc>
          <w:tcPr>
            <w:tcW w:w="452" w:type="pct"/>
            <w:tcBorders>
              <w:top w:val="single" w:color="auto" w:sz="4" w:space="0"/>
              <w:left w:val="single" w:color="auto" w:sz="4" w:space="0"/>
              <w:bottom w:val="single" w:color="auto" w:sz="12" w:space="0"/>
              <w:right w:val="single" w:color="auto" w:sz="4" w:space="0"/>
              <w:tl2br w:val="nil"/>
              <w:tr2bl w:val="nil"/>
            </w:tcBorders>
            <w:noWrap w:val="0"/>
            <w:vAlign w:val="center"/>
          </w:tcPr>
          <w:p w14:paraId="6BD61D95">
            <w:pPr>
              <w:pStyle w:val="239"/>
              <w:keepNext w:val="0"/>
              <w:keepLines w:val="0"/>
              <w:pageBreakBefore w:val="0"/>
              <w:widowControl/>
              <w:numPr>
                <w:ilvl w:val="0"/>
                <w:numId w:val="0"/>
              </w:numPr>
              <w:suppressLineNumbers w:val="0"/>
              <w:kinsoku/>
              <w:wordWrap/>
              <w:overflowPunct/>
              <w:topLinePunct w:val="0"/>
              <w:bidi w:val="0"/>
              <w:adjustRightInd/>
              <w:snapToGrid/>
              <w:spacing w:before="0" w:beforeLines="0" w:beforeAutospacing="0" w:after="0" w:afterLines="0" w:afterAutospacing="0"/>
              <w:ind w:left="0" w:leftChars="0" w:right="0" w:rightChars="0" w:firstLine="0" w:firstLineChars="0"/>
              <w:jc w:val="center"/>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三级指标</w:t>
            </w:r>
          </w:p>
          <w:p w14:paraId="74A5BBA7">
            <w:pPr>
              <w:pStyle w:val="239"/>
              <w:keepNext w:val="0"/>
              <w:keepLines w:val="0"/>
              <w:pageBreakBefore w:val="0"/>
              <w:widowControl/>
              <w:numPr>
                <w:ilvl w:val="0"/>
                <w:numId w:val="0"/>
              </w:numPr>
              <w:suppressLineNumbers w:val="0"/>
              <w:kinsoku/>
              <w:wordWrap/>
              <w:overflowPunct/>
              <w:topLinePunct w:val="0"/>
              <w:bidi w:val="0"/>
              <w:adjustRightInd/>
              <w:snapToGrid/>
              <w:spacing w:before="0" w:beforeLines="0" w:beforeAutospacing="0" w:after="0" w:afterLines="0" w:afterAutospacing="0"/>
              <w:ind w:left="0" w:leftChars="0" w:right="0" w:rightChars="0" w:firstLine="0" w:firstLineChars="0"/>
              <w:jc w:val="center"/>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(权重）</w:t>
            </w:r>
          </w:p>
        </w:tc>
        <w:tc>
          <w:tcPr>
            <w:tcW w:w="627" w:type="pct"/>
            <w:tcBorders>
              <w:top w:val="single" w:color="auto" w:sz="4" w:space="0"/>
              <w:left w:val="single" w:color="auto" w:sz="4" w:space="0"/>
              <w:bottom w:val="single" w:color="auto" w:sz="12" w:space="0"/>
              <w:right w:val="single" w:color="auto" w:sz="4" w:space="0"/>
              <w:tl2br w:val="nil"/>
              <w:tr2bl w:val="nil"/>
            </w:tcBorders>
            <w:noWrap w:val="0"/>
            <w:vAlign w:val="center"/>
          </w:tcPr>
          <w:p w14:paraId="71547C55">
            <w:pPr>
              <w:pStyle w:val="239"/>
              <w:keepNext w:val="0"/>
              <w:keepLines w:val="0"/>
              <w:pageBreakBefore w:val="0"/>
              <w:widowControl/>
              <w:numPr>
                <w:ilvl w:val="0"/>
                <w:numId w:val="0"/>
              </w:numPr>
              <w:suppressLineNumbers w:val="0"/>
              <w:kinsoku/>
              <w:wordWrap/>
              <w:overflowPunct/>
              <w:topLinePunct w:val="0"/>
              <w:bidi w:val="0"/>
              <w:adjustRightInd/>
              <w:snapToGrid/>
              <w:spacing w:before="0" w:beforeLines="0" w:beforeAutospacing="0" w:after="0" w:afterLines="0" w:afterAutospacing="0"/>
              <w:ind w:left="0" w:leftChars="0" w:right="0" w:rightChars="0" w:firstLine="0" w:firstLineChars="0"/>
              <w:jc w:val="center"/>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四级指标(权重）</w:t>
            </w:r>
          </w:p>
        </w:tc>
        <w:tc>
          <w:tcPr>
            <w:tcW w:w="223" w:type="pct"/>
            <w:vMerge w:val="continue"/>
            <w:tcBorders>
              <w:top w:val="nil"/>
              <w:left w:val="single" w:color="auto" w:sz="4" w:space="0"/>
              <w:bottom w:val="single" w:color="auto" w:sz="12" w:space="0"/>
              <w:right w:val="single" w:color="auto" w:sz="4" w:space="0"/>
              <w:tl2br w:val="nil"/>
              <w:tr2bl w:val="nil"/>
            </w:tcBorders>
            <w:noWrap w:val="0"/>
            <w:vAlign w:val="center"/>
          </w:tcPr>
          <w:p w14:paraId="549627D1">
            <w:pPr>
              <w:keepNext w:val="0"/>
              <w:keepLines w:val="0"/>
              <w:pageBreakBefore w:val="0"/>
              <w:suppressLineNumbers w:val="0"/>
              <w:kinsoku/>
              <w:wordWrap/>
              <w:overflowPunct/>
              <w:topLinePunct w:val="0"/>
              <w:bidi w:val="0"/>
              <w:snapToGrid/>
              <w:spacing w:beforeAutospacing="0" w:afterAutospacing="0"/>
              <w:ind w:left="0" w:leftChars="0" w:right="0" w:rightChars="0"/>
              <w:jc w:val="center"/>
              <w:textAlignment w:val="auto"/>
              <w:rPr>
                <w:rFonts w:hint="eastAsia" w:ascii="宋体" w:hAnsi="宋体" w:eastAsia="宋体" w:cs="宋体"/>
                <w:color w:val="000000"/>
                <w:sz w:val="18"/>
                <w:szCs w:val="18"/>
              </w:rPr>
            </w:pPr>
          </w:p>
        </w:tc>
        <w:tc>
          <w:tcPr>
            <w:tcW w:w="1791" w:type="pct"/>
            <w:vMerge w:val="continue"/>
            <w:tcBorders>
              <w:top w:val="nil"/>
              <w:left w:val="single" w:color="auto" w:sz="4" w:space="0"/>
              <w:bottom w:val="single" w:color="auto" w:sz="12" w:space="0"/>
              <w:right w:val="single" w:color="auto" w:sz="4" w:space="0"/>
              <w:tl2br w:val="nil"/>
              <w:tr2bl w:val="nil"/>
            </w:tcBorders>
            <w:noWrap w:val="0"/>
            <w:vAlign w:val="center"/>
          </w:tcPr>
          <w:p w14:paraId="6B6AB465">
            <w:pPr>
              <w:keepNext w:val="0"/>
              <w:keepLines w:val="0"/>
              <w:pageBreakBefore w:val="0"/>
              <w:suppressLineNumbers w:val="0"/>
              <w:kinsoku/>
              <w:wordWrap/>
              <w:overflowPunct/>
              <w:topLinePunct w:val="0"/>
              <w:bidi w:val="0"/>
              <w:snapToGrid/>
              <w:spacing w:beforeAutospacing="0" w:afterAutospacing="0"/>
              <w:ind w:left="0" w:leftChars="0" w:right="0" w:rightChars="0"/>
              <w:textAlignment w:val="auto"/>
              <w:rPr>
                <w:rFonts w:hint="eastAsia" w:ascii="宋体" w:hAnsi="宋体" w:eastAsia="宋体" w:cs="宋体"/>
                <w:color w:val="000000"/>
                <w:sz w:val="18"/>
                <w:szCs w:val="18"/>
              </w:rPr>
            </w:pPr>
          </w:p>
        </w:tc>
        <w:tc>
          <w:tcPr>
            <w:tcW w:w="373" w:type="pct"/>
            <w:vMerge w:val="continue"/>
            <w:tcBorders>
              <w:left w:val="single" w:color="auto" w:sz="4" w:space="0"/>
              <w:bottom w:val="single" w:color="auto" w:sz="12" w:space="0"/>
              <w:right w:val="single" w:color="auto" w:sz="4" w:space="0"/>
              <w:tl2br w:val="nil"/>
              <w:tr2bl w:val="nil"/>
            </w:tcBorders>
            <w:noWrap w:val="0"/>
            <w:vAlign w:val="center"/>
          </w:tcPr>
          <w:p w14:paraId="61978983">
            <w:pPr>
              <w:keepNext w:val="0"/>
              <w:keepLines w:val="0"/>
              <w:pageBreakBefore w:val="0"/>
              <w:suppressLineNumbers w:val="0"/>
              <w:kinsoku/>
              <w:wordWrap/>
              <w:overflowPunct/>
              <w:topLinePunct w:val="0"/>
              <w:bidi w:val="0"/>
              <w:snapToGrid/>
              <w:spacing w:beforeAutospacing="0" w:afterAutospacing="0"/>
              <w:ind w:left="0" w:leftChars="0" w:right="0" w:rightChars="0"/>
              <w:jc w:val="center"/>
              <w:textAlignment w:val="auto"/>
              <w:rPr>
                <w:rFonts w:hint="eastAsia" w:ascii="宋体" w:hAnsi="宋体" w:eastAsia="宋体" w:cs="宋体"/>
                <w:color w:val="000000"/>
                <w:sz w:val="18"/>
                <w:szCs w:val="18"/>
                <w:lang w:val="en-US" w:eastAsia="zh-CN"/>
              </w:rPr>
            </w:pPr>
          </w:p>
        </w:tc>
        <w:tc>
          <w:tcPr>
            <w:tcW w:w="373" w:type="pct"/>
            <w:vMerge w:val="continue"/>
            <w:tcBorders>
              <w:top w:val="nil"/>
              <w:left w:val="single" w:color="auto" w:sz="4" w:space="0"/>
              <w:bottom w:val="single" w:color="auto" w:sz="12" w:space="0"/>
              <w:right w:val="single" w:color="auto" w:sz="4" w:space="0"/>
              <w:tl2br w:val="nil"/>
              <w:tr2bl w:val="nil"/>
            </w:tcBorders>
            <w:noWrap w:val="0"/>
            <w:vAlign w:val="center"/>
          </w:tcPr>
          <w:p w14:paraId="02B1C7AA">
            <w:pPr>
              <w:keepNext w:val="0"/>
              <w:keepLines w:val="0"/>
              <w:pageBreakBefore w:val="0"/>
              <w:suppressLineNumbers w:val="0"/>
              <w:kinsoku/>
              <w:wordWrap/>
              <w:overflowPunct/>
              <w:topLinePunct w:val="0"/>
              <w:bidi w:val="0"/>
              <w:snapToGrid/>
              <w:spacing w:beforeAutospacing="0" w:afterAutospacing="0"/>
              <w:ind w:left="0" w:leftChars="0" w:right="0" w:rightChars="0"/>
              <w:jc w:val="center"/>
              <w:textAlignment w:val="auto"/>
              <w:rPr>
                <w:rFonts w:hint="eastAsia" w:ascii="宋体" w:hAnsi="宋体" w:eastAsia="宋体" w:cs="宋体"/>
                <w:color w:val="000000"/>
                <w:sz w:val="18"/>
                <w:szCs w:val="18"/>
                <w:lang w:val="en-US" w:eastAsia="zh-CN"/>
              </w:rPr>
            </w:pPr>
          </w:p>
        </w:tc>
        <w:tc>
          <w:tcPr>
            <w:tcW w:w="358" w:type="pct"/>
            <w:vMerge w:val="continue"/>
            <w:tcBorders>
              <w:top w:val="nil"/>
              <w:left w:val="single" w:color="auto" w:sz="4" w:space="0"/>
              <w:bottom w:val="single" w:color="auto" w:sz="12" w:space="0"/>
              <w:right w:val="single" w:color="auto" w:sz="12" w:space="0"/>
              <w:tl2br w:val="nil"/>
              <w:tr2bl w:val="nil"/>
            </w:tcBorders>
            <w:noWrap w:val="0"/>
            <w:vAlign w:val="center"/>
          </w:tcPr>
          <w:p w14:paraId="41D355DA">
            <w:pPr>
              <w:keepNext w:val="0"/>
              <w:keepLines w:val="0"/>
              <w:pageBreakBefore w:val="0"/>
              <w:suppressLineNumbers w:val="0"/>
              <w:kinsoku/>
              <w:wordWrap/>
              <w:overflowPunct/>
              <w:topLinePunct w:val="0"/>
              <w:bidi w:val="0"/>
              <w:snapToGrid/>
              <w:spacing w:beforeAutospacing="0" w:afterAutospacing="0"/>
              <w:ind w:left="0" w:right="0"/>
              <w:jc w:val="center"/>
              <w:textAlignment w:val="auto"/>
              <w:rPr>
                <w:rFonts w:hint="eastAsia" w:ascii="宋体" w:hAnsi="宋体" w:eastAsia="宋体" w:cs="宋体"/>
                <w:color w:val="000000"/>
                <w:sz w:val="18"/>
                <w:szCs w:val="18"/>
              </w:rPr>
            </w:pPr>
          </w:p>
        </w:tc>
      </w:tr>
      <w:tr w14:paraId="62189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2" w:hRule="atLeast"/>
        </w:trPr>
        <w:tc>
          <w:tcPr>
            <w:tcW w:w="187" w:type="pct"/>
            <w:tcBorders>
              <w:top w:val="single" w:color="auto" w:sz="12" w:space="0"/>
              <w:left w:val="single" w:color="auto" w:sz="12" w:space="0"/>
              <w:bottom w:val="single" w:color="auto" w:sz="4" w:space="0"/>
              <w:right w:val="single" w:color="auto" w:sz="4" w:space="0"/>
              <w:tl2br w:val="nil"/>
              <w:tr2bl w:val="nil"/>
            </w:tcBorders>
            <w:noWrap w:val="0"/>
            <w:vAlign w:val="center"/>
          </w:tcPr>
          <w:p w14:paraId="45D17355">
            <w:pPr>
              <w:pStyle w:val="239"/>
              <w:keepNext w:val="0"/>
              <w:keepLines w:val="0"/>
              <w:pageBreakBefore w:val="0"/>
              <w:widowControl/>
              <w:numPr>
                <w:ilvl w:val="0"/>
                <w:numId w:val="35"/>
              </w:numPr>
              <w:suppressLineNumbers w:val="0"/>
              <w:kinsoku/>
              <w:wordWrap/>
              <w:overflowPunct/>
              <w:topLinePunct w:val="0"/>
              <w:bidi w:val="0"/>
              <w:snapToGrid/>
              <w:spacing w:before="0" w:beforeLines="0" w:beforeAutospacing="0" w:after="0" w:afterLines="0" w:afterAutospacing="0"/>
              <w:ind w:right="0"/>
              <w:jc w:val="center"/>
              <w:textAlignment w:val="auto"/>
              <w:rPr>
                <w:rFonts w:hint="eastAsia" w:ascii="宋体" w:hAnsi="宋体" w:eastAsia="宋体" w:cs="宋体"/>
                <w:color w:val="000000"/>
                <w:sz w:val="18"/>
                <w:szCs w:val="18"/>
              </w:rPr>
            </w:pPr>
          </w:p>
        </w:tc>
        <w:tc>
          <w:tcPr>
            <w:tcW w:w="298" w:type="pct"/>
            <w:vMerge w:val="restart"/>
            <w:tcBorders>
              <w:top w:val="single" w:color="auto" w:sz="12" w:space="0"/>
              <w:left w:val="single" w:color="auto" w:sz="4" w:space="0"/>
              <w:right w:val="single" w:color="auto" w:sz="4" w:space="0"/>
              <w:tl2br w:val="nil"/>
              <w:tr2bl w:val="nil"/>
            </w:tcBorders>
            <w:noWrap w:val="0"/>
            <w:vAlign w:val="center"/>
          </w:tcPr>
          <w:p w14:paraId="114698E2">
            <w:pPr>
              <w:pStyle w:val="239"/>
              <w:keepNext w:val="0"/>
              <w:keepLines w:val="0"/>
              <w:pageBreakBefore w:val="0"/>
              <w:widowControl/>
              <w:numPr>
                <w:ilvl w:val="0"/>
                <w:numId w:val="0"/>
              </w:numPr>
              <w:suppressLineNumbers w:val="0"/>
              <w:kinsoku/>
              <w:wordWrap/>
              <w:overflowPunct/>
              <w:topLinePunct w:val="0"/>
              <w:bidi w:val="0"/>
              <w:snapToGrid/>
              <w:spacing w:before="0" w:beforeLines="0" w:beforeAutospacing="0" w:after="0" w:afterLines="0" w:afterAutospacing="0"/>
              <w:ind w:left="0" w:right="0"/>
              <w:jc w:val="center"/>
              <w:textAlignment w:val="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共富(0.6)</w:t>
            </w:r>
          </w:p>
        </w:tc>
        <w:tc>
          <w:tcPr>
            <w:tcW w:w="313" w:type="pct"/>
            <w:vMerge w:val="restart"/>
            <w:tcBorders>
              <w:top w:val="single" w:color="auto" w:sz="12" w:space="0"/>
              <w:left w:val="single" w:color="auto" w:sz="4" w:space="0"/>
              <w:right w:val="single" w:color="auto" w:sz="4" w:space="0"/>
              <w:tl2br w:val="nil"/>
              <w:tr2bl w:val="nil"/>
            </w:tcBorders>
            <w:shd w:val="clear" w:color="auto" w:fill="auto"/>
            <w:noWrap w:val="0"/>
            <w:vAlign w:val="center"/>
          </w:tcPr>
          <w:p w14:paraId="1073BD92">
            <w:pPr>
              <w:pStyle w:val="239"/>
              <w:keepNext w:val="0"/>
              <w:keepLines w:val="0"/>
              <w:pageBreakBefore w:val="0"/>
              <w:widowControl/>
              <w:numPr>
                <w:ilvl w:val="0"/>
                <w:numId w:val="0"/>
              </w:numPr>
              <w:suppressLineNumbers w:val="0"/>
              <w:kinsoku/>
              <w:wordWrap/>
              <w:overflowPunct/>
              <w:topLinePunct w:val="0"/>
              <w:bidi w:val="0"/>
              <w:snapToGrid/>
              <w:spacing w:before="0" w:beforeLines="0" w:beforeAutospacing="0" w:after="0" w:afterLines="0" w:afterAutospacing="0"/>
              <w:ind w:left="0" w:right="0"/>
              <w:jc w:val="center"/>
              <w:textAlignment w:val="auto"/>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精神富足（0.3）</w:t>
            </w:r>
          </w:p>
        </w:tc>
        <w:tc>
          <w:tcPr>
            <w:tcW w:w="452" w:type="pct"/>
            <w:tcBorders>
              <w:top w:val="single" w:color="auto" w:sz="12" w:space="0"/>
              <w:left w:val="single" w:color="auto" w:sz="4" w:space="0"/>
              <w:bottom w:val="single" w:color="auto" w:sz="4" w:space="0"/>
              <w:right w:val="single" w:color="auto" w:sz="4" w:space="0"/>
              <w:tl2br w:val="nil"/>
              <w:tr2bl w:val="nil"/>
            </w:tcBorders>
            <w:shd w:val="clear" w:color="auto" w:fill="auto"/>
            <w:noWrap w:val="0"/>
            <w:vAlign w:val="center"/>
          </w:tcPr>
          <w:p w14:paraId="6EF5011A">
            <w:pPr>
              <w:pStyle w:val="239"/>
              <w:keepNext w:val="0"/>
              <w:keepLines w:val="0"/>
              <w:pageBreakBefore w:val="0"/>
              <w:widowControl/>
              <w:numPr>
                <w:ilvl w:val="0"/>
                <w:numId w:val="0"/>
              </w:numPr>
              <w:suppressLineNumbers w:val="0"/>
              <w:kinsoku/>
              <w:wordWrap/>
              <w:overflowPunct/>
              <w:topLinePunct w:val="0"/>
              <w:bidi w:val="0"/>
              <w:snapToGrid/>
              <w:spacing w:before="0" w:beforeLines="0" w:beforeAutospacing="0" w:after="0" w:afterLines="0" w:afterAutospacing="0"/>
              <w:ind w:left="0" w:leftChars="0" w:right="0" w:rightChars="0" w:firstLine="0" w:firstLineChars="0"/>
              <w:jc w:val="center"/>
              <w:textAlignment w:val="auto"/>
              <w:rPr>
                <w:rFonts w:hint="eastAsia" w:ascii="宋体" w:hAnsi="宋体" w:eastAsia="宋体" w:cs="宋体"/>
                <w:color w:val="000000"/>
                <w:sz w:val="18"/>
                <w:szCs w:val="18"/>
              </w:rPr>
            </w:pPr>
            <w:r>
              <w:rPr>
                <w:rFonts w:hint="eastAsia" w:ascii="宋体" w:hAnsi="宋体" w:eastAsia="宋体" w:cs="宋体"/>
                <w:color w:val="000000" w:themeColor="text1"/>
                <w:sz w:val="18"/>
                <w:szCs w:val="18"/>
                <w:lang w:val="en-US" w:eastAsia="zh-CN"/>
                <w14:textFill>
                  <w14:solidFill>
                    <w14:schemeClr w14:val="tx1"/>
                  </w14:solidFill>
                </w14:textFill>
              </w:rPr>
              <w:t>公共服务均等（0.3）</w:t>
            </w:r>
          </w:p>
        </w:tc>
        <w:tc>
          <w:tcPr>
            <w:tcW w:w="627" w:type="pct"/>
            <w:tcBorders>
              <w:top w:val="single" w:color="auto" w:sz="12" w:space="0"/>
              <w:left w:val="single" w:color="auto" w:sz="4" w:space="0"/>
              <w:bottom w:val="single" w:color="auto" w:sz="4" w:space="0"/>
              <w:right w:val="single" w:color="auto" w:sz="4" w:space="0"/>
              <w:tl2br w:val="nil"/>
              <w:tr2bl w:val="nil"/>
            </w:tcBorders>
            <w:shd w:val="clear" w:color="auto" w:fill="auto"/>
            <w:noWrap w:val="0"/>
            <w:vAlign w:val="center"/>
          </w:tcPr>
          <w:p w14:paraId="020ECC40">
            <w:pPr>
              <w:keepNext w:val="0"/>
              <w:keepLines w:val="0"/>
              <w:pageBreakBefore w:val="0"/>
              <w:suppressLineNumbers w:val="0"/>
              <w:kinsoku/>
              <w:wordWrap/>
              <w:overflowPunct/>
              <w:topLinePunct w:val="0"/>
              <w:bidi w:val="0"/>
              <w:snapToGrid/>
              <w:spacing w:beforeAutospacing="0" w:afterAutospacing="0"/>
              <w:ind w:left="0" w:leftChars="0" w:right="0" w:rightChars="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康养产业从业人员</w:t>
            </w:r>
          </w:p>
          <w:p w14:paraId="5244C40A">
            <w:pPr>
              <w:keepNext w:val="0"/>
              <w:keepLines w:val="0"/>
              <w:pageBreakBefore w:val="0"/>
              <w:suppressLineNumbers w:val="0"/>
              <w:kinsoku/>
              <w:wordWrap/>
              <w:overflowPunct/>
              <w:topLinePunct w:val="0"/>
              <w:bidi w:val="0"/>
              <w:snapToGrid/>
              <w:spacing w:beforeAutospacing="0" w:afterAutospacing="0"/>
              <w:ind w:left="0" w:leftChars="0" w:right="0" w:rightChars="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参保率</w:t>
            </w:r>
          </w:p>
        </w:tc>
        <w:tc>
          <w:tcPr>
            <w:tcW w:w="223" w:type="pct"/>
            <w:tcBorders>
              <w:top w:val="single" w:color="auto" w:sz="12" w:space="0"/>
              <w:left w:val="single" w:color="auto" w:sz="4" w:space="0"/>
              <w:bottom w:val="single" w:color="auto" w:sz="4" w:space="0"/>
              <w:right w:val="single" w:color="auto" w:sz="4" w:space="0"/>
              <w:tl2br w:val="nil"/>
              <w:tr2bl w:val="nil"/>
            </w:tcBorders>
            <w:noWrap w:val="0"/>
            <w:vAlign w:val="center"/>
          </w:tcPr>
          <w:p w14:paraId="5127B8B3">
            <w:pPr>
              <w:keepNext w:val="0"/>
              <w:keepLines w:val="0"/>
              <w:pageBreakBefore w:val="0"/>
              <w:suppressLineNumbers w:val="0"/>
              <w:kinsoku/>
              <w:wordWrap/>
              <w:overflowPunct/>
              <w:topLinePunct w:val="0"/>
              <w:bidi w:val="0"/>
              <w:snapToGrid/>
              <w:spacing w:beforeAutospacing="0" w:afterAutospacing="0"/>
              <w:ind w:left="0" w:leftChars="0" w:right="0" w:rightChars="0"/>
              <w:jc w:val="center"/>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791" w:type="pct"/>
            <w:tcBorders>
              <w:top w:val="single" w:color="auto" w:sz="12" w:space="0"/>
              <w:left w:val="single" w:color="auto" w:sz="4" w:space="0"/>
              <w:bottom w:val="single" w:color="auto" w:sz="4" w:space="0"/>
              <w:right w:val="single" w:color="auto" w:sz="4" w:space="0"/>
              <w:tl2br w:val="nil"/>
              <w:tr2bl w:val="nil"/>
            </w:tcBorders>
            <w:noWrap w:val="0"/>
            <w:vAlign w:val="center"/>
          </w:tcPr>
          <w:p w14:paraId="55D5A100">
            <w:pPr>
              <w:keepNext w:val="0"/>
              <w:keepLines w:val="0"/>
              <w:pageBreakBefore w:val="0"/>
              <w:suppressLineNumbers w:val="0"/>
              <w:kinsoku/>
              <w:wordWrap/>
              <w:overflowPunct/>
              <w:topLinePunct w:val="0"/>
              <w:bidi w:val="0"/>
              <w:snapToGrid/>
              <w:spacing w:beforeAutospacing="0" w:afterAutospacing="0"/>
              <w:ind w:left="0" w:leftChars="0" w:right="0" w:rightChars="0"/>
              <w:textAlignment w:val="auto"/>
              <w:rPr>
                <w:rFonts w:hint="eastAsia" w:ascii="宋体" w:hAnsi="宋体" w:eastAsia="宋体" w:cs="宋体"/>
                <w:color w:val="000000"/>
                <w:sz w:val="18"/>
                <w:szCs w:val="18"/>
              </w:rPr>
            </w:pPr>
            <w:r>
              <w:rPr>
                <w:rFonts w:hint="eastAsia" w:ascii="宋体" w:hAnsi="宋体" w:cs="宋体"/>
                <w:color w:val="000000" w:themeColor="text1"/>
                <w:sz w:val="18"/>
                <w:szCs w:val="18"/>
                <w:highlight w:val="none"/>
                <w:lang w:val="en-US" w:eastAsia="zh-CN"/>
                <w14:textFill>
                  <w14:solidFill>
                    <w14:schemeClr w14:val="tx1"/>
                  </w14:solidFill>
                </w14:textFill>
              </w:rPr>
              <w:t>联合体内</w:t>
            </w:r>
            <w:r>
              <w:rPr>
                <w:rFonts w:hint="eastAsia" w:ascii="宋体" w:hAnsi="宋体" w:eastAsia="宋体" w:cs="宋体"/>
                <w:color w:val="000000"/>
                <w:sz w:val="18"/>
                <w:szCs w:val="18"/>
              </w:rPr>
              <w:t>康养从业人员中参加城乡居民基本养老保险</w:t>
            </w:r>
            <w:r>
              <w:rPr>
                <w:rFonts w:hint="eastAsia" w:ascii="宋体" w:hAnsi="宋体" w:cs="宋体"/>
                <w:color w:val="000000"/>
                <w:sz w:val="18"/>
                <w:szCs w:val="18"/>
                <w:lang w:val="en-US" w:eastAsia="zh-CN"/>
              </w:rPr>
              <w:t>或城镇职工基本养老保险</w:t>
            </w:r>
            <w:r>
              <w:rPr>
                <w:rFonts w:hint="eastAsia" w:ascii="宋体" w:hAnsi="宋体" w:cs="宋体"/>
                <w:color w:val="000000"/>
                <w:sz w:val="18"/>
                <w:szCs w:val="18"/>
                <w:lang w:eastAsia="zh-CN"/>
              </w:rPr>
              <w:t>、</w:t>
            </w:r>
            <w:r>
              <w:rPr>
                <w:rFonts w:hint="eastAsia" w:ascii="宋体" w:hAnsi="宋体" w:eastAsia="宋体" w:cs="宋体"/>
                <w:color w:val="000000"/>
                <w:sz w:val="18"/>
                <w:szCs w:val="18"/>
              </w:rPr>
              <w:t>城乡居民基本医疗保险</w:t>
            </w:r>
            <w:r>
              <w:rPr>
                <w:rFonts w:hint="eastAsia" w:ascii="宋体" w:hAnsi="宋体" w:cs="宋体"/>
                <w:color w:val="000000"/>
                <w:sz w:val="18"/>
                <w:szCs w:val="18"/>
                <w:lang w:val="en-US" w:eastAsia="zh-CN"/>
              </w:rPr>
              <w:t>或</w:t>
            </w:r>
            <w:r>
              <w:rPr>
                <w:rFonts w:hint="eastAsia" w:ascii="宋体" w:hAnsi="宋体" w:cs="宋体"/>
                <w:color w:val="000000"/>
                <w:sz w:val="18"/>
                <w:szCs w:val="18"/>
                <w:lang w:val="en-US" w:eastAsia="zh-CN"/>
              </w:rPr>
              <w:fldChar w:fldCharType="begin"/>
            </w:r>
            <w:r>
              <w:rPr>
                <w:rFonts w:hint="eastAsia" w:ascii="宋体" w:hAnsi="宋体" w:cs="宋体"/>
                <w:color w:val="000000"/>
                <w:sz w:val="18"/>
                <w:szCs w:val="18"/>
                <w:lang w:val="en-US" w:eastAsia="zh-CN"/>
              </w:rPr>
              <w:instrText xml:space="preserve"> HYPERLINK "https://www.baidu.com/link?url=JAahf_yjxoV7g3f7LVpUHLK-4qm6uFR_h6GrCs0UKDS1HjkTYY2jMj-188XDaXcbm2k6FeJRMr31MlcNUoMSaihcrLb9UEbBEhGu3gfkFzZEJZ93UYLpqAG6ldVtAkhu&amp;wd=&amp;eqid=a963d19e001b9a3e000000066902d1ef" \t "https://www.baidu.com/_blank" </w:instrText>
            </w:r>
            <w:r>
              <w:rPr>
                <w:rFonts w:hint="eastAsia" w:ascii="宋体" w:hAnsi="宋体" w:cs="宋体"/>
                <w:color w:val="000000"/>
                <w:sz w:val="18"/>
                <w:szCs w:val="18"/>
                <w:lang w:val="en-US" w:eastAsia="zh-CN"/>
              </w:rPr>
              <w:fldChar w:fldCharType="separate"/>
            </w:r>
            <w:r>
              <w:rPr>
                <w:rFonts w:hint="eastAsia" w:ascii="宋体" w:hAnsi="宋体" w:cs="宋体"/>
                <w:color w:val="000000"/>
                <w:sz w:val="18"/>
                <w:szCs w:val="18"/>
                <w:lang w:val="en-US" w:eastAsia="zh-CN"/>
              </w:rPr>
              <w:t>城镇职工基本医疗保险</w:t>
            </w:r>
            <w:r>
              <w:rPr>
                <w:rFonts w:hint="eastAsia" w:ascii="宋体" w:hAnsi="宋体" w:cs="宋体"/>
                <w:color w:val="000000"/>
                <w:sz w:val="18"/>
                <w:szCs w:val="18"/>
                <w:lang w:val="en-US" w:eastAsia="zh-CN"/>
              </w:rPr>
              <w:fldChar w:fldCharType="end"/>
            </w:r>
            <w:r>
              <w:rPr>
                <w:rFonts w:hint="eastAsia" w:ascii="宋体" w:hAnsi="宋体" w:cs="宋体"/>
                <w:color w:val="000000"/>
                <w:sz w:val="18"/>
                <w:szCs w:val="18"/>
                <w:lang w:val="en-US" w:eastAsia="zh-CN"/>
              </w:rPr>
              <w:t>（仅需参与其中任意一种保险即可）</w:t>
            </w:r>
            <w:r>
              <w:rPr>
                <w:rFonts w:hint="eastAsia" w:ascii="宋体" w:hAnsi="宋体" w:eastAsia="宋体" w:cs="宋体"/>
                <w:color w:val="000000"/>
                <w:sz w:val="18"/>
                <w:szCs w:val="18"/>
              </w:rPr>
              <w:t>的实际人数占该产业从业人员总数的百分比，反映从业人员社会保障权益的覆盖程度</w:t>
            </w:r>
            <w:r>
              <w:rPr>
                <w:rFonts w:hint="eastAsia" w:ascii="宋体" w:hAnsi="宋体" w:cs="宋体"/>
                <w:color w:val="000000"/>
                <w:sz w:val="18"/>
                <w:szCs w:val="18"/>
                <w:lang w:eastAsia="zh-CN"/>
              </w:rPr>
              <w:t>。</w:t>
            </w:r>
            <w:r>
              <w:rPr>
                <w:rFonts w:hint="eastAsia" w:ascii="宋体" w:hAnsi="宋体" w:eastAsia="宋体" w:cs="宋体"/>
                <w:color w:val="000000"/>
                <w:sz w:val="18"/>
                <w:szCs w:val="18"/>
                <w:lang w:val="en-US" w:eastAsia="zh-CN"/>
              </w:rPr>
              <w:t>（评分标准：参保率＜</w:t>
            </w:r>
            <w:r>
              <w:rPr>
                <w:rFonts w:hint="eastAsia" w:ascii="宋体" w:hAnsi="宋体" w:cs="宋体"/>
                <w:color w:val="000000"/>
                <w:sz w:val="18"/>
                <w:szCs w:val="18"/>
                <w:lang w:val="en-US" w:eastAsia="zh-CN"/>
              </w:rPr>
              <w:t>9</w:t>
            </w:r>
            <w:r>
              <w:rPr>
                <w:rFonts w:hint="eastAsia" w:ascii="宋体" w:hAnsi="宋体" w:eastAsia="宋体" w:cs="宋体"/>
                <w:color w:val="000000"/>
                <w:sz w:val="18"/>
                <w:szCs w:val="18"/>
                <w:lang w:val="en-US" w:eastAsia="zh-CN"/>
              </w:rPr>
              <w:t>5%得60分；</w:t>
            </w:r>
            <w:r>
              <w:rPr>
                <w:rFonts w:hint="eastAsia" w:ascii="宋体" w:hAnsi="宋体" w:cs="宋体"/>
                <w:color w:val="000000"/>
                <w:sz w:val="18"/>
                <w:szCs w:val="18"/>
                <w:lang w:val="en-US" w:eastAsia="zh-CN"/>
              </w:rPr>
              <w:t>9</w:t>
            </w:r>
            <w:r>
              <w:rPr>
                <w:rFonts w:hint="eastAsia" w:ascii="宋体" w:hAnsi="宋体" w:eastAsia="宋体" w:cs="宋体"/>
                <w:color w:val="000000"/>
                <w:sz w:val="18"/>
                <w:szCs w:val="18"/>
                <w:lang w:val="en-US" w:eastAsia="zh-CN"/>
              </w:rPr>
              <w:t>5%≤参保率＜9</w:t>
            </w:r>
            <w:r>
              <w:rPr>
                <w:rFonts w:hint="eastAsia" w:ascii="宋体" w:hAnsi="宋体" w:cs="宋体"/>
                <w:color w:val="000000"/>
                <w:sz w:val="18"/>
                <w:szCs w:val="18"/>
                <w:lang w:val="en-US" w:eastAsia="zh-CN"/>
              </w:rPr>
              <w:t>8</w:t>
            </w:r>
            <w:r>
              <w:rPr>
                <w:rFonts w:hint="eastAsia" w:ascii="宋体" w:hAnsi="宋体" w:eastAsia="宋体" w:cs="宋体"/>
                <w:color w:val="000000"/>
                <w:sz w:val="18"/>
                <w:szCs w:val="18"/>
                <w:lang w:val="en-US" w:eastAsia="zh-CN"/>
              </w:rPr>
              <w:t>%得80分；参保率</w:t>
            </w:r>
            <w:r>
              <w:rPr>
                <w:rFonts w:hint="eastAsia" w:ascii="宋体" w:hAnsi="宋体" w:cs="宋体"/>
                <w:color w:val="000000"/>
                <w:sz w:val="18"/>
                <w:szCs w:val="18"/>
                <w:lang w:val="en-US" w:eastAsia="zh-CN"/>
              </w:rPr>
              <w:t>≥</w:t>
            </w:r>
            <w:r>
              <w:rPr>
                <w:rFonts w:hint="eastAsia" w:ascii="宋体" w:hAnsi="宋体" w:eastAsia="宋体" w:cs="宋体"/>
                <w:color w:val="000000"/>
                <w:sz w:val="18"/>
                <w:szCs w:val="18"/>
                <w:lang w:val="en-US" w:eastAsia="zh-CN"/>
              </w:rPr>
              <w:t>9</w:t>
            </w:r>
            <w:r>
              <w:rPr>
                <w:rFonts w:hint="eastAsia" w:ascii="宋体" w:hAnsi="宋体" w:cs="宋体"/>
                <w:color w:val="000000"/>
                <w:sz w:val="18"/>
                <w:szCs w:val="18"/>
                <w:lang w:val="en-US" w:eastAsia="zh-CN"/>
              </w:rPr>
              <w:t>8</w:t>
            </w:r>
            <w:r>
              <w:rPr>
                <w:rFonts w:hint="eastAsia" w:ascii="宋体" w:hAnsi="宋体" w:eastAsia="宋体" w:cs="宋体"/>
                <w:color w:val="000000"/>
                <w:sz w:val="18"/>
                <w:szCs w:val="18"/>
                <w:lang w:val="en-US" w:eastAsia="zh-CN"/>
              </w:rPr>
              <w:t>%得100分）</w:t>
            </w:r>
          </w:p>
        </w:tc>
        <w:tc>
          <w:tcPr>
            <w:tcW w:w="373" w:type="pct"/>
            <w:tcBorders>
              <w:top w:val="single" w:color="auto" w:sz="12" w:space="0"/>
              <w:left w:val="single" w:color="auto" w:sz="4" w:space="0"/>
              <w:bottom w:val="single" w:color="auto" w:sz="4" w:space="0"/>
              <w:right w:val="single" w:color="auto" w:sz="4" w:space="0"/>
              <w:tl2br w:val="nil"/>
              <w:tr2bl w:val="nil"/>
            </w:tcBorders>
            <w:noWrap w:val="0"/>
            <w:vAlign w:val="center"/>
          </w:tcPr>
          <w:p w14:paraId="2939598A">
            <w:pPr>
              <w:keepNext w:val="0"/>
              <w:keepLines w:val="0"/>
              <w:pageBreakBefore w:val="0"/>
              <w:suppressLineNumbers w:val="0"/>
              <w:kinsoku/>
              <w:wordWrap/>
              <w:overflowPunct/>
              <w:topLinePunct w:val="0"/>
              <w:bidi w:val="0"/>
              <w:snapToGrid/>
              <w:spacing w:beforeAutospacing="0" w:afterAutospacing="0"/>
              <w:ind w:left="0" w:leftChars="0" w:right="0" w:rightChars="0"/>
              <w:jc w:val="center"/>
              <w:textAlignment w:val="auto"/>
              <w:rPr>
                <w:rFonts w:hint="eastAsia" w:ascii="宋体" w:hAnsi="宋体" w:cs="宋体"/>
                <w:color w:val="000000" w:themeColor="text1"/>
                <w:sz w:val="18"/>
                <w:szCs w:val="18"/>
                <w:lang w:val="en-US" w:eastAsia="zh-CN"/>
                <w14:textFill>
                  <w14:solidFill>
                    <w14:schemeClr w14:val="tx1"/>
                  </w14:solidFill>
                </w14:textFill>
              </w:rPr>
            </w:pPr>
            <w:r>
              <w:rPr>
                <w:rFonts w:hint="eastAsia" w:ascii="宋体" w:hAnsi="宋体" w:cs="宋体"/>
                <w:color w:val="000000" w:themeColor="text1"/>
                <w:sz w:val="18"/>
                <w:szCs w:val="18"/>
                <w:lang w:val="en-US" w:eastAsia="zh-CN"/>
                <w14:textFill>
                  <w14:solidFill>
                    <w14:schemeClr w14:val="tx1"/>
                  </w14:solidFill>
                </w14:textFill>
              </w:rPr>
              <w:t>（已参保从业人员数/从业人员总数）×100%</w:t>
            </w:r>
          </w:p>
        </w:tc>
        <w:tc>
          <w:tcPr>
            <w:tcW w:w="373" w:type="pct"/>
            <w:tcBorders>
              <w:top w:val="single" w:color="auto" w:sz="12" w:space="0"/>
              <w:left w:val="single" w:color="auto" w:sz="4" w:space="0"/>
              <w:bottom w:val="single" w:color="auto" w:sz="4" w:space="0"/>
              <w:right w:val="single" w:color="auto" w:sz="4" w:space="0"/>
              <w:tl2br w:val="nil"/>
              <w:tr2bl w:val="nil"/>
            </w:tcBorders>
            <w:noWrap w:val="0"/>
            <w:vAlign w:val="center"/>
          </w:tcPr>
          <w:p w14:paraId="33F794E7">
            <w:pPr>
              <w:keepNext w:val="0"/>
              <w:keepLines w:val="0"/>
              <w:pageBreakBefore w:val="0"/>
              <w:suppressLineNumbers w:val="0"/>
              <w:kinsoku/>
              <w:wordWrap/>
              <w:overflowPunct/>
              <w:topLinePunct w:val="0"/>
              <w:bidi w:val="0"/>
              <w:snapToGrid/>
              <w:spacing w:beforeAutospacing="0" w:afterAutospacing="0"/>
              <w:ind w:left="0" w:leftChars="0" w:right="0" w:rightChars="0"/>
              <w:jc w:val="center"/>
              <w:textAlignment w:val="auto"/>
              <w:rPr>
                <w:rFonts w:hint="eastAsia" w:ascii="宋体" w:hAnsi="宋体" w:cs="宋体"/>
                <w:color w:val="000000" w:themeColor="text1"/>
                <w:sz w:val="18"/>
                <w:szCs w:val="18"/>
                <w:lang w:val="en-US" w:eastAsia="zh-CN"/>
                <w14:textFill>
                  <w14:solidFill>
                    <w14:schemeClr w14:val="tx1"/>
                  </w14:solidFill>
                </w14:textFill>
              </w:rPr>
            </w:pPr>
            <w:r>
              <w:rPr>
                <w:rFonts w:hint="eastAsia" w:ascii="宋体" w:hAnsi="宋体" w:cs="宋体"/>
                <w:color w:val="000000" w:themeColor="text1"/>
                <w:sz w:val="18"/>
                <w:szCs w:val="18"/>
                <w:lang w:val="en-US" w:eastAsia="zh-CN"/>
                <w14:textFill>
                  <w14:solidFill>
                    <w14:schemeClr w14:val="tx1"/>
                  </w14:solidFill>
                </w14:textFill>
              </w:rPr>
              <w:t>创富工作</w:t>
            </w:r>
          </w:p>
          <w:p w14:paraId="35BA4EA2">
            <w:pPr>
              <w:keepNext w:val="0"/>
              <w:keepLines w:val="0"/>
              <w:pageBreakBefore w:val="0"/>
              <w:suppressLineNumbers w:val="0"/>
              <w:kinsoku/>
              <w:wordWrap/>
              <w:overflowPunct/>
              <w:topLinePunct w:val="0"/>
              <w:bidi w:val="0"/>
              <w:snapToGrid/>
              <w:spacing w:beforeAutospacing="0" w:afterAutospacing="0"/>
              <w:ind w:left="0" w:leftChars="0" w:right="0" w:rightChars="0"/>
              <w:jc w:val="center"/>
              <w:textAlignment w:val="auto"/>
              <w:rPr>
                <w:rFonts w:hint="eastAsia" w:ascii="宋体" w:hAnsi="宋体" w:eastAsia="宋体" w:cs="宋体"/>
                <w:color w:val="000000"/>
                <w:sz w:val="18"/>
                <w:szCs w:val="18"/>
                <w:lang w:val="en-US" w:eastAsia="zh-CN"/>
              </w:rPr>
            </w:pPr>
            <w:r>
              <w:rPr>
                <w:rFonts w:hint="eastAsia" w:ascii="宋体" w:hAnsi="宋体" w:cs="宋体"/>
                <w:color w:val="000000" w:themeColor="text1"/>
                <w:sz w:val="18"/>
                <w:szCs w:val="18"/>
                <w:lang w:val="en-US" w:eastAsia="zh-CN"/>
                <w14:textFill>
                  <w14:solidFill>
                    <w14:schemeClr w14:val="tx1"/>
                  </w14:solidFill>
                </w14:textFill>
              </w:rPr>
              <w:t>形成数据</w:t>
            </w:r>
          </w:p>
        </w:tc>
        <w:tc>
          <w:tcPr>
            <w:tcW w:w="358" w:type="pct"/>
            <w:vMerge w:val="restart"/>
            <w:tcBorders>
              <w:top w:val="single" w:color="auto" w:sz="12" w:space="0"/>
              <w:left w:val="single" w:color="auto" w:sz="4" w:space="0"/>
              <w:right w:val="single" w:color="auto" w:sz="12" w:space="0"/>
              <w:tl2br w:val="nil"/>
              <w:tr2bl w:val="nil"/>
            </w:tcBorders>
            <w:noWrap w:val="0"/>
            <w:vAlign w:val="center"/>
          </w:tcPr>
          <w:p w14:paraId="27625497">
            <w:pPr>
              <w:keepNext w:val="0"/>
              <w:keepLines w:val="0"/>
              <w:pageBreakBefore w:val="0"/>
              <w:suppressLineNumbers w:val="0"/>
              <w:kinsoku/>
              <w:wordWrap/>
              <w:overflowPunct/>
              <w:topLinePunct w:val="0"/>
              <w:bidi w:val="0"/>
              <w:snapToGrid/>
              <w:spacing w:beforeAutospacing="0" w:afterAutospacing="0"/>
              <w:ind w:left="0" w:right="0"/>
              <w:jc w:val="center"/>
              <w:textAlignment w:val="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每年</w:t>
            </w:r>
          </w:p>
          <w:p w14:paraId="47CFE6CF">
            <w:pPr>
              <w:keepNext w:val="0"/>
              <w:keepLines w:val="0"/>
              <w:pageBreakBefore w:val="0"/>
              <w:suppressLineNumbers w:val="0"/>
              <w:kinsoku/>
              <w:wordWrap/>
              <w:overflowPunct/>
              <w:topLinePunct w:val="0"/>
              <w:bidi w:val="0"/>
              <w:snapToGrid/>
              <w:spacing w:beforeAutospacing="0" w:afterAutospacing="0"/>
              <w:ind w:left="0" w:right="0"/>
              <w:jc w:val="center"/>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lang w:val="en-US" w:eastAsia="zh-CN"/>
              </w:rPr>
              <w:t>1次</w:t>
            </w:r>
          </w:p>
        </w:tc>
      </w:tr>
      <w:tr w14:paraId="53E9E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5" w:hRule="atLeast"/>
        </w:trPr>
        <w:tc>
          <w:tcPr>
            <w:tcW w:w="187" w:type="pct"/>
            <w:tcBorders>
              <w:top w:val="single" w:color="auto" w:sz="4" w:space="0"/>
              <w:left w:val="single" w:color="auto" w:sz="12" w:space="0"/>
              <w:bottom w:val="single" w:color="auto" w:sz="12" w:space="0"/>
              <w:right w:val="single" w:color="auto" w:sz="4" w:space="0"/>
              <w:tl2br w:val="nil"/>
              <w:tr2bl w:val="nil"/>
            </w:tcBorders>
            <w:noWrap w:val="0"/>
            <w:vAlign w:val="center"/>
          </w:tcPr>
          <w:p w14:paraId="329264B3">
            <w:pPr>
              <w:pStyle w:val="239"/>
              <w:keepNext w:val="0"/>
              <w:keepLines w:val="0"/>
              <w:pageBreakBefore w:val="0"/>
              <w:widowControl/>
              <w:numPr>
                <w:ilvl w:val="0"/>
                <w:numId w:val="35"/>
              </w:numPr>
              <w:suppressLineNumbers w:val="0"/>
              <w:kinsoku/>
              <w:wordWrap/>
              <w:overflowPunct/>
              <w:topLinePunct w:val="0"/>
              <w:bidi w:val="0"/>
              <w:snapToGrid/>
              <w:spacing w:before="0" w:beforeLines="0" w:beforeAutospacing="0" w:after="0" w:afterLines="0" w:afterAutospacing="0"/>
              <w:ind w:right="0"/>
              <w:jc w:val="center"/>
              <w:textAlignment w:val="auto"/>
              <w:rPr>
                <w:rFonts w:hint="eastAsia" w:ascii="宋体" w:hAnsi="宋体" w:eastAsia="宋体" w:cs="宋体"/>
                <w:color w:val="000000"/>
                <w:sz w:val="18"/>
                <w:szCs w:val="18"/>
              </w:rPr>
            </w:pPr>
          </w:p>
        </w:tc>
        <w:tc>
          <w:tcPr>
            <w:tcW w:w="298" w:type="pct"/>
            <w:vMerge w:val="continue"/>
            <w:tcBorders>
              <w:left w:val="single" w:color="auto" w:sz="4" w:space="0"/>
              <w:bottom w:val="single" w:color="auto" w:sz="12" w:space="0"/>
              <w:right w:val="single" w:color="auto" w:sz="4" w:space="0"/>
              <w:tl2br w:val="nil"/>
              <w:tr2bl w:val="nil"/>
            </w:tcBorders>
            <w:noWrap w:val="0"/>
            <w:vAlign w:val="center"/>
          </w:tcPr>
          <w:p w14:paraId="06E0A06C">
            <w:pPr>
              <w:pStyle w:val="239"/>
              <w:keepNext w:val="0"/>
              <w:keepLines w:val="0"/>
              <w:pageBreakBefore w:val="0"/>
              <w:widowControl/>
              <w:numPr>
                <w:ilvl w:val="0"/>
                <w:numId w:val="0"/>
              </w:numPr>
              <w:suppressLineNumbers w:val="0"/>
              <w:kinsoku/>
              <w:wordWrap/>
              <w:overflowPunct/>
              <w:topLinePunct w:val="0"/>
              <w:bidi w:val="0"/>
              <w:snapToGrid/>
              <w:spacing w:before="0" w:beforeLines="0" w:beforeAutospacing="0" w:after="0" w:afterLines="0" w:afterAutospacing="0"/>
              <w:ind w:left="0" w:right="0"/>
              <w:jc w:val="center"/>
              <w:textAlignment w:val="auto"/>
              <w:rPr>
                <w:rFonts w:hint="eastAsia" w:ascii="宋体" w:hAnsi="宋体" w:eastAsia="宋体" w:cs="宋体"/>
                <w:color w:val="000000"/>
                <w:sz w:val="18"/>
                <w:szCs w:val="18"/>
                <w:lang w:val="en-US" w:eastAsia="zh-CN"/>
              </w:rPr>
            </w:pPr>
          </w:p>
        </w:tc>
        <w:tc>
          <w:tcPr>
            <w:tcW w:w="313" w:type="pct"/>
            <w:vMerge w:val="continue"/>
            <w:tcBorders>
              <w:left w:val="single" w:color="auto" w:sz="4" w:space="0"/>
              <w:bottom w:val="single" w:color="auto" w:sz="12" w:space="0"/>
              <w:right w:val="single" w:color="auto" w:sz="4" w:space="0"/>
              <w:tl2br w:val="nil"/>
              <w:tr2bl w:val="nil"/>
            </w:tcBorders>
            <w:noWrap w:val="0"/>
            <w:vAlign w:val="center"/>
          </w:tcPr>
          <w:p w14:paraId="1AE5C40F">
            <w:pPr>
              <w:pStyle w:val="239"/>
              <w:keepNext w:val="0"/>
              <w:keepLines w:val="0"/>
              <w:pageBreakBefore w:val="0"/>
              <w:widowControl/>
              <w:numPr>
                <w:ilvl w:val="0"/>
                <w:numId w:val="0"/>
              </w:numPr>
              <w:suppressLineNumbers w:val="0"/>
              <w:kinsoku/>
              <w:wordWrap/>
              <w:overflowPunct/>
              <w:topLinePunct w:val="0"/>
              <w:bidi w:val="0"/>
              <w:snapToGrid/>
              <w:spacing w:before="0" w:beforeLines="0" w:beforeAutospacing="0" w:after="0" w:afterLines="0" w:afterAutospacing="0"/>
              <w:ind w:left="0" w:right="0"/>
              <w:jc w:val="center"/>
              <w:textAlignment w:val="auto"/>
              <w:rPr>
                <w:rFonts w:hint="eastAsia" w:ascii="宋体" w:hAnsi="宋体" w:eastAsia="宋体" w:cs="宋体"/>
                <w:color w:val="000000"/>
                <w:sz w:val="18"/>
                <w:szCs w:val="18"/>
                <w:lang w:val="en-US" w:eastAsia="zh-CN"/>
              </w:rPr>
            </w:pPr>
          </w:p>
        </w:tc>
        <w:tc>
          <w:tcPr>
            <w:tcW w:w="452" w:type="pct"/>
            <w:tcBorders>
              <w:top w:val="single" w:color="auto" w:sz="4" w:space="0"/>
              <w:left w:val="single" w:color="auto" w:sz="4" w:space="0"/>
              <w:bottom w:val="single" w:color="auto" w:sz="12" w:space="0"/>
              <w:right w:val="single" w:color="auto" w:sz="4" w:space="0"/>
              <w:tl2br w:val="nil"/>
              <w:tr2bl w:val="nil"/>
            </w:tcBorders>
            <w:shd w:val="clear" w:color="auto" w:fill="auto"/>
            <w:noWrap w:val="0"/>
            <w:vAlign w:val="center"/>
          </w:tcPr>
          <w:p w14:paraId="5B3484B6">
            <w:pPr>
              <w:pStyle w:val="239"/>
              <w:keepNext w:val="0"/>
              <w:keepLines w:val="0"/>
              <w:pageBreakBefore w:val="0"/>
              <w:widowControl/>
              <w:numPr>
                <w:ilvl w:val="0"/>
                <w:numId w:val="0"/>
              </w:numPr>
              <w:suppressLineNumbers w:val="0"/>
              <w:kinsoku/>
              <w:wordWrap/>
              <w:overflowPunct/>
              <w:topLinePunct w:val="0"/>
              <w:bidi w:val="0"/>
              <w:snapToGrid/>
              <w:spacing w:before="0" w:beforeLines="0" w:beforeAutospacing="0" w:after="0" w:afterLines="0" w:afterAutospacing="0"/>
              <w:ind w:left="0" w:leftChars="0" w:right="0" w:rightChars="0" w:firstLine="0" w:firstLineChars="0"/>
              <w:jc w:val="center"/>
              <w:textAlignment w:val="auto"/>
              <w:rPr>
                <w:rFonts w:hint="eastAsia" w:ascii="宋体" w:hAnsi="宋体" w:eastAsia="宋体" w:cs="宋体"/>
                <w:color w:val="000000"/>
                <w:sz w:val="18"/>
                <w:szCs w:val="18"/>
              </w:rPr>
            </w:pPr>
            <w:r>
              <w:rPr>
                <w:rFonts w:hint="eastAsia" w:ascii="宋体" w:hAnsi="宋体" w:eastAsia="宋体" w:cs="宋体"/>
                <w:color w:val="000000" w:themeColor="text1"/>
                <w:sz w:val="18"/>
                <w:szCs w:val="18"/>
                <w:lang w:val="en-US" w:eastAsia="zh-CN"/>
                <w14:textFill>
                  <w14:solidFill>
                    <w14:schemeClr w14:val="tx1"/>
                  </w14:solidFill>
                </w14:textFill>
              </w:rPr>
              <w:t>收入分配共享（0.4）</w:t>
            </w:r>
          </w:p>
        </w:tc>
        <w:tc>
          <w:tcPr>
            <w:tcW w:w="627" w:type="pct"/>
            <w:tcBorders>
              <w:top w:val="single" w:color="auto" w:sz="4" w:space="0"/>
              <w:left w:val="single" w:color="auto" w:sz="4" w:space="0"/>
              <w:bottom w:val="single" w:color="auto" w:sz="12" w:space="0"/>
              <w:right w:val="single" w:color="auto" w:sz="4" w:space="0"/>
              <w:tl2br w:val="nil"/>
              <w:tr2bl w:val="nil"/>
            </w:tcBorders>
            <w:shd w:val="clear" w:color="auto" w:fill="auto"/>
            <w:noWrap w:val="0"/>
            <w:vAlign w:val="center"/>
          </w:tcPr>
          <w:p w14:paraId="1B96B2CF">
            <w:pPr>
              <w:keepNext w:val="0"/>
              <w:keepLines w:val="0"/>
              <w:pageBreakBefore w:val="0"/>
              <w:numPr>
                <w:ilvl w:val="0"/>
                <w:numId w:val="0"/>
              </w:numPr>
              <w:suppressLineNumbers w:val="0"/>
              <w:kinsoku/>
              <w:wordWrap/>
              <w:overflowPunct/>
              <w:topLinePunct w:val="0"/>
              <w:bidi w:val="0"/>
              <w:snapToGrid/>
              <w:spacing w:beforeAutospacing="0" w:afterAutospacing="0" w:line="240" w:lineRule="atLeast"/>
              <w:ind w:left="0" w:leftChars="0" w:right="0" w:rightChars="0" w:firstLine="0" w:firstLineChars="0"/>
              <w:jc w:val="center"/>
              <w:textAlignment w:val="auto"/>
              <w:outlineLvl w:val="2"/>
              <w:rPr>
                <w:rFonts w:hint="eastAsia" w:ascii="宋体" w:hAnsi="宋体" w:eastAsia="宋体" w:cs="宋体"/>
                <w:color w:val="000000"/>
                <w:sz w:val="18"/>
                <w:szCs w:val="18"/>
              </w:rPr>
            </w:pPr>
            <w:r>
              <w:rPr>
                <w:rFonts w:hint="default" w:ascii="宋体" w:hAnsi="宋体" w:eastAsia="宋体" w:cs="宋体"/>
                <w:color w:val="000000"/>
                <w:sz w:val="18"/>
                <w:szCs w:val="18"/>
                <w:lang w:val="en-US"/>
              </w:rPr>
              <w:t>公益捐赠</w:t>
            </w:r>
            <w:r>
              <w:rPr>
                <w:rFonts w:hint="eastAsia" w:ascii="宋体" w:hAnsi="宋体" w:cs="宋体"/>
                <w:color w:val="000000"/>
                <w:sz w:val="18"/>
                <w:szCs w:val="18"/>
                <w:lang w:val="en-US" w:eastAsia="zh-CN"/>
              </w:rPr>
              <w:t>占比</w:t>
            </w:r>
          </w:p>
        </w:tc>
        <w:tc>
          <w:tcPr>
            <w:tcW w:w="223" w:type="pct"/>
            <w:tcBorders>
              <w:top w:val="single" w:color="auto" w:sz="4" w:space="0"/>
              <w:left w:val="single" w:color="auto" w:sz="4" w:space="0"/>
              <w:bottom w:val="single" w:color="auto" w:sz="12" w:space="0"/>
              <w:right w:val="single" w:color="auto" w:sz="4" w:space="0"/>
              <w:tl2br w:val="nil"/>
              <w:tr2bl w:val="nil"/>
            </w:tcBorders>
            <w:noWrap w:val="0"/>
            <w:vAlign w:val="center"/>
          </w:tcPr>
          <w:p w14:paraId="6CE03D5A">
            <w:pPr>
              <w:keepNext w:val="0"/>
              <w:keepLines w:val="0"/>
              <w:pageBreakBefore w:val="0"/>
              <w:suppressLineNumbers w:val="0"/>
              <w:kinsoku/>
              <w:wordWrap/>
              <w:overflowPunct/>
              <w:topLinePunct w:val="0"/>
              <w:bidi w:val="0"/>
              <w:adjustRightInd/>
              <w:snapToGrid/>
              <w:spacing w:beforeAutospacing="0" w:afterAutospacing="0" w:line="240" w:lineRule="atLeast"/>
              <w:ind w:left="0" w:leftChars="0" w:right="0" w:rightChars="0"/>
              <w:jc w:val="center"/>
              <w:textAlignment w:val="auto"/>
              <w:rPr>
                <w:rFonts w:hint="eastAsia" w:ascii="宋体" w:hAnsi="宋体" w:eastAsia="宋体" w:cs="宋体"/>
                <w:color w:val="000000"/>
                <w:sz w:val="18"/>
                <w:szCs w:val="18"/>
              </w:rPr>
            </w:pPr>
            <w:r>
              <w:rPr>
                <w:rFonts w:hint="eastAsia" w:ascii="宋体" w:hAnsi="宋体" w:cs="宋体"/>
                <w:i w:val="0"/>
                <w:iCs w:val="0"/>
                <w:caps w:val="0"/>
                <w:color w:val="000000" w:themeColor="text1"/>
                <w:spacing w:val="0"/>
                <w:sz w:val="18"/>
                <w:szCs w:val="18"/>
                <w:shd w:val="clear" w:fill="auto"/>
                <w:lang w:val="en-US" w:eastAsia="zh-CN"/>
                <w14:textFill>
                  <w14:solidFill>
                    <w14:schemeClr w14:val="tx1"/>
                  </w14:solidFill>
                </w14:textFill>
              </w:rPr>
              <w:t>%</w:t>
            </w:r>
          </w:p>
        </w:tc>
        <w:tc>
          <w:tcPr>
            <w:tcW w:w="1791" w:type="pct"/>
            <w:tcBorders>
              <w:top w:val="single" w:color="auto" w:sz="4" w:space="0"/>
              <w:left w:val="single" w:color="auto" w:sz="4" w:space="0"/>
              <w:bottom w:val="single" w:color="auto" w:sz="12" w:space="0"/>
              <w:right w:val="single" w:color="auto" w:sz="4" w:space="0"/>
              <w:tl2br w:val="nil"/>
              <w:tr2bl w:val="nil"/>
            </w:tcBorders>
            <w:noWrap w:val="0"/>
            <w:vAlign w:val="center"/>
          </w:tcPr>
          <w:p w14:paraId="7A873BD3">
            <w:pPr>
              <w:keepNext w:val="0"/>
              <w:keepLines w:val="0"/>
              <w:pageBreakBefore w:val="0"/>
              <w:suppressLineNumbers w:val="0"/>
              <w:kinsoku/>
              <w:wordWrap/>
              <w:overflowPunct/>
              <w:topLinePunct w:val="0"/>
              <w:bidi w:val="0"/>
              <w:adjustRightInd/>
              <w:snapToGrid/>
              <w:spacing w:beforeAutospacing="0" w:afterAutospacing="0" w:line="240" w:lineRule="atLeast"/>
              <w:ind w:left="0" w:leftChars="0" w:right="0" w:rightChars="0"/>
              <w:jc w:val="both"/>
              <w:textAlignment w:val="auto"/>
              <w:rPr>
                <w:rFonts w:hint="eastAsia" w:ascii="宋体" w:hAnsi="宋体" w:cs="宋体"/>
                <w:color w:val="000000" w:themeColor="text1"/>
                <w:sz w:val="18"/>
                <w:szCs w:val="18"/>
                <w:highlight w:val="none"/>
                <w:lang w:val="en-US" w:eastAsia="zh-CN"/>
                <w14:textFill>
                  <w14:solidFill>
                    <w14:schemeClr w14:val="tx1"/>
                  </w14:solidFill>
                </w14:textFill>
              </w:rPr>
            </w:pPr>
            <w:r>
              <w:rPr>
                <w:rFonts w:hint="eastAsia" w:ascii="宋体" w:hAnsi="宋体" w:cs="宋体"/>
                <w:color w:val="000000" w:themeColor="text1"/>
                <w:sz w:val="18"/>
                <w:szCs w:val="18"/>
                <w:highlight w:val="none"/>
                <w:lang w:val="en-US" w:eastAsia="zh-CN"/>
                <w14:textFill>
                  <w14:solidFill>
                    <w14:schemeClr w14:val="tx1"/>
                  </w14:solidFill>
                </w14:textFill>
              </w:rPr>
              <w:t>联合体内企业或个人年度用于公益慈善的捐赠总额占联合体年度总收益的比例，反映先富带后富、发展成果全民共享的情况。（评分标准：占比＜0.5%得60分；0.5%≤占比＜1.5%得80分；占比≥1.5%得100分））</w:t>
            </w:r>
          </w:p>
          <w:p w14:paraId="385891BF">
            <w:pPr>
              <w:keepNext w:val="0"/>
              <w:keepLines w:val="0"/>
              <w:pageBreakBefore w:val="0"/>
              <w:suppressLineNumbers w:val="0"/>
              <w:kinsoku/>
              <w:wordWrap/>
              <w:overflowPunct/>
              <w:topLinePunct w:val="0"/>
              <w:bidi w:val="0"/>
              <w:adjustRightInd/>
              <w:snapToGrid/>
              <w:spacing w:beforeAutospacing="0" w:afterAutospacing="0" w:line="240" w:lineRule="atLeast"/>
              <w:ind w:left="0" w:leftChars="0" w:right="0" w:rightChars="0"/>
              <w:textAlignment w:val="auto"/>
              <w:rPr>
                <w:rFonts w:hint="eastAsia" w:ascii="宋体" w:hAnsi="宋体" w:eastAsia="宋体" w:cs="宋体"/>
                <w:color w:val="000000"/>
                <w:sz w:val="18"/>
                <w:szCs w:val="18"/>
                <w:lang w:eastAsia="zh-CN"/>
              </w:rPr>
            </w:pPr>
          </w:p>
        </w:tc>
        <w:tc>
          <w:tcPr>
            <w:tcW w:w="373" w:type="pct"/>
            <w:tcBorders>
              <w:top w:val="single" w:color="auto" w:sz="4" w:space="0"/>
              <w:left w:val="single" w:color="auto" w:sz="4" w:space="0"/>
              <w:bottom w:val="single" w:color="auto" w:sz="12" w:space="0"/>
              <w:right w:val="single" w:color="auto" w:sz="4" w:space="0"/>
              <w:tl2br w:val="nil"/>
              <w:tr2bl w:val="nil"/>
            </w:tcBorders>
            <w:noWrap w:val="0"/>
            <w:vAlign w:val="center"/>
          </w:tcPr>
          <w:p w14:paraId="12915B42">
            <w:pPr>
              <w:keepNext w:val="0"/>
              <w:keepLines w:val="0"/>
              <w:pageBreakBefore w:val="0"/>
              <w:suppressLineNumbers w:val="0"/>
              <w:kinsoku/>
              <w:wordWrap/>
              <w:overflowPunct/>
              <w:topLinePunct w:val="0"/>
              <w:bidi w:val="0"/>
              <w:snapToGrid/>
              <w:spacing w:beforeAutospacing="0" w:afterAutospacing="0"/>
              <w:ind w:left="0" w:leftChars="0" w:right="0" w:rightChars="0"/>
              <w:jc w:val="center"/>
              <w:textAlignment w:val="auto"/>
              <w:rPr>
                <w:rFonts w:hint="eastAsia" w:ascii="宋体" w:hAnsi="宋体" w:cs="宋体"/>
                <w:color w:val="000000" w:themeColor="text1"/>
                <w:sz w:val="18"/>
                <w:szCs w:val="18"/>
                <w:lang w:val="en-US" w:eastAsia="zh-CN"/>
                <w14:textFill>
                  <w14:solidFill>
                    <w14:schemeClr w14:val="tx1"/>
                  </w14:solidFill>
                </w14:textFill>
              </w:rPr>
            </w:pPr>
            <w:r>
              <w:rPr>
                <w:rFonts w:hint="eastAsia" w:ascii="宋体" w:hAnsi="宋体" w:cs="宋体"/>
                <w:color w:val="000000" w:themeColor="text1"/>
                <w:sz w:val="18"/>
                <w:szCs w:val="18"/>
                <w:lang w:val="en-US" w:eastAsia="zh-CN"/>
                <w14:textFill>
                  <w14:solidFill>
                    <w14:schemeClr w14:val="tx1"/>
                  </w14:solidFill>
                </w14:textFill>
              </w:rPr>
              <w:t>（年度公益捐赠总额/联合体年度总收益×100%</w:t>
            </w:r>
          </w:p>
        </w:tc>
        <w:tc>
          <w:tcPr>
            <w:tcW w:w="373" w:type="pct"/>
            <w:tcBorders>
              <w:top w:val="single" w:color="auto" w:sz="4" w:space="0"/>
              <w:left w:val="single" w:color="auto" w:sz="4" w:space="0"/>
              <w:bottom w:val="single" w:color="auto" w:sz="12" w:space="0"/>
              <w:right w:val="single" w:color="auto" w:sz="4" w:space="0"/>
              <w:tl2br w:val="nil"/>
              <w:tr2bl w:val="nil"/>
            </w:tcBorders>
            <w:noWrap w:val="0"/>
            <w:vAlign w:val="center"/>
          </w:tcPr>
          <w:p w14:paraId="38A9D4E5">
            <w:pPr>
              <w:keepNext w:val="0"/>
              <w:keepLines w:val="0"/>
              <w:pageBreakBefore w:val="0"/>
              <w:suppressLineNumbers w:val="0"/>
              <w:kinsoku/>
              <w:wordWrap/>
              <w:overflowPunct/>
              <w:topLinePunct w:val="0"/>
              <w:bidi w:val="0"/>
              <w:snapToGrid/>
              <w:spacing w:beforeAutospacing="0" w:afterAutospacing="0"/>
              <w:ind w:left="0" w:leftChars="0" w:right="0" w:rightChars="0"/>
              <w:jc w:val="center"/>
              <w:textAlignment w:val="auto"/>
              <w:rPr>
                <w:rFonts w:hint="eastAsia" w:ascii="宋体" w:hAnsi="宋体" w:cs="宋体"/>
                <w:color w:val="000000" w:themeColor="text1"/>
                <w:sz w:val="18"/>
                <w:szCs w:val="18"/>
                <w:lang w:val="en-US" w:eastAsia="zh-CN"/>
                <w14:textFill>
                  <w14:solidFill>
                    <w14:schemeClr w14:val="tx1"/>
                  </w14:solidFill>
                </w14:textFill>
              </w:rPr>
            </w:pPr>
            <w:r>
              <w:rPr>
                <w:rFonts w:hint="eastAsia" w:ascii="宋体" w:hAnsi="宋体" w:cs="宋体"/>
                <w:color w:val="000000" w:themeColor="text1"/>
                <w:sz w:val="18"/>
                <w:szCs w:val="18"/>
                <w:lang w:val="en-US" w:eastAsia="zh-CN"/>
                <w14:textFill>
                  <w14:solidFill>
                    <w14:schemeClr w14:val="tx1"/>
                  </w14:solidFill>
                </w14:textFill>
              </w:rPr>
              <w:t>创富工作</w:t>
            </w:r>
          </w:p>
          <w:p w14:paraId="58211D39">
            <w:pPr>
              <w:keepNext w:val="0"/>
              <w:keepLines w:val="0"/>
              <w:pageBreakBefore w:val="0"/>
              <w:suppressLineNumbers w:val="0"/>
              <w:kinsoku/>
              <w:wordWrap/>
              <w:overflowPunct/>
              <w:topLinePunct w:val="0"/>
              <w:bidi w:val="0"/>
              <w:snapToGrid/>
              <w:spacing w:beforeAutospacing="0" w:afterAutospacing="0"/>
              <w:ind w:left="0" w:leftChars="0" w:right="0" w:rightChars="0"/>
              <w:jc w:val="center"/>
              <w:textAlignment w:val="auto"/>
              <w:rPr>
                <w:rFonts w:hint="eastAsia" w:ascii="宋体" w:hAnsi="宋体" w:eastAsia="宋体" w:cs="宋体"/>
                <w:color w:val="000000"/>
                <w:sz w:val="18"/>
                <w:szCs w:val="18"/>
                <w:lang w:val="en-US" w:eastAsia="zh-CN"/>
              </w:rPr>
            </w:pPr>
            <w:r>
              <w:rPr>
                <w:rFonts w:hint="eastAsia" w:ascii="宋体" w:hAnsi="宋体" w:cs="宋体"/>
                <w:color w:val="000000" w:themeColor="text1"/>
                <w:sz w:val="18"/>
                <w:szCs w:val="18"/>
                <w:lang w:val="en-US" w:eastAsia="zh-CN"/>
                <w14:textFill>
                  <w14:solidFill>
                    <w14:schemeClr w14:val="tx1"/>
                  </w14:solidFill>
                </w14:textFill>
              </w:rPr>
              <w:t>形成数据</w:t>
            </w:r>
          </w:p>
        </w:tc>
        <w:tc>
          <w:tcPr>
            <w:tcW w:w="358" w:type="pct"/>
            <w:vMerge w:val="continue"/>
            <w:tcBorders>
              <w:left w:val="single" w:color="auto" w:sz="4" w:space="0"/>
              <w:bottom w:val="single" w:color="auto" w:sz="12" w:space="0"/>
              <w:right w:val="single" w:color="auto" w:sz="12" w:space="0"/>
              <w:tl2br w:val="nil"/>
              <w:tr2bl w:val="nil"/>
            </w:tcBorders>
            <w:noWrap w:val="0"/>
            <w:vAlign w:val="center"/>
          </w:tcPr>
          <w:p w14:paraId="5D2C23E4">
            <w:pPr>
              <w:keepNext w:val="0"/>
              <w:keepLines w:val="0"/>
              <w:pageBreakBefore w:val="0"/>
              <w:suppressLineNumbers w:val="0"/>
              <w:kinsoku/>
              <w:wordWrap/>
              <w:overflowPunct/>
              <w:topLinePunct w:val="0"/>
              <w:bidi w:val="0"/>
              <w:snapToGrid/>
              <w:spacing w:beforeAutospacing="0" w:afterAutospacing="0"/>
              <w:ind w:left="0" w:right="0"/>
              <w:jc w:val="center"/>
              <w:textAlignment w:val="auto"/>
              <w:rPr>
                <w:rFonts w:hint="eastAsia" w:ascii="宋体" w:hAnsi="宋体" w:eastAsia="宋体" w:cs="宋体"/>
                <w:color w:val="000000"/>
                <w:sz w:val="18"/>
                <w:szCs w:val="18"/>
              </w:rPr>
            </w:pPr>
          </w:p>
        </w:tc>
      </w:tr>
    </w:tbl>
    <w:p w14:paraId="6D2EBEC5">
      <w:r>
        <w:br w:type="page"/>
      </w:r>
    </w:p>
    <w:p w14:paraId="430BB44F">
      <w:pPr>
        <w:sectPr>
          <w:pgSz w:w="16838" w:h="11906" w:orient="landscape"/>
          <w:pgMar w:top="1418" w:right="851" w:bottom="1134" w:left="1134" w:header="1418" w:footer="1134" w:gutter="0"/>
          <w:pgBorders>
            <w:top w:val="none" w:sz="0" w:space="0"/>
            <w:left w:val="none" w:sz="0" w:space="0"/>
            <w:bottom w:val="none" w:sz="0" w:space="0"/>
            <w:right w:val="none" w:sz="0" w:space="0"/>
          </w:pgBorders>
          <w:cols w:space="425" w:num="1"/>
          <w:formProt w:val="0"/>
          <w:docGrid w:type="lines" w:linePitch="312" w:charSpace="0"/>
        </w:sectPr>
      </w:pPr>
    </w:p>
    <w:p w14:paraId="2B831CCE">
      <w:pPr>
        <w:pStyle w:val="110"/>
        <w:ind w:left="0" w:firstLine="0"/>
        <w:rPr>
          <w:rFonts w:hint="eastAsia"/>
          <w:lang w:val="en-US" w:eastAsia="zh-CN"/>
        </w:rPr>
      </w:pPr>
      <w:bookmarkStart w:id="75" w:name="_Toc12551"/>
      <w:bookmarkStart w:id="76" w:name="_Toc11573"/>
      <w:r>
        <w:rPr>
          <w:rFonts w:hint="eastAsia"/>
          <w:lang w:val="en-US" w:eastAsia="zh-CN"/>
        </w:rPr>
        <w:t>统计监测方法</w:t>
      </w:r>
      <w:bookmarkEnd w:id="75"/>
      <w:bookmarkEnd w:id="76"/>
    </w:p>
    <w:p w14:paraId="3EBF5AF2">
      <w:pPr>
        <w:pStyle w:val="111"/>
        <w:numPr>
          <w:ilvl w:val="2"/>
          <w:numId w:val="12"/>
        </w:numPr>
        <w:spacing w:before="156" w:after="156"/>
        <w:ind w:left="0" w:firstLine="0"/>
      </w:pPr>
      <w:bookmarkStart w:id="77" w:name="_Toc32261"/>
      <w:r>
        <w:rPr>
          <w:rFonts w:hint="eastAsia"/>
          <w:lang w:val="en-US" w:eastAsia="zh-CN"/>
        </w:rPr>
        <w:t>计算方法</w:t>
      </w:r>
      <w:bookmarkEnd w:id="77"/>
    </w:p>
    <w:p w14:paraId="142F3951">
      <w:pPr>
        <w:pStyle w:val="111"/>
        <w:keepNext w:val="0"/>
        <w:keepLines w:val="0"/>
        <w:pageBreakBefore w:val="0"/>
        <w:widowControl/>
        <w:numPr>
          <w:ilvl w:val="3"/>
          <w:numId w:val="12"/>
        </w:numPr>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lang w:val="en-US" w:eastAsia="zh-CN"/>
        </w:rPr>
      </w:pPr>
      <w:bookmarkStart w:id="78" w:name="_Toc2445"/>
      <w:r>
        <w:rPr>
          <w:rFonts w:hint="eastAsia" w:ascii="宋体" w:hAnsi="宋体" w:eastAsia="宋体" w:cs="宋体"/>
          <w:lang w:val="en-US" w:eastAsia="zh-CN"/>
        </w:rPr>
        <w:t>各指标根据具体分值，采用加权法，按照测度指标中赋予的权重逐层加权求和，得到总测度值。计算如下：</w:t>
      </w:r>
      <w:bookmarkEnd w:id="78"/>
    </w:p>
    <w:p w14:paraId="226ED67E">
      <w:pPr>
        <w:pStyle w:val="111"/>
        <w:keepNext w:val="0"/>
        <w:keepLines w:val="0"/>
        <w:pageBreakBefore w:val="0"/>
        <w:widowControl/>
        <w:numPr>
          <w:ilvl w:val="2"/>
          <w:numId w:val="0"/>
        </w:numPr>
        <w:kinsoku/>
        <w:wordWrap/>
        <w:overflowPunct/>
        <w:topLinePunct w:val="0"/>
        <w:autoSpaceDE/>
        <w:autoSpaceDN/>
        <w:bidi w:val="0"/>
        <w:adjustRightInd/>
        <w:snapToGrid/>
        <w:spacing w:before="0" w:beforeLines="0" w:after="0" w:afterLines="0"/>
        <w:ind w:leftChars="0" w:firstLine="420" w:firstLineChars="200"/>
        <w:textAlignment w:val="auto"/>
        <w:rPr>
          <w:rFonts w:hint="eastAsia" w:ascii="宋体" w:hAnsi="宋体" w:eastAsia="宋体" w:cs="宋体"/>
          <w:lang w:val="en-US" w:eastAsia="zh-CN"/>
        </w:rPr>
      </w:pPr>
      <w:bookmarkStart w:id="79" w:name="_Toc318"/>
      <w:r>
        <w:rPr>
          <w:rFonts w:hint="eastAsia" w:ascii="宋体" w:hAnsi="宋体" w:eastAsia="宋体" w:cs="宋体"/>
          <w:lang w:val="en-US" w:eastAsia="zh-CN"/>
        </w:rPr>
        <w:t>一级指标Sm按式（1）计算：</w:t>
      </w:r>
      <w:bookmarkEnd w:id="79"/>
    </w:p>
    <w:p w14:paraId="14C6CDFA">
      <w:pPr>
        <w:numPr>
          <w:ilvl w:val="2"/>
          <w:numId w:val="0"/>
        </w:numPr>
        <w:spacing w:before="156" w:beforeLines="50" w:after="156" w:afterLines="50"/>
        <w:ind w:leftChars="0"/>
        <w:jc w:val="center"/>
        <w:outlineLvl w:val="3"/>
        <w:rPr>
          <w:rFonts w:hint="eastAsia"/>
          <w:lang w:val="en-US" w:eastAsia="zh-CN"/>
        </w:rPr>
      </w:pPr>
      <m:oMath>
        <m:r>
          <m:rPr/>
          <w:rPr>
            <w:rFonts w:hint="default" w:ascii="Cambria Math" w:hAnsi="Cambria Math"/>
            <w:lang w:val="en-US" w:eastAsia="zh-CN"/>
          </w:rPr>
          <m:t>S</m:t>
        </m:r>
        <m:r>
          <m:rPr/>
          <w:rPr>
            <w:rFonts w:hint="default" w:ascii="Times New Roman" w:eastAsia="宋体"/>
            <w:color w:val="000000"/>
            <w:sz w:val="14"/>
            <w:szCs w:val="14"/>
            <w:shd w:val="clear" w:color="auto" w:fill="FFFFFF"/>
            <w:lang w:val="en-US" w:eastAsia="zh-CN"/>
          </w:rPr>
          <m:t>m</m:t>
        </m:r>
        <m:r>
          <m:rPr/>
          <w:rPr>
            <w:rFonts w:ascii="Cambria Math" w:hAnsi="Cambria Math"/>
          </w:rPr>
          <m:t>=</m:t>
        </m:r>
        <m:nary>
          <m:naryPr>
            <m:chr m:val="∑"/>
            <m:limLoc m:val="subSup"/>
            <m:ctrlPr>
              <w:rPr>
                <w:rFonts w:ascii="Cambria Math" w:hAnsi="Cambria Math"/>
                <w:i/>
              </w:rPr>
            </m:ctrlPr>
          </m:naryPr>
          <m:sub>
            <m:r>
              <m:rPr/>
              <w:rPr>
                <w:rFonts w:hint="default" w:ascii="Cambria Math" w:hAnsi="Cambria Math"/>
                <w:lang w:val="en-US" w:eastAsia="zh-CN"/>
              </w:rPr>
              <m:t>i</m:t>
            </m:r>
            <m:ctrlPr>
              <w:rPr>
                <w:rFonts w:ascii="Cambria Math" w:hAnsi="Cambria Math"/>
                <w:i/>
              </w:rPr>
            </m:ctrlPr>
          </m:sub>
          <m:sup>
            <m:r>
              <m:rPr/>
              <w:rPr>
                <w:rFonts w:hint="default" w:ascii="Cambria Math" w:hAnsi="Cambria Math"/>
                <w:lang w:val="en-US" w:eastAsia="zh-CN"/>
              </w:rPr>
              <m:t>n</m:t>
            </m:r>
            <m:ctrlPr>
              <w:rPr>
                <w:rFonts w:ascii="Cambria Math" w:hAnsi="Cambria Math"/>
                <w:i/>
              </w:rPr>
            </m:ctrlPr>
          </m:sup>
          <m:e>
            <m:d>
              <m:dPr>
                <m:endChr m:val=""/>
                <m:ctrlPr>
                  <w:rPr>
                    <w:rFonts w:ascii="Cambria Math" w:hAnsi="Cambria Math"/>
                    <w:i/>
                  </w:rPr>
                </m:ctrlPr>
              </m:dPr>
              <m:e>
                <m:r>
                  <m:rPr/>
                  <w:rPr>
                    <w:rFonts w:hint="default" w:ascii="Cambria Math" w:hAnsi="Cambria Math"/>
                    <w:lang w:val="en-US" w:eastAsia="zh-CN"/>
                  </w:rPr>
                  <m:t>W</m:t>
                </m:r>
                <m:r>
                  <m:rPr/>
                  <w:rPr>
                    <w:rFonts w:ascii="Times New Roman" w:eastAsia="Times New Roman"/>
                    <w:color w:val="000000"/>
                    <w:sz w:val="14"/>
                    <w:szCs w:val="14"/>
                    <w:shd w:val="clear" w:color="auto" w:fill="FFFFFF"/>
                  </w:rPr>
                  <m:t>i</m:t>
                </m:r>
                <m:ctrlPr>
                  <w:rPr>
                    <w:rFonts w:ascii="Cambria Math" w:hAnsi="Cambria Math"/>
                    <w:i/>
                  </w:rPr>
                </m:ctrlPr>
              </m:e>
            </m:d>
            <m:ctrlPr>
              <w:rPr>
                <w:rFonts w:ascii="Cambria Math" w:hAnsi="Cambria Math"/>
                <w:i/>
              </w:rPr>
            </m:ctrlPr>
          </m:e>
        </m:nary>
        <m:r>
          <m:rPr>
            <m:sty m:val="p"/>
          </m:rPr>
          <w:rPr>
            <w:rFonts w:hAnsi="Cambria Math"/>
            <w:vertAlign w:val="baseline"/>
          </w:rPr>
          <m:t>×</m:t>
        </m:r>
        <m:d>
          <m:dPr>
            <m:begChr m:val=""/>
            <m:ctrlPr>
              <w:rPr>
                <w:rFonts w:hint="default" w:ascii="Cambria Math" w:hAnsi="Cambria Math"/>
                <w:i/>
                <w:lang w:val="en-US" w:eastAsia="zh-CN"/>
              </w:rPr>
            </m:ctrlPr>
          </m:dPr>
          <m:e>
            <m:r>
              <m:rPr/>
              <w:rPr>
                <w:rFonts w:hint="default" w:ascii="Cambria Math" w:hAnsi="Cambria Math"/>
                <w:lang w:val="en-US" w:eastAsia="zh-CN"/>
              </w:rPr>
              <m:t>X</m:t>
            </m:r>
            <m:r>
              <m:rPr/>
              <w:rPr>
                <w:rFonts w:ascii="Times New Roman" w:eastAsia="Times New Roman"/>
                <w:color w:val="000000"/>
                <w:sz w:val="14"/>
                <w:szCs w:val="14"/>
                <w:shd w:val="clear" w:color="auto" w:fill="FFFFFF"/>
              </w:rPr>
              <m:t>i</m:t>
            </m:r>
            <m:ctrlPr>
              <w:rPr>
                <w:rFonts w:hint="default" w:ascii="Cambria Math" w:hAnsi="Cambria Math"/>
                <w:i/>
                <w:lang w:val="en-US" w:eastAsia="zh-CN"/>
              </w:rPr>
            </m:ctrlPr>
          </m:e>
        </m:d>
      </m:oMath>
      <w:r>
        <w:rPr>
          <w:rFonts w:hint="eastAsia" w:ascii="黑体" w:hAnsi="Cambria Math" w:eastAsia="黑体" w:cs="Times New Roman"/>
          <w:i w:val="0"/>
          <w:sz w:val="21"/>
          <w:szCs w:val="21"/>
          <w:lang w:val="en-US" w:eastAsia="zh-CN" w:bidi="ar-SA"/>
        </w:rPr>
        <w:t xml:space="preserve">                               </w:t>
      </w:r>
      <w:r>
        <w:rPr>
          <w:rFonts w:hint="eastAsia" w:ascii="宋体" w:hAnsi="宋体" w:eastAsia="宋体" w:cs="宋体"/>
          <w:i w:val="0"/>
          <w:sz w:val="21"/>
          <w:szCs w:val="21"/>
          <w:lang w:val="en-US" w:eastAsia="zh-CN" w:bidi="ar-SA"/>
        </w:rPr>
        <w:t xml:space="preserve"> （1）</w:t>
      </w:r>
      <w:r>
        <w:rPr>
          <w:rFonts w:hint="eastAsia" w:hAnsi="Cambria Math" w:eastAsia="宋体"/>
          <w:sz w:val="21"/>
          <w:szCs w:val="24"/>
          <w:lang w:val="en-US" w:eastAsia="zh-CN"/>
        </w:rPr>
        <w:t xml:space="preserve">                         </w:t>
      </w:r>
    </w:p>
    <w:p w14:paraId="03FA1213">
      <w:pPr>
        <w:tabs>
          <w:tab w:val="center" w:pos="4201"/>
          <w:tab w:val="right" w:leader="dot" w:pos="9298"/>
        </w:tabs>
        <w:autoSpaceDE w:val="0"/>
        <w:autoSpaceDN w:val="0"/>
        <w:ind w:firstLine="420" w:firstLineChars="200"/>
        <w:jc w:val="both"/>
        <w:rPr>
          <w:rFonts w:hint="eastAsia" w:ascii="宋体" w:hAnsi="Times New Roman" w:eastAsia="宋体" w:cs="Times New Roman"/>
          <w:color w:val="000000"/>
          <w:sz w:val="21"/>
          <w:lang w:val="en-US" w:eastAsia="zh-CN" w:bidi="ar-SA"/>
        </w:rPr>
      </w:pPr>
      <w:r>
        <w:rPr>
          <w:rFonts w:hint="eastAsia" w:ascii="宋体" w:hAnsi="Times New Roman" w:eastAsia="宋体" w:cs="Times New Roman"/>
          <w:color w:val="000000"/>
          <w:sz w:val="21"/>
          <w:lang w:val="en-US" w:eastAsia="zh-CN" w:bidi="ar-SA"/>
        </w:rPr>
        <w:t>式</w:t>
      </w:r>
      <w:r>
        <w:rPr>
          <w:rFonts w:ascii="宋体" w:hAnsi="Times New Roman" w:eastAsia="宋体" w:cs="Times New Roman"/>
          <w:color w:val="000000"/>
          <w:sz w:val="21"/>
          <w:lang w:val="en-US" w:eastAsia="zh-CN" w:bidi="ar-SA"/>
        </w:rPr>
        <w:t>中</w:t>
      </w:r>
      <w:r>
        <w:rPr>
          <w:rFonts w:hint="eastAsia" w:ascii="宋体" w:hAnsi="Times New Roman" w:eastAsia="宋体" w:cs="Times New Roman"/>
          <w:color w:val="000000"/>
          <w:sz w:val="21"/>
          <w:lang w:val="en-US" w:eastAsia="zh-CN" w:bidi="ar-SA"/>
        </w:rPr>
        <w:t>：</w:t>
      </w:r>
    </w:p>
    <w:p w14:paraId="5970765D">
      <w:pPr>
        <w:keepNext w:val="0"/>
        <w:keepLines w:val="0"/>
        <w:pageBreakBefore w:val="0"/>
        <w:widowControl/>
        <w:tabs>
          <w:tab w:val="center" w:pos="4201"/>
          <w:tab w:val="right" w:leader="dot" w:pos="9298"/>
        </w:tabs>
        <w:kinsoku/>
        <w:wordWrap/>
        <w:overflowPunct/>
        <w:topLinePunct w:val="0"/>
        <w:autoSpaceDE w:val="0"/>
        <w:autoSpaceDN w:val="0"/>
        <w:bidi w:val="0"/>
        <w:adjustRightInd/>
        <w:snapToGrid/>
        <w:ind w:firstLine="420" w:firstLineChars="200"/>
        <w:jc w:val="both"/>
        <w:textAlignment w:val="auto"/>
        <w:rPr>
          <w:rFonts w:hint="eastAsia" w:ascii="宋体" w:hAnsi="Times New Roman" w:eastAsia="宋体" w:cs="Times New Roman"/>
          <w:color w:val="000000"/>
          <w:sz w:val="21"/>
          <w:lang w:val="en-US" w:eastAsia="zh-CN" w:bidi="ar-SA"/>
        </w:rPr>
      </w:pPr>
      <w:r>
        <w:rPr>
          <w:rFonts w:hint="eastAsia" w:ascii="宋体" w:hAnsi="Times New Roman" w:eastAsia="宋体" w:cs="Times New Roman"/>
          <w:color w:val="000000"/>
          <w:sz w:val="21"/>
          <w:lang w:val="en-US" w:eastAsia="zh-CN" w:bidi="ar-SA"/>
        </w:rPr>
        <w:t>S</w:t>
      </w:r>
      <w:r>
        <w:rPr>
          <w:rFonts w:hint="eastAsia" w:ascii="宋体" w:hAnsi="Times New Roman" w:eastAsia="宋体" w:cs="Times New Roman"/>
          <w:color w:val="000000"/>
          <w:sz w:val="21"/>
          <w:vertAlign w:val="subscript"/>
          <w:lang w:val="en-US" w:eastAsia="zh-CN" w:bidi="ar-SA"/>
        </w:rPr>
        <w:t>m</w:t>
      </w:r>
      <w:r>
        <w:rPr>
          <w:rFonts w:hint="eastAsia" w:ascii="宋体" w:hAnsi="Times New Roman" w:eastAsia="宋体" w:cs="Times New Roman"/>
          <w:color w:val="000000"/>
          <w:sz w:val="21"/>
          <w:lang w:val="en-US" w:eastAsia="zh-CN" w:bidi="ar-SA"/>
        </w:rPr>
        <w:t>——第m个指标一级指标测度值；</w:t>
      </w:r>
    </w:p>
    <w:p w14:paraId="5DB0C829">
      <w:pPr>
        <w:keepNext w:val="0"/>
        <w:keepLines w:val="0"/>
        <w:pageBreakBefore w:val="0"/>
        <w:widowControl/>
        <w:tabs>
          <w:tab w:val="center" w:pos="4201"/>
          <w:tab w:val="right" w:leader="dot" w:pos="9298"/>
        </w:tabs>
        <w:kinsoku/>
        <w:wordWrap/>
        <w:overflowPunct/>
        <w:topLinePunct w:val="0"/>
        <w:autoSpaceDE w:val="0"/>
        <w:autoSpaceDN w:val="0"/>
        <w:bidi w:val="0"/>
        <w:adjustRightInd/>
        <w:snapToGrid/>
        <w:ind w:firstLine="420" w:firstLineChars="200"/>
        <w:jc w:val="both"/>
        <w:textAlignment w:val="auto"/>
        <w:rPr>
          <w:rFonts w:hint="eastAsia" w:ascii="宋体" w:hAnsi="Times New Roman" w:eastAsia="宋体" w:cs="Times New Roman"/>
          <w:color w:val="000000"/>
          <w:sz w:val="21"/>
          <w:lang w:val="en-US" w:eastAsia="zh-CN" w:bidi="ar-SA"/>
        </w:rPr>
      </w:pPr>
      <w:r>
        <w:rPr>
          <w:rFonts w:hint="eastAsia" w:ascii="宋体" w:hAnsi="Times New Roman" w:eastAsia="宋体" w:cs="Times New Roman"/>
          <w:color w:val="000000"/>
          <w:sz w:val="21"/>
          <w:lang w:val="en-US" w:eastAsia="zh-CN" w:bidi="ar-SA"/>
        </w:rPr>
        <w:t>W</w:t>
      </w:r>
      <w:r>
        <w:rPr>
          <w:rFonts w:hint="eastAsia" w:ascii="宋体" w:hAnsi="Times New Roman" w:eastAsia="宋体" w:cs="Times New Roman"/>
          <w:color w:val="000000"/>
          <w:sz w:val="21"/>
          <w:vertAlign w:val="subscript"/>
          <w:lang w:val="en-US" w:eastAsia="zh-CN" w:bidi="ar-SA"/>
        </w:rPr>
        <w:t>i</w:t>
      </w:r>
      <w:r>
        <w:rPr>
          <w:rFonts w:hint="eastAsia" w:ascii="宋体" w:hAnsi="Times New Roman" w:eastAsia="宋体" w:cs="Times New Roman"/>
          <w:color w:val="000000"/>
          <w:sz w:val="21"/>
          <w:lang w:val="en-US" w:eastAsia="zh-CN" w:bidi="ar-SA"/>
        </w:rPr>
        <w:t>——第i项指标权重（见表1中“权重”）；</w:t>
      </w:r>
    </w:p>
    <w:p w14:paraId="275652EF">
      <w:pPr>
        <w:keepNext w:val="0"/>
        <w:keepLines w:val="0"/>
        <w:pageBreakBefore w:val="0"/>
        <w:widowControl/>
        <w:tabs>
          <w:tab w:val="center" w:pos="4201"/>
          <w:tab w:val="right" w:leader="dot" w:pos="9298"/>
        </w:tabs>
        <w:kinsoku/>
        <w:wordWrap/>
        <w:overflowPunct/>
        <w:topLinePunct w:val="0"/>
        <w:autoSpaceDE w:val="0"/>
        <w:autoSpaceDN w:val="0"/>
        <w:bidi w:val="0"/>
        <w:adjustRightInd/>
        <w:snapToGrid/>
        <w:ind w:firstLine="420" w:firstLineChars="200"/>
        <w:jc w:val="both"/>
        <w:textAlignment w:val="auto"/>
        <w:rPr>
          <w:rFonts w:hint="eastAsia" w:ascii="宋体" w:hAnsi="Times New Roman" w:eastAsia="宋体" w:cs="Times New Roman"/>
          <w:color w:val="000000"/>
          <w:sz w:val="21"/>
          <w:lang w:val="en-US" w:eastAsia="zh-CN" w:bidi="ar-SA"/>
        </w:rPr>
      </w:pPr>
      <w:r>
        <w:rPr>
          <w:rFonts w:hint="eastAsia" w:ascii="宋体" w:hAnsi="Times New Roman" w:eastAsia="宋体" w:cs="Times New Roman"/>
          <w:color w:val="000000"/>
          <w:sz w:val="21"/>
          <w:lang w:val="en-US" w:eastAsia="zh-CN" w:bidi="ar-SA"/>
        </w:rPr>
        <w:t>X</w:t>
      </w:r>
      <w:r>
        <w:rPr>
          <w:rFonts w:hint="eastAsia" w:ascii="宋体" w:hAnsi="Times New Roman" w:eastAsia="宋体" w:cs="Times New Roman"/>
          <w:color w:val="000000"/>
          <w:sz w:val="21"/>
          <w:vertAlign w:val="subscript"/>
          <w:lang w:val="en-US" w:eastAsia="zh-CN" w:bidi="ar-SA"/>
        </w:rPr>
        <w:t>i</w:t>
      </w:r>
      <w:r>
        <w:rPr>
          <w:rFonts w:hint="eastAsia" w:ascii="宋体" w:hAnsi="Times New Roman" w:eastAsia="宋体" w:cs="Times New Roman"/>
          <w:color w:val="000000"/>
          <w:sz w:val="21"/>
          <w:lang w:val="en-US" w:eastAsia="zh-CN" w:bidi="ar-SA"/>
        </w:rPr>
        <w:t>——第i个二级指标测度值；</w:t>
      </w:r>
    </w:p>
    <w:p w14:paraId="1ECB4FDC">
      <w:pPr>
        <w:keepNext w:val="0"/>
        <w:keepLines w:val="0"/>
        <w:pageBreakBefore w:val="0"/>
        <w:widowControl/>
        <w:tabs>
          <w:tab w:val="center" w:pos="4201"/>
          <w:tab w:val="right" w:leader="dot" w:pos="9298"/>
        </w:tabs>
        <w:kinsoku/>
        <w:wordWrap/>
        <w:overflowPunct/>
        <w:topLinePunct w:val="0"/>
        <w:autoSpaceDE w:val="0"/>
        <w:autoSpaceDN w:val="0"/>
        <w:bidi w:val="0"/>
        <w:adjustRightInd/>
        <w:snapToGrid/>
        <w:ind w:firstLine="420" w:firstLineChars="200"/>
        <w:jc w:val="both"/>
        <w:textAlignment w:val="auto"/>
        <w:rPr>
          <w:rFonts w:hint="default" w:ascii="宋体" w:hAnsi="Times New Roman" w:eastAsia="宋体" w:cs="Times New Roman"/>
          <w:color w:val="000000"/>
          <w:sz w:val="21"/>
          <w:lang w:val="en-US" w:eastAsia="zh-CN" w:bidi="ar-SA"/>
        </w:rPr>
      </w:pPr>
      <w:r>
        <w:rPr>
          <w:rFonts w:hint="eastAsia" w:ascii="宋体" w:hAnsi="Times New Roman" w:eastAsia="宋体" w:cs="Times New Roman"/>
          <w:color w:val="000000"/>
          <w:sz w:val="21"/>
          <w:lang w:val="en-US" w:eastAsia="zh-CN" w:bidi="ar-SA"/>
        </w:rPr>
        <w:t>n——二级指标总数。</w:t>
      </w:r>
    </w:p>
    <w:p w14:paraId="78780788">
      <w:pPr>
        <w:keepNext w:val="0"/>
        <w:keepLines w:val="0"/>
        <w:pageBreakBefore w:val="0"/>
        <w:widowControl/>
        <w:tabs>
          <w:tab w:val="center" w:pos="4201"/>
          <w:tab w:val="right" w:leader="dot" w:pos="9298"/>
        </w:tabs>
        <w:kinsoku/>
        <w:wordWrap/>
        <w:overflowPunct/>
        <w:topLinePunct w:val="0"/>
        <w:autoSpaceDE w:val="0"/>
        <w:autoSpaceDN w:val="0"/>
        <w:bidi w:val="0"/>
        <w:adjustRightInd/>
        <w:snapToGrid/>
        <w:ind w:firstLine="420" w:firstLineChars="200"/>
        <w:jc w:val="both"/>
        <w:textAlignment w:val="auto"/>
        <w:rPr>
          <w:rFonts w:hint="default" w:ascii="宋体" w:hAnsi="Times New Roman" w:eastAsia="宋体" w:cs="Times New Roman"/>
          <w:color w:val="000000"/>
          <w:sz w:val="21"/>
          <w:lang w:val="en-US" w:eastAsia="zh-CN" w:bidi="ar-SA"/>
        </w:rPr>
      </w:pPr>
      <w:r>
        <w:rPr>
          <w:rFonts w:hint="eastAsia" w:ascii="宋体" w:hAnsi="Times New Roman" w:eastAsia="宋体" w:cs="Times New Roman"/>
          <w:color w:val="000000"/>
          <w:sz w:val="21"/>
          <w:lang w:val="en-US" w:eastAsia="zh-CN" w:bidi="ar-SA"/>
        </w:rPr>
        <w:t>二级、三级指标的计算方式与一级指标相同。</w:t>
      </w:r>
    </w:p>
    <w:p w14:paraId="1EC7B34D">
      <w:pPr>
        <w:pStyle w:val="111"/>
        <w:keepNext w:val="0"/>
        <w:keepLines w:val="0"/>
        <w:pageBreakBefore w:val="0"/>
        <w:widowControl/>
        <w:numPr>
          <w:ilvl w:val="2"/>
          <w:numId w:val="0"/>
        </w:numPr>
        <w:kinsoku/>
        <w:wordWrap/>
        <w:overflowPunct/>
        <w:topLinePunct w:val="0"/>
        <w:autoSpaceDE/>
        <w:autoSpaceDN/>
        <w:bidi w:val="0"/>
        <w:adjustRightInd/>
        <w:snapToGrid/>
        <w:spacing w:before="0" w:beforeLines="0" w:after="0" w:afterLines="0"/>
        <w:ind w:leftChars="0" w:firstLine="420" w:firstLineChars="200"/>
        <w:textAlignment w:val="auto"/>
        <w:rPr>
          <w:rFonts w:hint="eastAsia" w:ascii="宋体" w:hAnsi="宋体" w:eastAsia="宋体" w:cs="宋体"/>
          <w:lang w:val="en-US" w:eastAsia="zh-CN"/>
        </w:rPr>
      </w:pPr>
      <w:bookmarkStart w:id="80" w:name="_Toc20157"/>
      <w:r>
        <w:rPr>
          <w:rFonts w:hint="eastAsia" w:ascii="宋体" w:hAnsi="Times New Roman" w:eastAsia="宋体" w:cs="Times New Roman"/>
          <w:color w:val="000000"/>
          <w:sz w:val="21"/>
          <w:lang w:val="en-US" w:eastAsia="zh-CN" w:bidi="ar-SA"/>
        </w:rPr>
        <w:t>总测度值按式（2）计算</w:t>
      </w:r>
      <w:r>
        <w:rPr>
          <w:rFonts w:hint="eastAsia" w:ascii="宋体" w:hAnsi="宋体" w:eastAsia="宋体" w:cs="宋体"/>
          <w:lang w:val="en-US" w:eastAsia="zh-CN"/>
        </w:rPr>
        <w:t>：</w:t>
      </w:r>
      <w:bookmarkEnd w:id="80"/>
    </w:p>
    <w:p w14:paraId="1784B8CA">
      <w:pPr>
        <w:pStyle w:val="240"/>
        <w:spacing w:beforeLines="0" w:afterLines="0"/>
        <w:jc w:val="center"/>
        <w:rPr>
          <w:rFonts w:hint="eastAsia"/>
          <w:color w:val="000000"/>
          <w:sz w:val="21"/>
          <w:szCs w:val="24"/>
        </w:rPr>
      </w:pPr>
      <m:oMath>
        <m:r>
          <m:rPr>
            <m:sty m:val="p"/>
          </m:rPr>
          <w:rPr>
            <w:rFonts w:hint="default" w:ascii="Cambria Math" w:hAnsi="Cambria Math"/>
            <w:lang w:val="en-US" w:eastAsia="zh-CN"/>
          </w:rPr>
          <m:t>S</m:t>
        </m:r>
        <m:r>
          <m:rPr/>
          <w:rPr>
            <w:rFonts w:ascii="Cambria Math" w:hAnsi="Cambria Math"/>
          </w:rPr>
          <m:t>=</m:t>
        </m:r>
        <m:nary>
          <m:naryPr>
            <m:chr m:val="∑"/>
            <m:limLoc m:val="subSup"/>
            <m:ctrlPr>
              <w:rPr>
                <w:rFonts w:ascii="Cambria Math" w:hAnsi="Cambria Math"/>
                <w:i/>
              </w:rPr>
            </m:ctrlPr>
          </m:naryPr>
          <m:sub>
            <m:r>
              <m:rPr/>
              <w:rPr>
                <w:rFonts w:hint="default" w:ascii="Cambria Math" w:hAnsi="Cambria Math"/>
                <w:lang w:val="en-US" w:eastAsia="zh-CN"/>
              </w:rPr>
              <m:t>i</m:t>
            </m:r>
            <m:ctrlPr>
              <w:rPr>
                <w:rFonts w:ascii="Cambria Math" w:hAnsi="Cambria Math"/>
                <w:i/>
              </w:rPr>
            </m:ctrlPr>
          </m:sub>
          <m:sup>
            <m:r>
              <m:rPr/>
              <w:rPr>
                <w:rFonts w:hint="default" w:ascii="Cambria Math" w:hAnsi="Cambria Math"/>
                <w:lang w:val="en-US" w:eastAsia="zh-CN"/>
              </w:rPr>
              <m:t>n</m:t>
            </m:r>
            <m:ctrlPr>
              <w:rPr>
                <w:rFonts w:ascii="Cambria Math" w:hAnsi="Cambria Math"/>
                <w:i/>
              </w:rPr>
            </m:ctrlPr>
          </m:sup>
          <m:e>
            <m:d>
              <m:dPr>
                <m:endChr m:val=""/>
                <m:ctrlPr>
                  <w:rPr>
                    <w:rFonts w:ascii="Cambria Math" w:hAnsi="Cambria Math"/>
                    <w:i/>
                  </w:rPr>
                </m:ctrlPr>
              </m:dPr>
              <m:e>
                <m:r>
                  <m:rPr/>
                  <w:rPr>
                    <w:rFonts w:hint="default" w:ascii="Cambria Math" w:hAnsi="Cambria Math"/>
                    <w:lang w:val="en-US" w:eastAsia="zh-CN"/>
                  </w:rPr>
                  <m:t>W</m:t>
                </m:r>
                <m:r>
                  <m:rPr/>
                  <w:rPr>
                    <w:rFonts w:ascii="Times New Roman" w:eastAsia="Times New Roman"/>
                    <w:color w:val="000000"/>
                    <w:sz w:val="14"/>
                    <w:szCs w:val="14"/>
                    <w:shd w:val="clear" w:color="auto" w:fill="FFFFFF"/>
                  </w:rPr>
                  <m:t>i</m:t>
                </m:r>
                <m:ctrlPr>
                  <w:rPr>
                    <w:rFonts w:ascii="Cambria Math" w:hAnsi="Cambria Math"/>
                    <w:i/>
                  </w:rPr>
                </m:ctrlPr>
              </m:e>
            </m:d>
            <m:ctrlPr>
              <w:rPr>
                <w:rFonts w:ascii="Cambria Math" w:hAnsi="Cambria Math"/>
                <w:i/>
              </w:rPr>
            </m:ctrlPr>
          </m:e>
        </m:nary>
        <m:r>
          <m:rPr>
            <m:sty m:val="p"/>
          </m:rPr>
          <w:rPr>
            <w:rFonts w:hAnsi="Cambria Math"/>
            <w:vertAlign w:val="baseline"/>
          </w:rPr>
          <m:t>×</m:t>
        </m:r>
        <m:d>
          <m:dPr>
            <m:begChr m:val=""/>
            <m:ctrlPr>
              <w:rPr>
                <w:rFonts w:hint="default" w:ascii="Cambria Math" w:hAnsi="Cambria Math"/>
                <w:i/>
                <w:lang w:val="en-US" w:eastAsia="zh-CN"/>
              </w:rPr>
            </m:ctrlPr>
          </m:dPr>
          <m:e>
            <m:r>
              <m:rPr/>
              <w:rPr>
                <w:rFonts w:hint="default" w:ascii="Cambria Math" w:hAnsi="Cambria Math"/>
                <w:lang w:val="en-US" w:eastAsia="zh-CN"/>
              </w:rPr>
              <m:t>X</m:t>
            </m:r>
            <m:r>
              <m:rPr/>
              <w:rPr>
                <w:rFonts w:ascii="Times New Roman" w:eastAsia="Times New Roman"/>
                <w:color w:val="000000"/>
                <w:sz w:val="14"/>
                <w:szCs w:val="14"/>
                <w:shd w:val="clear" w:color="auto" w:fill="FFFFFF"/>
              </w:rPr>
              <m:t>i</m:t>
            </m:r>
            <m:ctrlPr>
              <w:rPr>
                <w:rFonts w:hint="default" w:ascii="Cambria Math" w:hAnsi="Cambria Math"/>
                <w:i/>
                <w:lang w:val="en-US" w:eastAsia="zh-CN"/>
              </w:rPr>
            </m:ctrlPr>
          </m:e>
        </m:d>
      </m:oMath>
      <w:r>
        <w:rPr>
          <w:rFonts w:hint="eastAsia" w:hAnsi="Cambria Math"/>
          <w:i w:val="0"/>
          <w:lang w:val="en-US" w:eastAsia="zh-CN"/>
        </w:rPr>
        <w:t xml:space="preserve">                                   </w:t>
      </w:r>
      <w:r>
        <w:rPr>
          <w:rFonts w:hint="eastAsia" w:ascii="宋体" w:hAnsi="宋体" w:eastAsia="宋体" w:cs="宋体"/>
          <w:i w:val="0"/>
          <w:kern w:val="2"/>
          <w:sz w:val="21"/>
          <w:szCs w:val="21"/>
          <w:lang w:val="en-US" w:eastAsia="zh-CN" w:bidi="ar-SA"/>
        </w:rPr>
        <w:t xml:space="preserve">（2）  </w:t>
      </w:r>
      <w:r>
        <w:rPr>
          <w:rFonts w:hint="eastAsia" w:hAnsi="Cambria Math"/>
          <w:sz w:val="21"/>
          <w:szCs w:val="24"/>
        </w:rPr>
        <w:t xml:space="preserve">       </w:t>
      </w:r>
    </w:p>
    <w:p w14:paraId="48A88C10">
      <w:pPr>
        <w:keepNext w:val="0"/>
        <w:keepLines w:val="0"/>
        <w:pageBreakBefore w:val="0"/>
        <w:widowControl/>
        <w:tabs>
          <w:tab w:val="center" w:pos="4201"/>
          <w:tab w:val="right" w:leader="dot" w:pos="9298"/>
        </w:tabs>
        <w:kinsoku/>
        <w:wordWrap/>
        <w:overflowPunct/>
        <w:topLinePunct w:val="0"/>
        <w:autoSpaceDE w:val="0"/>
        <w:autoSpaceDN w:val="0"/>
        <w:bidi w:val="0"/>
        <w:adjustRightInd/>
        <w:snapToGrid/>
        <w:ind w:firstLine="420" w:firstLineChars="200"/>
        <w:jc w:val="both"/>
        <w:textAlignment w:val="auto"/>
        <w:rPr>
          <w:rFonts w:hint="eastAsia" w:ascii="宋体" w:hAnsi="Times New Roman" w:eastAsia="宋体" w:cs="Times New Roman"/>
          <w:color w:val="000000"/>
          <w:sz w:val="21"/>
          <w:lang w:val="en-US" w:eastAsia="zh-CN" w:bidi="ar-SA"/>
        </w:rPr>
      </w:pPr>
      <w:r>
        <w:rPr>
          <w:rFonts w:hint="eastAsia" w:ascii="宋体" w:hAnsi="Times New Roman" w:eastAsia="宋体" w:cs="Times New Roman"/>
          <w:color w:val="000000"/>
          <w:sz w:val="21"/>
          <w:lang w:val="en-US" w:eastAsia="zh-CN" w:bidi="ar-SA"/>
        </w:rPr>
        <w:t>式中：</w:t>
      </w:r>
    </w:p>
    <w:p w14:paraId="685F38B8">
      <w:pPr>
        <w:keepNext w:val="0"/>
        <w:keepLines w:val="0"/>
        <w:pageBreakBefore w:val="0"/>
        <w:widowControl/>
        <w:tabs>
          <w:tab w:val="center" w:pos="4201"/>
          <w:tab w:val="right" w:leader="dot" w:pos="9298"/>
        </w:tabs>
        <w:kinsoku/>
        <w:wordWrap/>
        <w:overflowPunct/>
        <w:topLinePunct w:val="0"/>
        <w:autoSpaceDE w:val="0"/>
        <w:autoSpaceDN w:val="0"/>
        <w:bidi w:val="0"/>
        <w:adjustRightInd/>
        <w:snapToGrid/>
        <w:ind w:firstLine="420" w:firstLineChars="200"/>
        <w:jc w:val="both"/>
        <w:textAlignment w:val="auto"/>
        <w:rPr>
          <w:rFonts w:hint="eastAsia" w:ascii="宋体" w:hAnsi="Times New Roman" w:eastAsia="宋体" w:cs="Times New Roman"/>
          <w:color w:val="000000"/>
          <w:sz w:val="21"/>
          <w:lang w:val="en-US" w:eastAsia="zh-CN" w:bidi="ar-SA"/>
        </w:rPr>
      </w:pPr>
      <w:r>
        <w:rPr>
          <w:rFonts w:hint="eastAsia" w:ascii="宋体" w:hAnsi="Times New Roman" w:eastAsia="宋体" w:cs="Times New Roman"/>
          <w:color w:val="000000"/>
          <w:sz w:val="21"/>
          <w:lang w:val="en-US" w:eastAsia="zh-CN" w:bidi="ar-SA"/>
        </w:rPr>
        <w:t>S——总测度值；</w:t>
      </w:r>
    </w:p>
    <w:p w14:paraId="4C42AE99">
      <w:pPr>
        <w:keepNext w:val="0"/>
        <w:keepLines w:val="0"/>
        <w:pageBreakBefore w:val="0"/>
        <w:widowControl/>
        <w:tabs>
          <w:tab w:val="center" w:pos="4201"/>
          <w:tab w:val="right" w:leader="dot" w:pos="9298"/>
        </w:tabs>
        <w:kinsoku/>
        <w:wordWrap/>
        <w:overflowPunct/>
        <w:topLinePunct w:val="0"/>
        <w:autoSpaceDE w:val="0"/>
        <w:autoSpaceDN w:val="0"/>
        <w:bidi w:val="0"/>
        <w:adjustRightInd/>
        <w:snapToGrid/>
        <w:ind w:firstLine="420" w:firstLineChars="200"/>
        <w:jc w:val="both"/>
        <w:textAlignment w:val="auto"/>
        <w:rPr>
          <w:rFonts w:hint="eastAsia" w:ascii="宋体" w:hAnsi="Times New Roman" w:eastAsia="宋体" w:cs="Times New Roman"/>
          <w:color w:val="000000"/>
          <w:sz w:val="21"/>
          <w:lang w:val="en-US" w:eastAsia="zh-CN" w:bidi="ar-SA"/>
        </w:rPr>
      </w:pPr>
      <w:r>
        <w:rPr>
          <w:rFonts w:hint="eastAsia" w:ascii="宋体" w:hAnsi="Times New Roman" w:eastAsia="宋体" w:cs="Times New Roman"/>
          <w:color w:val="000000"/>
          <w:sz w:val="21"/>
          <w:lang w:val="en-US" w:eastAsia="zh-CN" w:bidi="ar-SA"/>
        </w:rPr>
        <w:t>W</w:t>
      </w:r>
      <w:r>
        <w:rPr>
          <w:rFonts w:hint="eastAsia" w:ascii="宋体" w:hAnsi="Times New Roman" w:eastAsia="宋体" w:cs="Times New Roman"/>
          <w:color w:val="000000"/>
          <w:sz w:val="21"/>
          <w:vertAlign w:val="subscript"/>
          <w:lang w:val="en-US" w:eastAsia="zh-CN" w:bidi="ar-SA"/>
        </w:rPr>
        <w:t>i</w:t>
      </w:r>
      <w:r>
        <w:rPr>
          <w:rFonts w:hint="eastAsia" w:ascii="宋体" w:hAnsi="Times New Roman" w:eastAsia="宋体" w:cs="Times New Roman"/>
          <w:color w:val="000000"/>
          <w:sz w:val="21"/>
          <w:lang w:val="en-US" w:eastAsia="zh-CN" w:bidi="ar-SA"/>
        </w:rPr>
        <w:t>——第i个一级指标的权重；</w:t>
      </w:r>
    </w:p>
    <w:p w14:paraId="3390B937">
      <w:pPr>
        <w:keepNext w:val="0"/>
        <w:keepLines w:val="0"/>
        <w:pageBreakBefore w:val="0"/>
        <w:widowControl/>
        <w:tabs>
          <w:tab w:val="center" w:pos="4201"/>
          <w:tab w:val="right" w:leader="dot" w:pos="9298"/>
        </w:tabs>
        <w:kinsoku/>
        <w:wordWrap/>
        <w:overflowPunct/>
        <w:topLinePunct w:val="0"/>
        <w:autoSpaceDE w:val="0"/>
        <w:autoSpaceDN w:val="0"/>
        <w:bidi w:val="0"/>
        <w:adjustRightInd/>
        <w:snapToGrid/>
        <w:ind w:firstLine="420" w:firstLineChars="200"/>
        <w:jc w:val="both"/>
        <w:textAlignment w:val="auto"/>
        <w:rPr>
          <w:rFonts w:hint="eastAsia" w:ascii="宋体" w:hAnsi="Times New Roman" w:eastAsia="宋体" w:cs="Times New Roman"/>
          <w:color w:val="000000"/>
          <w:sz w:val="21"/>
          <w:lang w:val="en-US" w:eastAsia="zh-CN" w:bidi="ar-SA"/>
        </w:rPr>
      </w:pPr>
      <w:r>
        <w:rPr>
          <w:rFonts w:hint="eastAsia" w:ascii="宋体" w:hAnsi="Times New Roman" w:eastAsia="宋体" w:cs="Times New Roman"/>
          <w:color w:val="000000"/>
          <w:sz w:val="21"/>
          <w:lang w:val="en-US" w:eastAsia="zh-CN" w:bidi="ar-SA"/>
        </w:rPr>
        <w:t>X</w:t>
      </w:r>
      <w:r>
        <w:rPr>
          <w:rFonts w:hint="eastAsia" w:ascii="宋体" w:hAnsi="Times New Roman" w:eastAsia="宋体" w:cs="Times New Roman"/>
          <w:color w:val="000000"/>
          <w:sz w:val="21"/>
          <w:vertAlign w:val="subscript"/>
          <w:lang w:val="en-US" w:eastAsia="zh-CN" w:bidi="ar-SA"/>
        </w:rPr>
        <w:t>i</w:t>
      </w:r>
      <w:r>
        <w:rPr>
          <w:rFonts w:hint="eastAsia" w:ascii="宋体" w:hAnsi="Times New Roman" w:eastAsia="宋体" w:cs="Times New Roman"/>
          <w:color w:val="000000"/>
          <w:sz w:val="21"/>
          <w:lang w:val="en-US" w:eastAsia="zh-CN" w:bidi="ar-SA"/>
        </w:rPr>
        <w:t>——第i个二级指标测度值；</w:t>
      </w:r>
    </w:p>
    <w:p w14:paraId="464E7463">
      <w:pPr>
        <w:keepNext w:val="0"/>
        <w:keepLines w:val="0"/>
        <w:pageBreakBefore w:val="0"/>
        <w:widowControl/>
        <w:tabs>
          <w:tab w:val="center" w:pos="4201"/>
          <w:tab w:val="right" w:leader="dot" w:pos="9298"/>
        </w:tabs>
        <w:kinsoku/>
        <w:wordWrap/>
        <w:overflowPunct/>
        <w:topLinePunct w:val="0"/>
        <w:autoSpaceDE w:val="0"/>
        <w:autoSpaceDN w:val="0"/>
        <w:bidi w:val="0"/>
        <w:adjustRightInd/>
        <w:snapToGrid/>
        <w:ind w:firstLine="420" w:firstLineChars="200"/>
        <w:jc w:val="both"/>
        <w:textAlignment w:val="auto"/>
        <w:rPr>
          <w:rFonts w:hint="eastAsia" w:ascii="宋体" w:hAnsi="宋体" w:eastAsia="宋体" w:cs="宋体"/>
          <w:lang w:val="en-US" w:eastAsia="zh-CN"/>
        </w:rPr>
      </w:pPr>
      <w:r>
        <w:rPr>
          <w:rFonts w:hint="eastAsia" w:ascii="宋体" w:hAnsi="Times New Roman" w:eastAsia="宋体" w:cs="Times New Roman"/>
          <w:color w:val="000000"/>
          <w:sz w:val="21"/>
          <w:lang w:val="en-US" w:eastAsia="zh-CN" w:bidi="ar-SA"/>
        </w:rPr>
        <w:t>n——一级指标总数。</w:t>
      </w:r>
    </w:p>
    <w:p w14:paraId="4AE6B91B">
      <w:pPr>
        <w:pStyle w:val="111"/>
        <w:numPr>
          <w:ilvl w:val="2"/>
          <w:numId w:val="12"/>
        </w:numPr>
        <w:spacing w:before="156" w:after="156"/>
        <w:ind w:left="0" w:firstLine="0"/>
        <w:rPr>
          <w:rFonts w:hint="eastAsia"/>
          <w:lang w:val="en-US" w:eastAsia="zh-CN"/>
        </w:rPr>
      </w:pPr>
      <w:bookmarkStart w:id="81" w:name="_Toc32314"/>
      <w:r>
        <w:rPr>
          <w:rFonts w:hint="eastAsia"/>
          <w:lang w:val="en-US" w:eastAsia="zh-CN"/>
        </w:rPr>
        <w:t>权重分配</w:t>
      </w:r>
      <w:bookmarkEnd w:id="81"/>
    </w:p>
    <w:p w14:paraId="6D0AB1EC">
      <w:pPr>
        <w:keepNext w:val="0"/>
        <w:keepLines w:val="0"/>
        <w:pageBreakBefore w:val="0"/>
        <w:widowControl/>
        <w:tabs>
          <w:tab w:val="center" w:pos="4201"/>
          <w:tab w:val="right" w:leader="dot" w:pos="9298"/>
        </w:tabs>
        <w:kinsoku/>
        <w:wordWrap/>
        <w:overflowPunct/>
        <w:topLinePunct w:val="0"/>
        <w:autoSpaceDE w:val="0"/>
        <w:autoSpaceDN w:val="0"/>
        <w:bidi w:val="0"/>
        <w:adjustRightInd/>
        <w:snapToGrid/>
        <w:ind w:firstLine="420" w:firstLineChars="200"/>
        <w:jc w:val="both"/>
        <w:textAlignment w:val="auto"/>
        <w:rPr>
          <w:rFonts w:hint="eastAsia" w:ascii="宋体" w:hAnsi="Times New Roman" w:eastAsia="宋体" w:cs="Times New Roman"/>
          <w:color w:val="000000"/>
          <w:sz w:val="21"/>
          <w:lang w:val="en-US" w:eastAsia="zh-CN" w:bidi="ar-SA"/>
        </w:rPr>
      </w:pPr>
      <w:r>
        <w:rPr>
          <w:rFonts w:hint="eastAsia" w:ascii="宋体" w:hAnsi="Times New Roman" w:eastAsia="宋体" w:cs="Times New Roman"/>
          <w:color w:val="000000"/>
          <w:sz w:val="21"/>
          <w:lang w:val="en-US" w:eastAsia="zh-CN" w:bidi="ar-SA"/>
        </w:rPr>
        <w:t>采用层次分</w:t>
      </w:r>
      <w:r>
        <w:rPr>
          <w:rFonts w:hint="eastAsia" w:ascii="宋体" w:hAnsi="Times New Roman" w:eastAsia="宋体" w:cs="Times New Roman"/>
          <w:color w:val="000000" w:themeColor="text1"/>
          <w:sz w:val="21"/>
          <w:lang w:val="en-US" w:eastAsia="zh-CN" w:bidi="ar-SA"/>
          <w14:textFill>
            <w14:solidFill>
              <w14:schemeClr w14:val="tx1"/>
            </w14:solidFill>
          </w14:textFill>
        </w:rPr>
        <w:t>析法、实地调研法、主成分分析法等方法确定权重，重点向“</w:t>
      </w:r>
      <w:r>
        <w:rPr>
          <w:rFonts w:hint="eastAsia" w:ascii="宋体" w:hAnsi="Times New Roman" w:cs="Times New Roman"/>
          <w:color w:val="000000" w:themeColor="text1"/>
          <w:sz w:val="21"/>
          <w:lang w:val="en-US" w:eastAsia="zh-CN" w:bidi="ar-SA"/>
          <w14:textFill>
            <w14:solidFill>
              <w14:schemeClr w14:val="tx1"/>
            </w14:solidFill>
          </w14:textFill>
        </w:rPr>
        <w:t>收益分配</w:t>
      </w:r>
      <w:r>
        <w:rPr>
          <w:rFonts w:hint="eastAsia" w:ascii="宋体" w:hAnsi="Times New Roman" w:eastAsia="宋体" w:cs="Times New Roman"/>
          <w:color w:val="000000" w:themeColor="text1"/>
          <w:sz w:val="21"/>
          <w:lang w:val="en-US" w:eastAsia="zh-CN" w:bidi="ar-SA"/>
          <w14:textFill>
            <w14:solidFill>
              <w14:schemeClr w14:val="tx1"/>
            </w14:solidFill>
          </w14:textFill>
        </w:rPr>
        <w:t>”“居民（农户）参与率”“中等收入群体占比”等核心</w:t>
      </w:r>
      <w:r>
        <w:rPr>
          <w:rFonts w:hint="eastAsia" w:ascii="宋体" w:hAnsi="Times New Roman" w:eastAsia="宋体" w:cs="Times New Roman"/>
          <w:color w:val="000000"/>
          <w:sz w:val="21"/>
          <w:lang w:val="en-US" w:eastAsia="zh-CN" w:bidi="ar-SA"/>
        </w:rPr>
        <w:t>指标倾斜，贴合共同富裕试验区目标。</w:t>
      </w:r>
    </w:p>
    <w:p w14:paraId="1855DB4F">
      <w:pPr>
        <w:pStyle w:val="111"/>
        <w:numPr>
          <w:ilvl w:val="2"/>
          <w:numId w:val="12"/>
        </w:numPr>
        <w:spacing w:before="156" w:after="156"/>
        <w:ind w:left="0" w:firstLine="0"/>
        <w:rPr>
          <w:rFonts w:hint="eastAsia"/>
          <w:lang w:val="en-US" w:eastAsia="zh-CN"/>
        </w:rPr>
      </w:pPr>
      <w:bookmarkStart w:id="82" w:name="_Toc18115"/>
      <w:r>
        <w:rPr>
          <w:rFonts w:hint="eastAsia"/>
          <w:lang w:val="en-US" w:eastAsia="zh-CN"/>
        </w:rPr>
        <w:t>结果范围</w:t>
      </w:r>
      <w:bookmarkEnd w:id="82"/>
    </w:p>
    <w:p w14:paraId="5970643C">
      <w:pPr>
        <w:tabs>
          <w:tab w:val="center" w:pos="4201"/>
          <w:tab w:val="right" w:leader="dot" w:pos="9298"/>
        </w:tabs>
        <w:autoSpaceDE w:val="0"/>
        <w:autoSpaceDN w:val="0"/>
        <w:ind w:firstLine="420" w:firstLineChars="200"/>
        <w:jc w:val="both"/>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总</w:t>
      </w:r>
      <w:r>
        <w:rPr>
          <w:rFonts w:hint="eastAsia" w:ascii="宋体" w:hAnsi="Times New Roman" w:eastAsia="宋体" w:cs="Times New Roman"/>
          <w:color w:val="000000"/>
          <w:sz w:val="21"/>
          <w:lang w:val="en-US" w:eastAsia="zh-CN" w:bidi="ar-SA"/>
        </w:rPr>
        <w:t>测度值</w:t>
      </w:r>
      <w:r>
        <w:rPr>
          <w:rFonts w:hint="eastAsia" w:ascii="宋体" w:hAnsi="Times New Roman" w:eastAsia="宋体" w:cs="Times New Roman"/>
          <w:sz w:val="21"/>
          <w:lang w:val="en-US" w:eastAsia="zh-CN" w:bidi="ar-SA"/>
        </w:rPr>
        <w:t>满分为1分，按以下等级划分：​</w:t>
      </w:r>
    </w:p>
    <w:p w14:paraId="1272EBC2">
      <w:pPr>
        <w:pStyle w:val="252"/>
        <w:numPr>
          <w:ilvl w:val="0"/>
          <w:numId w:val="36"/>
        </w:numPr>
        <w:ind w:left="840" w:leftChars="200" w:hanging="420" w:hangingChars="200"/>
        <w:rPr>
          <w:rFonts w:hint="eastAsia" w:ascii="宋体" w:hAnsi="Times New Roman" w:eastAsia="宋体" w:cs="Times New Roman"/>
          <w:lang w:val="en-US" w:eastAsia="zh-CN"/>
        </w:rPr>
      </w:pPr>
      <w:r>
        <w:rPr>
          <w:rFonts w:hint="eastAsia" w:ascii="宋体" w:hAnsi="Times New Roman" w:eastAsia="宋体" w:cs="Times New Roman"/>
          <w:lang w:val="en-US" w:eastAsia="zh-CN"/>
        </w:rPr>
        <w:t>0.8-1分，优秀水平，共同富裕成效显著；</w:t>
      </w:r>
    </w:p>
    <w:p w14:paraId="207BBD0D">
      <w:pPr>
        <w:pStyle w:val="252"/>
        <w:numPr>
          <w:ilvl w:val="0"/>
          <w:numId w:val="36"/>
        </w:numPr>
        <w:ind w:left="840" w:leftChars="200" w:hanging="420" w:hangingChars="200"/>
        <w:rPr>
          <w:rFonts w:hint="eastAsia" w:ascii="宋体" w:hAnsi="Times New Roman" w:eastAsia="宋体" w:cs="Times New Roman"/>
          <w:lang w:val="en-US" w:eastAsia="zh-CN"/>
        </w:rPr>
      </w:pPr>
      <w:r>
        <w:rPr>
          <w:rFonts w:hint="eastAsia" w:ascii="宋体" w:hAnsi="Times New Roman" w:eastAsia="宋体" w:cs="Times New Roman"/>
          <w:lang w:val="en-US" w:eastAsia="zh-CN"/>
        </w:rPr>
        <w:t>0.6-0.8分，良好水平，存在优化空间；</w:t>
      </w:r>
    </w:p>
    <w:p w14:paraId="5833F04B">
      <w:pPr>
        <w:pStyle w:val="252"/>
        <w:numPr>
          <w:ilvl w:val="0"/>
          <w:numId w:val="36"/>
        </w:numPr>
        <w:ind w:left="840" w:leftChars="200" w:hanging="420" w:hangingChars="200"/>
        <w:rPr>
          <w:rFonts w:hint="eastAsia" w:ascii="宋体" w:hAnsi="Times New Roman" w:eastAsia="宋体" w:cs="Times New Roman"/>
          <w:lang w:val="en-US" w:eastAsia="zh-CN"/>
        </w:rPr>
      </w:pPr>
      <w:r>
        <w:rPr>
          <w:rFonts w:hint="eastAsia" w:ascii="宋体" w:hAnsi="Times New Roman" w:eastAsia="宋体" w:cs="Times New Roman"/>
          <w:lang w:val="en-US" w:eastAsia="zh-CN"/>
        </w:rPr>
        <w:t>0.4-0.6分，中等水平，关键领域需改进；</w:t>
      </w:r>
    </w:p>
    <w:p w14:paraId="314C4A90">
      <w:pPr>
        <w:pStyle w:val="252"/>
        <w:numPr>
          <w:ilvl w:val="0"/>
          <w:numId w:val="36"/>
        </w:numPr>
        <w:ind w:left="840" w:leftChars="200" w:hanging="420" w:hangingChars="200"/>
        <w:rPr>
          <w:rFonts w:hint="eastAsia" w:ascii="宋体" w:hAnsi="Times New Roman" w:eastAsia="宋体" w:cs="Times New Roman"/>
          <w:lang w:val="en-US" w:eastAsia="zh-CN"/>
        </w:rPr>
      </w:pPr>
      <w:r>
        <w:rPr>
          <w:rFonts w:hint="eastAsia" w:ascii="宋体" w:hAnsi="Times New Roman" w:eastAsia="宋体" w:cs="Times New Roman"/>
          <w:lang w:val="en-US" w:eastAsia="zh-CN"/>
        </w:rPr>
        <w:t>0.4分以下，较低水平，需系统性提升。</w:t>
      </w:r>
    </w:p>
    <w:p w14:paraId="5B7DAAD5">
      <w:pPr>
        <w:pStyle w:val="111"/>
        <w:numPr>
          <w:ilvl w:val="2"/>
          <w:numId w:val="12"/>
        </w:numPr>
        <w:spacing w:before="156" w:after="156"/>
        <w:ind w:left="0" w:firstLine="0"/>
        <w:rPr>
          <w:rFonts w:hint="eastAsia"/>
          <w:lang w:val="en-US" w:eastAsia="zh-CN"/>
        </w:rPr>
      </w:pPr>
      <w:bookmarkStart w:id="83" w:name="_Toc19291"/>
      <w:r>
        <w:rPr>
          <w:rFonts w:hint="eastAsia"/>
          <w:lang w:val="en-US" w:eastAsia="zh-CN"/>
        </w:rPr>
        <w:t>统计监测流程​</w:t>
      </w:r>
      <w:bookmarkEnd w:id="83"/>
    </w:p>
    <w:p w14:paraId="69ED45AE">
      <w:pPr>
        <w:pStyle w:val="71"/>
        <w:rPr>
          <w:rFonts w:hint="eastAsia"/>
          <w:lang w:val="en-US" w:eastAsia="zh-CN"/>
        </w:rPr>
      </w:pPr>
      <w:r>
        <w:rPr>
          <w:rFonts w:hint="eastAsia"/>
          <w:lang w:val="en-US" w:eastAsia="zh-CN"/>
        </w:rPr>
        <w:t>统计监测范围</w:t>
      </w:r>
    </w:p>
    <w:p w14:paraId="772F5300">
      <w:pPr>
        <w:pStyle w:val="62"/>
        <w:keepNext w:val="0"/>
        <w:keepLines w:val="0"/>
        <w:pageBreakBefore w:val="0"/>
        <w:widowControl/>
        <w:kinsoku/>
        <w:wordWrap/>
        <w:overflowPunct/>
        <w:topLinePunct w:val="0"/>
        <w:autoSpaceDE w:val="0"/>
        <w:autoSpaceDN w:val="0"/>
        <w:bidi w:val="0"/>
        <w:adjustRightInd/>
        <w:snapToGrid/>
        <w:textAlignment w:val="auto"/>
        <w:rPr>
          <w:rFonts w:hint="eastAsia"/>
          <w:lang w:val="en-US" w:eastAsia="zh-CN"/>
        </w:rPr>
      </w:pPr>
      <w:r>
        <w:rPr>
          <w:rFonts w:hint="eastAsia"/>
          <w:lang w:val="en-US" w:eastAsia="zh-CN"/>
        </w:rPr>
        <w:t>全市参与康养创富联合体的所有主体及相关区域。</w:t>
      </w:r>
    </w:p>
    <w:p w14:paraId="6FE6F197">
      <w:pPr>
        <w:pStyle w:val="71"/>
        <w:rPr>
          <w:rFonts w:hint="eastAsia"/>
          <w:lang w:val="en-US" w:eastAsia="zh-CN"/>
        </w:rPr>
      </w:pPr>
      <w:r>
        <w:rPr>
          <w:rFonts w:hint="eastAsia"/>
          <w:lang w:val="en-US" w:eastAsia="zh-CN"/>
        </w:rPr>
        <w:t>统计监测方式</w:t>
      </w:r>
    </w:p>
    <w:p w14:paraId="73EE768B">
      <w:pPr>
        <w:pStyle w:val="62"/>
        <w:keepNext w:val="0"/>
        <w:keepLines w:val="0"/>
        <w:pageBreakBefore w:val="0"/>
        <w:widowControl/>
        <w:kinsoku/>
        <w:wordWrap/>
        <w:overflowPunct/>
        <w:topLinePunct w:val="0"/>
        <w:autoSpaceDE w:val="0"/>
        <w:autoSpaceDN w:val="0"/>
        <w:bidi w:val="0"/>
        <w:adjustRightInd/>
        <w:snapToGrid/>
        <w:textAlignment w:val="auto"/>
        <w:rPr>
          <w:rFonts w:hint="eastAsia"/>
          <w:lang w:val="en-US" w:eastAsia="zh-CN"/>
        </w:rPr>
      </w:pPr>
      <w:r>
        <w:rPr>
          <w:rFonts w:hint="eastAsia"/>
          <w:lang w:val="en-US" w:eastAsia="zh-CN"/>
        </w:rPr>
        <w:t>综合采用全面调查（关键指标）、抽样调查（普遍情况）、重点调查（特定对象）相结合的方式。</w:t>
      </w:r>
    </w:p>
    <w:p w14:paraId="29E4B3A4">
      <w:pPr>
        <w:pStyle w:val="71"/>
        <w:rPr>
          <w:rFonts w:hint="eastAsia"/>
          <w:lang w:val="en-US" w:eastAsia="zh-CN"/>
        </w:rPr>
      </w:pPr>
      <w:r>
        <w:rPr>
          <w:rFonts w:hint="eastAsia"/>
          <w:lang w:val="en-US" w:eastAsia="zh-CN"/>
        </w:rPr>
        <w:t>统计监测主体</w:t>
      </w:r>
    </w:p>
    <w:p w14:paraId="6557F641">
      <w:pPr>
        <w:pStyle w:val="62"/>
        <w:keepNext w:val="0"/>
        <w:keepLines w:val="0"/>
        <w:pageBreakBefore w:val="0"/>
        <w:widowControl/>
        <w:kinsoku/>
        <w:wordWrap/>
        <w:overflowPunct/>
        <w:topLinePunct w:val="0"/>
        <w:autoSpaceDE w:val="0"/>
        <w:autoSpaceDN w:val="0"/>
        <w:bidi w:val="0"/>
        <w:adjustRightInd/>
        <w:snapToGrid/>
        <w:textAlignment w:val="auto"/>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由市级相关部门建立协同监测实施机制。​</w:t>
      </w:r>
    </w:p>
    <w:p w14:paraId="29FF4EA3">
      <w:pPr>
        <w:pStyle w:val="71"/>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统计监测方案</w:t>
      </w:r>
    </w:p>
    <w:p w14:paraId="72A61568">
      <w:pPr>
        <w:pStyle w:val="62"/>
        <w:keepNext w:val="0"/>
        <w:keepLines w:val="0"/>
        <w:pageBreakBefore w:val="0"/>
        <w:widowControl/>
        <w:kinsoku/>
        <w:wordWrap/>
        <w:overflowPunct/>
        <w:topLinePunct w:val="0"/>
        <w:autoSpaceDE w:val="0"/>
        <w:autoSpaceDN w:val="0"/>
        <w:bidi w:val="0"/>
        <w:adjustRightInd/>
        <w:snapToGrid/>
        <w:textAlignment w:val="auto"/>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明确统计监测目的、指标、方法、分工及时间安排。​</w:t>
      </w:r>
    </w:p>
    <w:p w14:paraId="2EFCB975">
      <w:pPr>
        <w:pStyle w:val="71"/>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实施统计监测</w:t>
      </w:r>
    </w:p>
    <w:p w14:paraId="4C455024">
      <w:pPr>
        <w:pStyle w:val="62"/>
        <w:keepNext w:val="0"/>
        <w:keepLines w:val="0"/>
        <w:pageBreakBefore w:val="0"/>
        <w:widowControl/>
        <w:kinsoku/>
        <w:wordWrap/>
        <w:overflowPunct/>
        <w:topLinePunct w:val="0"/>
        <w:autoSpaceDE w:val="0"/>
        <w:autoSpaceDN w:val="0"/>
        <w:bidi w:val="0"/>
        <w:adjustRightInd/>
        <w:snapToGrid/>
        <w:textAlignment w:val="auto"/>
        <w:rPr>
          <w:rFonts w:hint="eastAsia"/>
          <w:lang w:val="en-US" w:eastAsia="zh-CN"/>
        </w:rPr>
      </w:pPr>
      <w:r>
        <w:rPr>
          <w:rFonts w:hint="eastAsia"/>
          <w:color w:val="000000" w:themeColor="text1"/>
          <w:lang w:val="en-US" w:eastAsia="zh-CN"/>
          <w14:textFill>
            <w14:solidFill>
              <w14:schemeClr w14:val="tx1"/>
            </w14:solidFill>
          </w14:textFill>
        </w:rPr>
        <w:t>康养创富联合体内相关主体按时报送数据、汇总审核，异常数据应</w:t>
      </w:r>
      <w:r>
        <w:rPr>
          <w:rFonts w:hint="eastAsia"/>
          <w:lang w:val="en-US" w:eastAsia="zh-CN"/>
        </w:rPr>
        <w:t>在5个工作日内复核修正。​</w:t>
      </w:r>
    </w:p>
    <w:p w14:paraId="0CEF764A">
      <w:pPr>
        <w:pStyle w:val="71"/>
        <w:rPr>
          <w:rFonts w:hint="eastAsia"/>
          <w:lang w:val="en-US" w:eastAsia="zh-CN"/>
        </w:rPr>
      </w:pPr>
      <w:r>
        <w:rPr>
          <w:rFonts w:hint="eastAsia"/>
          <w:lang w:val="en-US" w:eastAsia="zh-CN"/>
        </w:rPr>
        <w:t>统计监测结果</w:t>
      </w:r>
    </w:p>
    <w:p w14:paraId="0BDCB65F">
      <w:pPr>
        <w:pStyle w:val="62"/>
        <w:keepNext w:val="0"/>
        <w:keepLines w:val="0"/>
        <w:pageBreakBefore w:val="0"/>
        <w:widowControl/>
        <w:kinsoku/>
        <w:wordWrap/>
        <w:overflowPunct/>
        <w:topLinePunct w:val="0"/>
        <w:autoSpaceDE w:val="0"/>
        <w:autoSpaceDN w:val="0"/>
        <w:bidi w:val="0"/>
        <w:adjustRightInd/>
        <w:snapToGrid/>
        <w:textAlignment w:val="auto"/>
        <w:rPr>
          <w:rFonts w:hint="eastAsia"/>
          <w:lang w:val="en-US" w:eastAsia="zh-CN"/>
        </w:rPr>
      </w:pPr>
      <w:r>
        <w:rPr>
          <w:rFonts w:hint="eastAsia"/>
          <w:lang w:val="en-US" w:eastAsia="zh-CN"/>
        </w:rPr>
        <w:t>统计监测报告通过政府门户网站、新闻发布会等适当渠道向社会公布，提高透明度和公众参与度。</w:t>
      </w:r>
    </w:p>
    <w:p w14:paraId="0C6772F6">
      <w:r>
        <w:br w:type="page"/>
      </w:r>
    </w:p>
    <w:p w14:paraId="2F67DD5E">
      <w:pPr>
        <w:rPr>
          <w:rFonts w:hint="eastAsia" w:hAnsi="Times New Roman" w:cs="Times New Roman"/>
          <w:color w:val="000000"/>
          <w:sz w:val="21"/>
          <w:szCs w:val="24"/>
          <w:highlight w:val="none"/>
          <w:lang w:val="en-US" w:eastAsia="zh-CN"/>
        </w:rPr>
        <w:sectPr>
          <w:pgSz w:w="11906" w:h="16838"/>
          <w:pgMar w:top="851" w:right="1134" w:bottom="1134" w:left="1418" w:header="1418" w:footer="1134" w:gutter="0"/>
          <w:pgBorders>
            <w:top w:val="none" w:sz="0" w:space="0"/>
            <w:left w:val="none" w:sz="0" w:space="0"/>
            <w:bottom w:val="none" w:sz="0" w:space="0"/>
            <w:right w:val="none" w:sz="0" w:space="0"/>
          </w:pgBorders>
          <w:cols w:space="425" w:num="1"/>
          <w:formProt w:val="0"/>
          <w:docGrid w:type="lines" w:linePitch="312" w:charSpace="0"/>
        </w:sectPr>
      </w:pPr>
    </w:p>
    <w:bookmarkEnd w:id="19"/>
    <w:p w14:paraId="0FFA33BF">
      <w:pPr>
        <w:pStyle w:val="249"/>
        <w:numPr>
          <w:ilvl w:val="0"/>
          <w:numId w:val="0"/>
        </w:numPr>
        <w:shd w:val="clear" w:color="FFFFFF" w:fill="FFFFFF"/>
        <w:tabs>
          <w:tab w:val="left" w:pos="360"/>
          <w:tab w:val="clear" w:pos="823"/>
        </w:tabs>
        <w:ind w:leftChars="0"/>
        <w:jc w:val="center"/>
        <w:rPr>
          <w:rFonts w:hint="eastAsia" w:hAnsi="Times New Roman" w:cs="Times New Roman"/>
          <w:color w:val="000000"/>
          <w:highlight w:val="none"/>
          <w:lang w:val="en-US" w:eastAsia="zh-CN"/>
        </w:rPr>
      </w:pPr>
      <w:bookmarkStart w:id="84" w:name="_Toc21224"/>
      <w:bookmarkStart w:id="85" w:name="_Toc14698"/>
      <w:bookmarkStart w:id="86" w:name="_Toc145319055"/>
      <w:bookmarkStart w:id="87" w:name="_Hlk133438120"/>
      <w:bookmarkStart w:id="88" w:name="BookMark8"/>
      <w:r>
        <w:rPr>
          <w:rFonts w:hint="eastAsia" w:hAnsi="Times New Roman" w:cs="Times New Roman"/>
          <w:color w:val="000000"/>
          <w:highlight w:val="none"/>
          <w:lang w:val="en-US" w:eastAsia="zh-CN"/>
        </w:rPr>
        <w:t>附 录 A</w:t>
      </w:r>
      <w:r>
        <w:rPr>
          <w:rFonts w:hAnsi="Times New Roman" w:cs="Times New Roman"/>
          <w:color w:val="000000"/>
          <w:highlight w:val="none"/>
        </w:rPr>
        <w:br w:type="textWrapping"/>
      </w:r>
      <w:r>
        <w:rPr>
          <w:rFonts w:hint="eastAsia" w:hAnsi="Times New Roman" w:cs="Times New Roman"/>
          <w:color w:val="000000"/>
          <w:highlight w:val="none"/>
        </w:rPr>
        <w:t>（</w:t>
      </w:r>
      <w:r>
        <w:rPr>
          <w:rFonts w:hint="eastAsia" w:hAnsi="Times New Roman" w:cs="Times New Roman"/>
          <w:color w:val="000000"/>
          <w:highlight w:val="none"/>
          <w:lang w:val="en-US" w:eastAsia="zh-CN"/>
        </w:rPr>
        <w:t>资料性</w:t>
      </w:r>
      <w:r>
        <w:rPr>
          <w:rFonts w:hint="eastAsia" w:hAnsi="Times New Roman" w:cs="Times New Roman"/>
          <w:color w:val="000000"/>
          <w:highlight w:val="none"/>
        </w:rPr>
        <w:t>附录）</w:t>
      </w:r>
      <w:r>
        <w:rPr>
          <w:rFonts w:hAnsi="Times New Roman" w:cs="Times New Roman"/>
          <w:color w:val="000000"/>
          <w:highlight w:val="none"/>
        </w:rPr>
        <w:br w:type="textWrapping"/>
      </w:r>
      <w:bookmarkEnd w:id="84"/>
      <w:r>
        <w:rPr>
          <w:rFonts w:hint="eastAsia" w:cs="Times New Roman"/>
          <w:color w:val="000000"/>
          <w:highlight w:val="none"/>
          <w:lang w:val="en-US" w:eastAsia="zh-CN"/>
        </w:rPr>
        <w:t>康养创富联合体</w:t>
      </w:r>
      <w:r>
        <w:rPr>
          <w:rFonts w:hint="eastAsia" w:hAnsi="Times New Roman" w:cs="Times New Roman"/>
          <w:color w:val="000000"/>
          <w:highlight w:val="none"/>
          <w:lang w:val="en-US" w:eastAsia="zh-CN"/>
        </w:rPr>
        <w:t>总测度值计算过程示例</w:t>
      </w:r>
      <w:bookmarkEnd w:id="85"/>
    </w:p>
    <w:p w14:paraId="45F79766">
      <w:pPr>
        <w:keepNext w:val="0"/>
        <w:keepLines w:val="0"/>
        <w:pageBreakBefore w:val="0"/>
        <w:widowControl w:val="0"/>
        <w:kinsoku/>
        <w:wordWrap/>
        <w:overflowPunct/>
        <w:topLinePunct w:val="0"/>
        <w:autoSpaceDE w:val="0"/>
        <w:autoSpaceDN w:val="0"/>
        <w:bidi w:val="0"/>
        <w:adjustRightInd w:val="0"/>
        <w:snapToGrid/>
        <w:spacing w:before="157" w:beforeLines="50" w:after="157" w:afterLines="50"/>
        <w:ind w:firstLine="420" w:firstLineChars="200"/>
        <w:jc w:val="both"/>
        <w:textAlignment w:val="auto"/>
        <w:rPr>
          <w:rFonts w:hint="eastAsia" w:ascii="黑体" w:hAnsi="黑体" w:eastAsia="黑体" w:cs="黑体"/>
          <w:color w:val="auto"/>
          <w:sz w:val="21"/>
          <w:highlight w:val="none"/>
          <w:lang w:val="en-US" w:eastAsia="zh-CN" w:bidi="ar-SA"/>
        </w:rPr>
      </w:pPr>
      <w:r>
        <w:rPr>
          <w:rFonts w:hint="eastAsia" w:ascii="黑体" w:hAnsi="黑体" w:eastAsia="黑体" w:cs="黑体"/>
          <w:color w:val="auto"/>
          <w:sz w:val="21"/>
          <w:highlight w:val="none"/>
          <w:lang w:val="en-US" w:eastAsia="zh-CN" w:bidi="ar-SA"/>
        </w:rPr>
        <w:t>B.1 数据搜集与处理</w:t>
      </w:r>
    </w:p>
    <w:p w14:paraId="02B2DF3E">
      <w:pPr>
        <w:pStyle w:val="62"/>
        <w:ind w:firstLine="420"/>
        <w:rPr>
          <w:rFonts w:hint="eastAsia" w:ascii="宋体" w:hAnsi="宋体" w:eastAsia="宋体" w:cs="Times New Roman"/>
          <w:color w:val="000000"/>
          <w:sz w:val="21"/>
          <w:szCs w:val="21"/>
          <w:highlight w:val="none"/>
          <w:lang w:val="en-US" w:eastAsia="zh-CN"/>
        </w:rPr>
      </w:pPr>
      <w:r>
        <w:rPr>
          <w:rFonts w:hint="eastAsia" w:ascii="宋体" w:hAnsi="宋体" w:eastAsia="宋体" w:cs="Times New Roman"/>
          <w:color w:val="000000"/>
          <w:sz w:val="21"/>
          <w:szCs w:val="21"/>
          <w:highlight w:val="none"/>
          <w:lang w:val="en-US" w:eastAsia="zh-CN"/>
        </w:rPr>
        <w:t>建议依据指标体系以搜集客观数据为主。具体过程如下：</w:t>
      </w:r>
    </w:p>
    <w:p w14:paraId="1EDB76E9">
      <w:pPr>
        <w:pStyle w:val="252"/>
        <w:numPr>
          <w:ilvl w:val="0"/>
          <w:numId w:val="37"/>
        </w:numPr>
        <w:ind w:left="840" w:leftChars="200" w:hanging="420" w:hangingChars="200"/>
        <w:rPr>
          <w:rFonts w:hint="eastAsia" w:ascii="宋体" w:hAnsi="Times New Roman" w:eastAsia="宋体" w:cs="Times New Roman"/>
          <w:lang w:val="en-US" w:eastAsia="zh-CN"/>
        </w:rPr>
      </w:pPr>
      <w:r>
        <w:rPr>
          <w:rFonts w:hint="eastAsia" w:ascii="宋体" w:hAnsi="Times New Roman" w:eastAsia="宋体" w:cs="Times New Roman"/>
          <w:lang w:val="en-US" w:eastAsia="zh-CN"/>
        </w:rPr>
        <w:t>搜集第</w:t>
      </w:r>
      <w:r>
        <w:rPr>
          <w:rFonts w:hint="eastAsia" w:cs="Times New Roman"/>
          <w:lang w:val="en-US" w:eastAsia="zh-CN"/>
        </w:rPr>
        <w:t>四</w:t>
      </w:r>
      <w:r>
        <w:rPr>
          <w:rFonts w:hint="eastAsia" w:ascii="宋体" w:hAnsi="Times New Roman" w:eastAsia="宋体" w:cs="Times New Roman"/>
          <w:lang w:val="en-US" w:eastAsia="zh-CN"/>
        </w:rPr>
        <w:t>级指标的数据；</w:t>
      </w:r>
    </w:p>
    <w:p w14:paraId="1717FE44">
      <w:pPr>
        <w:pStyle w:val="252"/>
        <w:numPr>
          <w:ilvl w:val="0"/>
          <w:numId w:val="37"/>
        </w:numPr>
        <w:ind w:left="840" w:leftChars="200" w:hanging="420" w:hangingChars="200"/>
        <w:rPr>
          <w:rFonts w:hint="eastAsia" w:ascii="宋体" w:hAnsi="Times New Roman" w:eastAsia="宋体" w:cs="Times New Roman"/>
          <w:lang w:val="en-US" w:eastAsia="zh-CN"/>
        </w:rPr>
      </w:pPr>
      <w:r>
        <w:rPr>
          <w:rFonts w:hint="eastAsia" w:ascii="宋体" w:hAnsi="Times New Roman" w:eastAsia="宋体" w:cs="Times New Roman"/>
          <w:lang w:val="en-US" w:eastAsia="zh-CN"/>
        </w:rPr>
        <w:t>运用最大最小值法对第</w:t>
      </w:r>
      <w:r>
        <w:rPr>
          <w:rFonts w:hint="eastAsia" w:cs="Times New Roman"/>
          <w:lang w:val="en-US" w:eastAsia="zh-CN"/>
        </w:rPr>
        <w:t>四</w:t>
      </w:r>
      <w:r>
        <w:rPr>
          <w:rFonts w:hint="eastAsia" w:ascii="宋体" w:hAnsi="Times New Roman" w:eastAsia="宋体" w:cs="Times New Roman"/>
          <w:lang w:val="en-US" w:eastAsia="zh-CN"/>
        </w:rPr>
        <w:t>级指标的数据进行归一化处理；具体公式如下：</w:t>
      </w:r>
    </w:p>
    <w:p w14:paraId="5F974A99">
      <w:pPr>
        <w:pStyle w:val="62"/>
        <w:keepNext w:val="0"/>
        <w:keepLines w:val="0"/>
        <w:pageBreakBefore w:val="0"/>
        <w:widowControl/>
        <w:kinsoku/>
        <w:wordWrap/>
        <w:overflowPunct/>
        <w:topLinePunct w:val="0"/>
        <w:autoSpaceDE w:val="0"/>
        <w:autoSpaceDN w:val="0"/>
        <w:bidi w:val="0"/>
        <w:adjustRightInd/>
        <w:snapToGrid/>
        <w:ind w:firstLine="840" w:firstLineChars="400"/>
        <w:textAlignment w:val="auto"/>
        <w:rPr>
          <w:rFonts w:hint="eastAsia"/>
          <w:lang w:val="en-US" w:eastAsia="zh-CN"/>
        </w:rPr>
      </w:pPr>
      <w:r>
        <w:rPr>
          <w:rFonts w:hint="eastAsia"/>
          <w:lang w:val="en-US" w:eastAsia="zh-CN"/>
        </w:rPr>
        <w:t>归一化值=（原始值-最小值）/（最大值-最小值）；</w:t>
      </w:r>
    </w:p>
    <w:p w14:paraId="64EF7C33">
      <w:pPr>
        <w:pStyle w:val="252"/>
        <w:numPr>
          <w:ilvl w:val="0"/>
          <w:numId w:val="37"/>
        </w:numPr>
        <w:ind w:left="840" w:leftChars="200" w:hanging="420" w:hangingChars="200"/>
        <w:rPr>
          <w:rFonts w:hint="eastAsia"/>
          <w:lang w:val="en-US" w:eastAsia="zh-CN"/>
        </w:rPr>
      </w:pPr>
      <w:r>
        <w:rPr>
          <w:rFonts w:hint="eastAsia"/>
          <w:lang w:val="en-US" w:eastAsia="zh-CN"/>
        </w:rPr>
        <w:t>对第四级指标中已采用评分制的部分（如表1中“康养+特色业态数量”、“产业联合体主体数量”），直接采用其评分值，无需进行归一化处理；</w:t>
      </w:r>
    </w:p>
    <w:p w14:paraId="2762CB05">
      <w:pPr>
        <w:pStyle w:val="252"/>
        <w:numPr>
          <w:ilvl w:val="0"/>
          <w:numId w:val="37"/>
        </w:numPr>
        <w:ind w:left="840" w:leftChars="200" w:hanging="420" w:hangingChars="200"/>
        <w:rPr>
          <w:rFonts w:hint="eastAsia"/>
          <w:lang w:val="en-US" w:eastAsia="zh-CN"/>
        </w:rPr>
      </w:pPr>
      <w:r>
        <w:rPr>
          <w:rFonts w:hint="eastAsia"/>
          <w:lang w:val="en-US" w:eastAsia="zh-CN"/>
        </w:rPr>
        <w:t>对于“股权分红”类指标，统计口径严格限定为现金分红，不包含非货币性分配。</w:t>
      </w:r>
    </w:p>
    <w:p w14:paraId="079B853A">
      <w:pPr>
        <w:keepNext w:val="0"/>
        <w:keepLines w:val="0"/>
        <w:pageBreakBefore w:val="0"/>
        <w:widowControl w:val="0"/>
        <w:kinsoku/>
        <w:wordWrap/>
        <w:overflowPunct/>
        <w:topLinePunct w:val="0"/>
        <w:autoSpaceDE w:val="0"/>
        <w:autoSpaceDN w:val="0"/>
        <w:bidi w:val="0"/>
        <w:adjustRightInd w:val="0"/>
        <w:snapToGrid/>
        <w:spacing w:before="157" w:beforeLines="50" w:after="157" w:afterLines="50"/>
        <w:ind w:firstLine="420" w:firstLineChars="200"/>
        <w:jc w:val="both"/>
        <w:textAlignment w:val="auto"/>
        <w:rPr>
          <w:rFonts w:hint="eastAsia" w:ascii="黑体" w:hAnsi="黑体" w:eastAsia="黑体" w:cs="黑体"/>
          <w:color w:val="auto"/>
          <w:sz w:val="21"/>
          <w:highlight w:val="none"/>
          <w:lang w:val="en-US" w:eastAsia="zh-CN" w:bidi="ar-SA"/>
        </w:rPr>
      </w:pPr>
      <w:r>
        <w:rPr>
          <w:rFonts w:hint="eastAsia" w:ascii="黑体" w:hAnsi="黑体" w:eastAsia="黑体" w:cs="黑体"/>
          <w:color w:val="auto"/>
          <w:sz w:val="21"/>
          <w:highlight w:val="none"/>
          <w:lang w:val="en-US" w:eastAsia="zh-CN" w:bidi="ar-SA"/>
        </w:rPr>
        <w:t>B.2 计算过程</w:t>
      </w:r>
    </w:p>
    <w:p w14:paraId="51C2648D">
      <w:pPr>
        <w:pStyle w:val="62"/>
        <w:ind w:firstLine="420"/>
        <w:rPr>
          <w:rFonts w:hint="default" w:ascii="宋体" w:hAnsi="宋体" w:eastAsia="宋体" w:cs="Times New Roman"/>
          <w:color w:val="000000"/>
          <w:sz w:val="21"/>
          <w:szCs w:val="21"/>
          <w:highlight w:val="none"/>
          <w:lang w:val="en-US" w:eastAsia="zh-CN"/>
        </w:rPr>
      </w:pPr>
      <w:r>
        <w:rPr>
          <w:rFonts w:hint="default" w:ascii="宋体" w:hAnsi="宋体" w:eastAsia="宋体" w:cs="Times New Roman"/>
          <w:color w:val="000000"/>
          <w:sz w:val="21"/>
          <w:szCs w:val="21"/>
          <w:highlight w:val="none"/>
          <w:lang w:val="en-US" w:eastAsia="zh-CN"/>
        </w:rPr>
        <w:t>经过步骤A.1处理后，所有第四级指标值（归一化后的数值或直接采用的评分值）量纲统一，可应用于康养创富联合体总测度值的测算，测算方法为加权法。具体测算过程示例如下：</w:t>
      </w:r>
    </w:p>
    <w:p w14:paraId="1A978AE6">
      <w:pPr>
        <w:pStyle w:val="252"/>
        <w:numPr>
          <w:ilvl w:val="0"/>
          <w:numId w:val="38"/>
        </w:numPr>
        <w:ind w:left="840" w:leftChars="200" w:hanging="420" w:hangingChars="200"/>
        <w:rPr>
          <w:rFonts w:hint="default" w:ascii="宋体" w:hAnsi="Times New Roman" w:eastAsia="宋体" w:cs="Times New Roman"/>
          <w:lang w:val="en-US" w:eastAsia="zh-CN"/>
        </w:rPr>
      </w:pPr>
      <w:r>
        <w:rPr>
          <w:rFonts w:hint="eastAsia" w:ascii="宋体" w:hAnsi="Times New Roman" w:eastAsia="宋体" w:cs="Times New Roman"/>
          <w:lang w:val="en-US" w:eastAsia="zh-CN"/>
        </w:rPr>
        <w:t>四</w:t>
      </w:r>
      <w:r>
        <w:rPr>
          <w:rFonts w:hint="default" w:ascii="宋体" w:hAnsi="Times New Roman" w:eastAsia="宋体" w:cs="Times New Roman"/>
          <w:lang w:val="en-US" w:eastAsia="zh-CN"/>
        </w:rPr>
        <w:t>级指标1的值（归一化处理后）*</w:t>
      </w:r>
      <w:r>
        <w:rPr>
          <w:rFonts w:hint="eastAsia" w:ascii="宋体" w:hAnsi="Times New Roman" w:eastAsia="宋体" w:cs="Times New Roman"/>
          <w:lang w:val="en-US" w:eastAsia="zh-CN"/>
        </w:rPr>
        <w:t>四</w:t>
      </w:r>
      <w:r>
        <w:rPr>
          <w:rFonts w:hint="default" w:ascii="宋体" w:hAnsi="Times New Roman" w:eastAsia="宋体" w:cs="Times New Roman"/>
          <w:lang w:val="en-US" w:eastAsia="zh-CN"/>
        </w:rPr>
        <w:t>级指标1的权重+</w:t>
      </w:r>
      <w:r>
        <w:rPr>
          <w:rFonts w:hint="eastAsia" w:ascii="宋体" w:hAnsi="Times New Roman" w:eastAsia="宋体" w:cs="Times New Roman"/>
          <w:lang w:val="en-US" w:eastAsia="zh-CN"/>
        </w:rPr>
        <w:t>……</w:t>
      </w:r>
      <w:r>
        <w:rPr>
          <w:rFonts w:hint="default" w:ascii="宋体" w:hAnsi="Times New Roman" w:eastAsia="宋体" w:cs="Times New Roman"/>
          <w:lang w:val="en-US" w:eastAsia="zh-CN"/>
        </w:rPr>
        <w:t>=</w:t>
      </w:r>
      <w:r>
        <w:rPr>
          <w:rFonts w:hint="eastAsia" w:ascii="宋体" w:hAnsi="Times New Roman" w:eastAsia="宋体" w:cs="Times New Roman"/>
          <w:lang w:val="en-US" w:eastAsia="zh-CN"/>
        </w:rPr>
        <w:t>三</w:t>
      </w:r>
      <w:r>
        <w:rPr>
          <w:rFonts w:hint="default" w:ascii="宋体" w:hAnsi="Times New Roman" w:eastAsia="宋体" w:cs="Times New Roman"/>
          <w:lang w:val="en-US" w:eastAsia="zh-CN"/>
        </w:rPr>
        <w:t>级指标1的值；其中，</w:t>
      </w:r>
      <w:r>
        <w:rPr>
          <w:rFonts w:hint="eastAsia" w:ascii="宋体" w:hAnsi="Times New Roman" w:eastAsia="宋体" w:cs="Times New Roman"/>
          <w:lang w:val="en-US" w:eastAsia="zh-CN"/>
        </w:rPr>
        <w:t>三</w:t>
      </w:r>
      <w:r>
        <w:rPr>
          <w:rFonts w:hint="default" w:ascii="宋体" w:hAnsi="Times New Roman" w:eastAsia="宋体" w:cs="Times New Roman"/>
          <w:lang w:val="en-US" w:eastAsia="zh-CN"/>
        </w:rPr>
        <w:t>级指标1对应的N个</w:t>
      </w:r>
      <w:r>
        <w:rPr>
          <w:rFonts w:hint="eastAsia" w:ascii="宋体" w:hAnsi="Times New Roman" w:eastAsia="宋体" w:cs="Times New Roman"/>
          <w:lang w:val="en-US" w:eastAsia="zh-CN"/>
        </w:rPr>
        <w:t>四</w:t>
      </w:r>
      <w:r>
        <w:rPr>
          <w:rFonts w:hint="default" w:ascii="宋体" w:hAnsi="Times New Roman" w:eastAsia="宋体" w:cs="Times New Roman"/>
          <w:lang w:val="en-US" w:eastAsia="zh-CN"/>
        </w:rPr>
        <w:t>级指标的权重总和应为100%</w:t>
      </w:r>
      <w:r>
        <w:rPr>
          <w:rFonts w:hint="eastAsia" w:cs="Times New Roman"/>
          <w:lang w:val="en-US" w:eastAsia="zh-CN"/>
        </w:rPr>
        <w:t>。</w:t>
      </w:r>
    </w:p>
    <w:p w14:paraId="7318A239">
      <w:pPr>
        <w:pStyle w:val="252"/>
        <w:numPr>
          <w:ilvl w:val="0"/>
          <w:numId w:val="38"/>
        </w:numPr>
        <w:ind w:left="840" w:leftChars="200" w:hanging="420" w:hangingChars="200"/>
        <w:rPr>
          <w:rFonts w:hint="default" w:ascii="宋体" w:hAnsi="Times New Roman" w:eastAsia="宋体" w:cs="Times New Roman"/>
          <w:lang w:val="en-US" w:eastAsia="zh-CN"/>
        </w:rPr>
      </w:pPr>
      <w:r>
        <w:rPr>
          <w:rFonts w:hint="default" w:ascii="宋体" w:hAnsi="Times New Roman" w:eastAsia="宋体" w:cs="Times New Roman"/>
          <w:lang w:val="en-US" w:eastAsia="zh-CN"/>
        </w:rPr>
        <w:t>同理，</w:t>
      </w:r>
      <w:r>
        <w:rPr>
          <w:rFonts w:hint="eastAsia" w:cs="Times New Roman"/>
          <w:lang w:val="en-US" w:eastAsia="zh-CN"/>
        </w:rPr>
        <w:t>四</w:t>
      </w:r>
      <w:r>
        <w:rPr>
          <w:rFonts w:hint="default" w:ascii="宋体" w:hAnsi="Times New Roman" w:eastAsia="宋体" w:cs="Times New Roman"/>
          <w:lang w:val="en-US" w:eastAsia="zh-CN"/>
        </w:rPr>
        <w:t>级指标</w:t>
      </w:r>
      <w:r>
        <w:rPr>
          <w:rFonts w:hint="eastAsia" w:cs="Times New Roman"/>
          <w:lang w:val="en-US" w:eastAsia="zh-CN"/>
        </w:rPr>
        <w:t>2</w:t>
      </w:r>
      <w:r>
        <w:rPr>
          <w:rFonts w:hint="default" w:ascii="宋体" w:hAnsi="Times New Roman" w:eastAsia="宋体" w:cs="Times New Roman"/>
          <w:lang w:val="en-US" w:eastAsia="zh-CN"/>
        </w:rPr>
        <w:t>的值（归一化处理后）*四级指标</w:t>
      </w:r>
      <w:r>
        <w:rPr>
          <w:rFonts w:hint="eastAsia" w:cs="Times New Roman"/>
          <w:lang w:val="en-US" w:eastAsia="zh-CN"/>
        </w:rPr>
        <w:t>2</w:t>
      </w:r>
      <w:r>
        <w:rPr>
          <w:rFonts w:hint="default" w:ascii="宋体" w:hAnsi="Times New Roman" w:eastAsia="宋体" w:cs="Times New Roman"/>
          <w:lang w:val="en-US" w:eastAsia="zh-CN"/>
        </w:rPr>
        <w:t>的权重</w:t>
      </w:r>
      <w:r>
        <w:rPr>
          <w:rFonts w:hint="eastAsia" w:ascii="宋体" w:hAnsi="Times New Roman" w:eastAsia="宋体" w:cs="Times New Roman"/>
          <w:lang w:val="en-US" w:eastAsia="zh-CN"/>
        </w:rPr>
        <w:t>……</w:t>
      </w:r>
      <w:r>
        <w:rPr>
          <w:rFonts w:hint="default" w:ascii="宋体" w:hAnsi="Times New Roman" w:eastAsia="宋体" w:cs="Times New Roman"/>
          <w:lang w:val="en-US" w:eastAsia="zh-CN"/>
        </w:rPr>
        <w:t>=</w:t>
      </w:r>
      <w:r>
        <w:rPr>
          <w:rFonts w:hint="eastAsia" w:cs="Times New Roman"/>
          <w:lang w:val="en-US" w:eastAsia="zh-CN"/>
        </w:rPr>
        <w:t>三</w:t>
      </w:r>
      <w:r>
        <w:rPr>
          <w:rFonts w:hint="default" w:ascii="宋体" w:hAnsi="Times New Roman" w:eastAsia="宋体" w:cs="Times New Roman"/>
          <w:lang w:val="en-US" w:eastAsia="zh-CN"/>
        </w:rPr>
        <w:t>级指标2的值：其中，</w:t>
      </w:r>
      <w:r>
        <w:rPr>
          <w:rFonts w:hint="eastAsia" w:cs="Times New Roman"/>
          <w:lang w:val="en-US" w:eastAsia="zh-CN"/>
        </w:rPr>
        <w:t>三</w:t>
      </w:r>
      <w:r>
        <w:rPr>
          <w:rFonts w:hint="default" w:ascii="宋体" w:hAnsi="Times New Roman" w:eastAsia="宋体" w:cs="Times New Roman"/>
          <w:lang w:val="en-US" w:eastAsia="zh-CN"/>
        </w:rPr>
        <w:t>级指标2对应的N个</w:t>
      </w:r>
      <w:r>
        <w:rPr>
          <w:rFonts w:hint="eastAsia" w:cs="Times New Roman"/>
          <w:lang w:val="en-US" w:eastAsia="zh-CN"/>
        </w:rPr>
        <w:t>四</w:t>
      </w:r>
      <w:r>
        <w:rPr>
          <w:rFonts w:hint="default" w:ascii="宋体" w:hAnsi="Times New Roman" w:eastAsia="宋体" w:cs="Times New Roman"/>
          <w:lang w:val="en-US" w:eastAsia="zh-CN"/>
        </w:rPr>
        <w:t>级指标的权重总和应为100%。</w:t>
      </w:r>
    </w:p>
    <w:p w14:paraId="355C3706">
      <w:pPr>
        <w:pStyle w:val="252"/>
        <w:numPr>
          <w:ilvl w:val="0"/>
          <w:numId w:val="38"/>
        </w:numPr>
        <w:ind w:left="840" w:leftChars="200" w:hanging="420" w:hangingChars="200"/>
        <w:rPr>
          <w:rFonts w:hint="default" w:ascii="宋体" w:hAnsi="Times New Roman" w:eastAsia="宋体" w:cs="Times New Roman"/>
          <w:lang w:val="en-US" w:eastAsia="zh-CN"/>
        </w:rPr>
      </w:pPr>
      <w:r>
        <w:rPr>
          <w:rFonts w:hint="default" w:ascii="宋体" w:hAnsi="Times New Roman" w:eastAsia="宋体" w:cs="Times New Roman"/>
          <w:lang w:val="en-US" w:eastAsia="zh-CN"/>
        </w:rPr>
        <w:t>同理，四级指标</w:t>
      </w:r>
      <w:r>
        <w:rPr>
          <w:rFonts w:hint="eastAsia" w:cs="Times New Roman"/>
          <w:lang w:val="en-US" w:eastAsia="zh-CN"/>
        </w:rPr>
        <w:t>3</w:t>
      </w:r>
      <w:r>
        <w:rPr>
          <w:rFonts w:hint="default" w:ascii="宋体" w:hAnsi="Times New Roman" w:eastAsia="宋体" w:cs="Times New Roman"/>
          <w:lang w:val="en-US" w:eastAsia="zh-CN"/>
        </w:rPr>
        <w:t>的值（归一化处理后）*四级指标</w:t>
      </w:r>
      <w:r>
        <w:rPr>
          <w:rFonts w:hint="eastAsia" w:cs="Times New Roman"/>
          <w:lang w:val="en-US" w:eastAsia="zh-CN"/>
        </w:rPr>
        <w:t>3</w:t>
      </w:r>
      <w:r>
        <w:rPr>
          <w:rFonts w:hint="default" w:ascii="宋体" w:hAnsi="Times New Roman" w:eastAsia="宋体" w:cs="Times New Roman"/>
          <w:lang w:val="en-US" w:eastAsia="zh-CN"/>
        </w:rPr>
        <w:t>的权重……=三级指标</w:t>
      </w:r>
      <w:r>
        <w:rPr>
          <w:rFonts w:hint="eastAsia" w:cs="Times New Roman"/>
          <w:lang w:val="en-US" w:eastAsia="zh-CN"/>
        </w:rPr>
        <w:t>3</w:t>
      </w:r>
      <w:r>
        <w:rPr>
          <w:rFonts w:hint="default" w:ascii="宋体" w:hAnsi="Times New Roman" w:eastAsia="宋体" w:cs="Times New Roman"/>
          <w:lang w:val="en-US" w:eastAsia="zh-CN"/>
        </w:rPr>
        <w:t>的值：其中，三级指标</w:t>
      </w:r>
      <w:r>
        <w:rPr>
          <w:rFonts w:hint="eastAsia" w:cs="Times New Roman"/>
          <w:lang w:val="en-US" w:eastAsia="zh-CN"/>
        </w:rPr>
        <w:t>3</w:t>
      </w:r>
      <w:r>
        <w:rPr>
          <w:rFonts w:hint="default" w:ascii="宋体" w:hAnsi="Times New Roman" w:eastAsia="宋体" w:cs="Times New Roman"/>
          <w:lang w:val="en-US" w:eastAsia="zh-CN"/>
        </w:rPr>
        <w:t>对应的N个四级指标的权重总和应为100%。</w:t>
      </w:r>
    </w:p>
    <w:p w14:paraId="7123871A">
      <w:pPr>
        <w:pStyle w:val="252"/>
        <w:numPr>
          <w:ilvl w:val="0"/>
          <w:numId w:val="38"/>
        </w:numPr>
        <w:ind w:left="840" w:leftChars="200" w:hanging="420" w:hangingChars="200"/>
        <w:rPr>
          <w:rFonts w:hint="default" w:ascii="宋体" w:hAnsi="Times New Roman" w:eastAsia="宋体" w:cs="Times New Roman"/>
          <w:lang w:val="en-US" w:eastAsia="zh-CN"/>
        </w:rPr>
      </w:pPr>
      <w:r>
        <w:rPr>
          <w:rFonts w:hint="default" w:ascii="宋体" w:hAnsi="Times New Roman" w:eastAsia="宋体" w:cs="Times New Roman"/>
          <w:lang w:val="en-US" w:eastAsia="zh-CN"/>
        </w:rPr>
        <w:t>同理，四级指标</w:t>
      </w:r>
      <w:r>
        <w:rPr>
          <w:rFonts w:hint="eastAsia" w:cs="Times New Roman"/>
          <w:lang w:val="en-US" w:eastAsia="zh-CN"/>
        </w:rPr>
        <w:t>4</w:t>
      </w:r>
      <w:r>
        <w:rPr>
          <w:rFonts w:hint="default" w:ascii="宋体" w:hAnsi="Times New Roman" w:eastAsia="宋体" w:cs="Times New Roman"/>
          <w:lang w:val="en-US" w:eastAsia="zh-CN"/>
        </w:rPr>
        <w:t>的值（归一化处理后）*四级指标</w:t>
      </w:r>
      <w:r>
        <w:rPr>
          <w:rFonts w:hint="eastAsia" w:cs="Times New Roman"/>
          <w:lang w:val="en-US" w:eastAsia="zh-CN"/>
        </w:rPr>
        <w:t>4</w:t>
      </w:r>
      <w:r>
        <w:rPr>
          <w:rFonts w:hint="default" w:ascii="宋体" w:hAnsi="Times New Roman" w:eastAsia="宋体" w:cs="Times New Roman"/>
          <w:lang w:val="en-US" w:eastAsia="zh-CN"/>
        </w:rPr>
        <w:t>的权重……=三级指标</w:t>
      </w:r>
      <w:r>
        <w:rPr>
          <w:rFonts w:hint="eastAsia" w:cs="Times New Roman"/>
          <w:lang w:val="en-US" w:eastAsia="zh-CN"/>
        </w:rPr>
        <w:t>4</w:t>
      </w:r>
      <w:r>
        <w:rPr>
          <w:rFonts w:hint="default" w:ascii="宋体" w:hAnsi="Times New Roman" w:eastAsia="宋体" w:cs="Times New Roman"/>
          <w:lang w:val="en-US" w:eastAsia="zh-CN"/>
        </w:rPr>
        <w:t>的值：其中，三级指标</w:t>
      </w:r>
      <w:r>
        <w:rPr>
          <w:rFonts w:hint="eastAsia" w:cs="Times New Roman"/>
          <w:lang w:val="en-US" w:eastAsia="zh-CN"/>
        </w:rPr>
        <w:t>4</w:t>
      </w:r>
      <w:r>
        <w:rPr>
          <w:rFonts w:hint="default" w:ascii="宋体" w:hAnsi="Times New Roman" w:eastAsia="宋体" w:cs="Times New Roman"/>
          <w:lang w:val="en-US" w:eastAsia="zh-CN"/>
        </w:rPr>
        <w:t>对应的N个四级指标的权重总和应为100%。</w:t>
      </w:r>
    </w:p>
    <w:p w14:paraId="58F4B177">
      <w:pPr>
        <w:pStyle w:val="252"/>
        <w:numPr>
          <w:ilvl w:val="0"/>
          <w:numId w:val="38"/>
        </w:numPr>
        <w:ind w:left="840" w:leftChars="200" w:hanging="420" w:hangingChars="200"/>
        <w:rPr>
          <w:rFonts w:hint="default" w:ascii="宋体" w:hAnsi="Times New Roman" w:eastAsia="宋体" w:cs="Times New Roman"/>
          <w:lang w:val="en-US" w:eastAsia="zh-CN"/>
        </w:rPr>
      </w:pPr>
      <w:r>
        <w:rPr>
          <w:rFonts w:hint="eastAsia" w:cs="Times New Roman"/>
          <w:lang w:val="en-US" w:eastAsia="zh-CN"/>
        </w:rPr>
        <w:t>三</w:t>
      </w:r>
      <w:r>
        <w:rPr>
          <w:rFonts w:hint="default" w:ascii="宋体" w:hAnsi="Times New Roman" w:eastAsia="宋体" w:cs="Times New Roman"/>
          <w:lang w:val="en-US" w:eastAsia="zh-CN"/>
        </w:rPr>
        <w:t>级指标1的值*</w:t>
      </w:r>
      <w:r>
        <w:rPr>
          <w:rFonts w:hint="eastAsia" w:cs="Times New Roman"/>
          <w:lang w:val="en-US" w:eastAsia="zh-CN"/>
        </w:rPr>
        <w:t>三</w:t>
      </w:r>
      <w:r>
        <w:rPr>
          <w:rFonts w:hint="default" w:ascii="宋体" w:hAnsi="Times New Roman" w:eastAsia="宋体" w:cs="Times New Roman"/>
          <w:lang w:val="en-US" w:eastAsia="zh-CN"/>
        </w:rPr>
        <w:t>级指标1的权重</w:t>
      </w:r>
      <w:r>
        <w:rPr>
          <w:rFonts w:hint="eastAsia" w:cs="Times New Roman"/>
          <w:lang w:val="en-US" w:eastAsia="zh-CN"/>
        </w:rPr>
        <w:t>+三级指标2的值（归一化处理后）*三级指标2的权重+三级指标3的值（归一化处理后）*三级指标3的权重+三级指标4的值（归一化处理后）*三级指标4的权重……=二</w:t>
      </w:r>
      <w:r>
        <w:rPr>
          <w:rFonts w:hint="default" w:ascii="宋体" w:hAnsi="Times New Roman" w:eastAsia="宋体" w:cs="Times New Roman"/>
          <w:lang w:val="en-US" w:eastAsia="zh-CN"/>
        </w:rPr>
        <w:t>级指标1的值：其中，</w:t>
      </w:r>
      <w:r>
        <w:rPr>
          <w:rFonts w:hint="eastAsia" w:cs="Times New Roman"/>
          <w:lang w:val="en-US" w:eastAsia="zh-CN"/>
        </w:rPr>
        <w:t>二</w:t>
      </w:r>
      <w:r>
        <w:rPr>
          <w:rFonts w:hint="default" w:ascii="宋体" w:hAnsi="Times New Roman" w:eastAsia="宋体" w:cs="Times New Roman"/>
          <w:lang w:val="en-US" w:eastAsia="zh-CN"/>
        </w:rPr>
        <w:t>级指标1对应的N个</w:t>
      </w:r>
      <w:r>
        <w:rPr>
          <w:rFonts w:hint="eastAsia" w:cs="Times New Roman"/>
          <w:lang w:val="en-US" w:eastAsia="zh-CN"/>
        </w:rPr>
        <w:t>三</w:t>
      </w:r>
      <w:r>
        <w:rPr>
          <w:rFonts w:hint="default" w:ascii="宋体" w:hAnsi="Times New Roman" w:eastAsia="宋体" w:cs="Times New Roman"/>
          <w:lang w:val="en-US" w:eastAsia="zh-CN"/>
        </w:rPr>
        <w:t>级指标的权重总和应为100%</w:t>
      </w:r>
      <w:r>
        <w:rPr>
          <w:rFonts w:hint="eastAsia" w:cs="Times New Roman"/>
          <w:lang w:val="en-US" w:eastAsia="zh-CN"/>
        </w:rPr>
        <w:t>。</w:t>
      </w:r>
    </w:p>
    <w:p w14:paraId="68FCA26D">
      <w:pPr>
        <w:pStyle w:val="252"/>
        <w:numPr>
          <w:ilvl w:val="0"/>
          <w:numId w:val="38"/>
        </w:numPr>
        <w:ind w:left="840" w:leftChars="200" w:hanging="420" w:hangingChars="200"/>
        <w:rPr>
          <w:rFonts w:hint="default" w:ascii="宋体" w:hAnsi="Times New Roman" w:eastAsia="宋体" w:cs="Times New Roman"/>
          <w:lang w:val="en-US" w:eastAsia="zh-CN"/>
        </w:rPr>
      </w:pPr>
      <w:r>
        <w:rPr>
          <w:rFonts w:hint="default" w:ascii="宋体" w:hAnsi="Times New Roman" w:eastAsia="宋体" w:cs="Times New Roman"/>
          <w:lang w:val="en-US" w:eastAsia="zh-CN"/>
        </w:rPr>
        <w:t>同理，三级指标</w:t>
      </w:r>
      <w:r>
        <w:rPr>
          <w:rFonts w:hint="eastAsia" w:cs="Times New Roman"/>
          <w:lang w:val="en-US" w:eastAsia="zh-CN"/>
        </w:rPr>
        <w:t>5</w:t>
      </w:r>
      <w:r>
        <w:rPr>
          <w:rFonts w:hint="default" w:ascii="宋体" w:hAnsi="Times New Roman" w:eastAsia="宋体" w:cs="Times New Roman"/>
          <w:lang w:val="en-US" w:eastAsia="zh-CN"/>
        </w:rPr>
        <w:t>的值*三级指标</w:t>
      </w:r>
      <w:r>
        <w:rPr>
          <w:rFonts w:hint="eastAsia" w:cs="Times New Roman"/>
          <w:lang w:val="en-US" w:eastAsia="zh-CN"/>
        </w:rPr>
        <w:t>5</w:t>
      </w:r>
      <w:r>
        <w:rPr>
          <w:rFonts w:hint="default" w:ascii="宋体" w:hAnsi="Times New Roman" w:eastAsia="宋体" w:cs="Times New Roman"/>
          <w:lang w:val="en-US" w:eastAsia="zh-CN"/>
        </w:rPr>
        <w:t>的权重+三级指标</w:t>
      </w:r>
      <w:r>
        <w:rPr>
          <w:rFonts w:hint="eastAsia" w:cs="Times New Roman"/>
          <w:lang w:val="en-US" w:eastAsia="zh-CN"/>
        </w:rPr>
        <w:t>6</w:t>
      </w:r>
      <w:r>
        <w:rPr>
          <w:rFonts w:hint="default" w:ascii="宋体" w:hAnsi="Times New Roman" w:eastAsia="宋体" w:cs="Times New Roman"/>
          <w:lang w:val="en-US" w:eastAsia="zh-CN"/>
        </w:rPr>
        <w:t>的值*三级指标</w:t>
      </w:r>
      <w:r>
        <w:rPr>
          <w:rFonts w:hint="eastAsia" w:cs="Times New Roman"/>
          <w:lang w:val="en-US" w:eastAsia="zh-CN"/>
        </w:rPr>
        <w:t>6</w:t>
      </w:r>
      <w:r>
        <w:rPr>
          <w:rFonts w:hint="default" w:ascii="宋体" w:hAnsi="Times New Roman" w:eastAsia="宋体" w:cs="Times New Roman"/>
          <w:lang w:val="en-US" w:eastAsia="zh-CN"/>
        </w:rPr>
        <w:t>的权重</w:t>
      </w:r>
      <w:r>
        <w:rPr>
          <w:rFonts w:hint="eastAsia" w:cs="Times New Roman"/>
          <w:lang w:val="en-US" w:eastAsia="zh-CN"/>
        </w:rPr>
        <w:t>+三</w:t>
      </w:r>
      <w:r>
        <w:rPr>
          <w:rFonts w:hint="default" w:ascii="宋体" w:hAnsi="Times New Roman" w:eastAsia="宋体" w:cs="Times New Roman"/>
          <w:lang w:val="en-US" w:eastAsia="zh-CN"/>
        </w:rPr>
        <w:t>级指标</w:t>
      </w:r>
      <w:r>
        <w:rPr>
          <w:rFonts w:hint="eastAsia" w:cs="Times New Roman"/>
          <w:lang w:val="en-US" w:eastAsia="zh-CN"/>
        </w:rPr>
        <w:t>7</w:t>
      </w:r>
      <w:r>
        <w:rPr>
          <w:rFonts w:hint="default" w:ascii="宋体" w:hAnsi="Times New Roman" w:eastAsia="宋体" w:cs="Times New Roman"/>
          <w:lang w:val="en-US" w:eastAsia="zh-CN"/>
        </w:rPr>
        <w:t>的值*三级指标</w:t>
      </w:r>
      <w:r>
        <w:rPr>
          <w:rFonts w:hint="eastAsia" w:cs="Times New Roman"/>
          <w:lang w:val="en-US" w:eastAsia="zh-CN"/>
        </w:rPr>
        <w:t>7</w:t>
      </w:r>
      <w:r>
        <w:rPr>
          <w:rFonts w:hint="default" w:ascii="宋体" w:hAnsi="Times New Roman" w:eastAsia="宋体" w:cs="Times New Roman"/>
          <w:lang w:val="en-US" w:eastAsia="zh-CN"/>
        </w:rPr>
        <w:t>的权重</w:t>
      </w:r>
      <w:r>
        <w:rPr>
          <w:rFonts w:hint="eastAsia" w:ascii="宋体" w:hAnsi="Times New Roman" w:eastAsia="宋体" w:cs="Times New Roman"/>
          <w:lang w:val="en-US" w:eastAsia="zh-CN"/>
        </w:rPr>
        <w:t>……</w:t>
      </w:r>
      <w:r>
        <w:rPr>
          <w:rFonts w:hint="eastAsia" w:cs="Times New Roman"/>
          <w:lang w:val="en-US" w:eastAsia="zh-CN"/>
        </w:rPr>
        <w:t>=二</w:t>
      </w:r>
      <w:r>
        <w:rPr>
          <w:rFonts w:hint="default" w:ascii="宋体" w:hAnsi="Times New Roman" w:eastAsia="宋体" w:cs="Times New Roman"/>
          <w:lang w:val="en-US" w:eastAsia="zh-CN"/>
        </w:rPr>
        <w:t>级指标2的值；其中，</w:t>
      </w:r>
      <w:r>
        <w:rPr>
          <w:rFonts w:hint="eastAsia" w:cs="Times New Roman"/>
          <w:lang w:val="en-US" w:eastAsia="zh-CN"/>
        </w:rPr>
        <w:t>二</w:t>
      </w:r>
      <w:r>
        <w:rPr>
          <w:rFonts w:hint="default" w:ascii="宋体" w:hAnsi="Times New Roman" w:eastAsia="宋体" w:cs="Times New Roman"/>
          <w:lang w:val="en-US" w:eastAsia="zh-CN"/>
        </w:rPr>
        <w:t>级指标2对应的N个</w:t>
      </w:r>
      <w:r>
        <w:rPr>
          <w:rFonts w:hint="eastAsia" w:cs="Times New Roman"/>
          <w:lang w:val="en-US" w:eastAsia="zh-CN"/>
        </w:rPr>
        <w:t>三</w:t>
      </w:r>
      <w:r>
        <w:rPr>
          <w:rFonts w:hint="default" w:ascii="宋体" w:hAnsi="Times New Roman" w:eastAsia="宋体" w:cs="Times New Roman"/>
          <w:lang w:val="en-US" w:eastAsia="zh-CN"/>
        </w:rPr>
        <w:t>级指标的权重总和应为100%。</w:t>
      </w:r>
    </w:p>
    <w:p w14:paraId="3FB00A7B">
      <w:pPr>
        <w:pStyle w:val="252"/>
        <w:numPr>
          <w:ilvl w:val="0"/>
          <w:numId w:val="38"/>
        </w:numPr>
        <w:ind w:left="840" w:leftChars="200" w:hanging="420" w:hangingChars="200"/>
        <w:rPr>
          <w:rFonts w:hint="default" w:ascii="宋体" w:hAnsi="Times New Roman" w:eastAsia="宋体" w:cs="Times New Roman"/>
          <w:lang w:val="en-US" w:eastAsia="zh-CN"/>
        </w:rPr>
      </w:pPr>
      <w:r>
        <w:rPr>
          <w:rFonts w:hint="default" w:ascii="宋体" w:hAnsi="Times New Roman" w:eastAsia="宋体" w:cs="Times New Roman"/>
          <w:lang w:val="en-US" w:eastAsia="zh-CN"/>
        </w:rPr>
        <w:t>二级指标1的值*二级指标1的权重+二级指标2的值*二级指标2的权重+二级指标</w:t>
      </w:r>
      <w:r>
        <w:rPr>
          <w:rFonts w:hint="eastAsia" w:cs="Times New Roman"/>
          <w:lang w:val="en-US" w:eastAsia="zh-CN"/>
        </w:rPr>
        <w:t>3</w:t>
      </w:r>
      <w:r>
        <w:rPr>
          <w:rFonts w:hint="default" w:ascii="宋体" w:hAnsi="Times New Roman" w:eastAsia="宋体" w:cs="Times New Roman"/>
          <w:lang w:val="en-US" w:eastAsia="zh-CN"/>
        </w:rPr>
        <w:t>的值*二级指标</w:t>
      </w:r>
      <w:r>
        <w:rPr>
          <w:rFonts w:hint="eastAsia" w:cs="Times New Roman"/>
          <w:lang w:val="en-US" w:eastAsia="zh-CN"/>
        </w:rPr>
        <w:t>3</w:t>
      </w:r>
      <w:r>
        <w:rPr>
          <w:rFonts w:hint="default" w:ascii="宋体" w:hAnsi="Times New Roman" w:eastAsia="宋体" w:cs="Times New Roman"/>
          <w:lang w:val="en-US" w:eastAsia="zh-CN"/>
        </w:rPr>
        <w:t>的权重</w:t>
      </w:r>
      <w:r>
        <w:rPr>
          <w:rFonts w:hint="eastAsia" w:ascii="宋体" w:hAnsi="Times New Roman" w:eastAsia="宋体" w:cs="Times New Roman"/>
          <w:lang w:val="en-US" w:eastAsia="zh-CN"/>
        </w:rPr>
        <w:t>……</w:t>
      </w:r>
      <w:r>
        <w:rPr>
          <w:rFonts w:hint="default" w:ascii="宋体" w:hAnsi="Times New Roman" w:eastAsia="宋体" w:cs="Times New Roman"/>
          <w:lang w:val="en-US" w:eastAsia="zh-CN"/>
        </w:rPr>
        <w:t>=一级指标1的值：其中，一级指标1对应的N个二级指标的权重总和应为100%。</w:t>
      </w:r>
    </w:p>
    <w:p w14:paraId="6E7EF7F4">
      <w:pPr>
        <w:pStyle w:val="252"/>
        <w:numPr>
          <w:ilvl w:val="0"/>
          <w:numId w:val="38"/>
        </w:numPr>
        <w:ind w:left="840" w:leftChars="200" w:hanging="420" w:hangingChars="200"/>
        <w:rPr>
          <w:rFonts w:hint="default" w:ascii="宋体" w:hAnsi="Times New Roman" w:eastAsia="宋体" w:cs="Times New Roman"/>
          <w:lang w:val="en-US" w:eastAsia="zh-CN"/>
        </w:rPr>
      </w:pPr>
      <w:r>
        <w:rPr>
          <w:rFonts w:hint="default" w:ascii="宋体" w:hAnsi="Times New Roman" w:eastAsia="宋体" w:cs="Times New Roman"/>
          <w:lang w:val="en-US" w:eastAsia="zh-CN"/>
        </w:rPr>
        <w:t>同理，二级指标</w:t>
      </w:r>
      <w:r>
        <w:rPr>
          <w:rFonts w:hint="eastAsia" w:cs="Times New Roman"/>
          <w:lang w:val="en-US" w:eastAsia="zh-CN"/>
        </w:rPr>
        <w:t>4</w:t>
      </w:r>
      <w:r>
        <w:rPr>
          <w:rFonts w:hint="default" w:ascii="宋体" w:hAnsi="Times New Roman" w:eastAsia="宋体" w:cs="Times New Roman"/>
          <w:lang w:val="en-US" w:eastAsia="zh-CN"/>
        </w:rPr>
        <w:t>的值*二级指标</w:t>
      </w:r>
      <w:r>
        <w:rPr>
          <w:rFonts w:hint="eastAsia" w:cs="Times New Roman"/>
          <w:lang w:val="en-US" w:eastAsia="zh-CN"/>
        </w:rPr>
        <w:t>4</w:t>
      </w:r>
      <w:r>
        <w:rPr>
          <w:rFonts w:hint="default" w:ascii="宋体" w:hAnsi="Times New Roman" w:eastAsia="宋体" w:cs="Times New Roman"/>
          <w:lang w:val="en-US" w:eastAsia="zh-CN"/>
        </w:rPr>
        <w:t>的权重+二级指标</w:t>
      </w:r>
      <w:r>
        <w:rPr>
          <w:rFonts w:hint="eastAsia" w:cs="Times New Roman"/>
          <w:lang w:val="en-US" w:eastAsia="zh-CN"/>
        </w:rPr>
        <w:t>5</w:t>
      </w:r>
      <w:r>
        <w:rPr>
          <w:rFonts w:hint="default" w:ascii="宋体" w:hAnsi="Times New Roman" w:eastAsia="宋体" w:cs="Times New Roman"/>
          <w:lang w:val="en-US" w:eastAsia="zh-CN"/>
        </w:rPr>
        <w:t>的值*二级指标</w:t>
      </w:r>
      <w:r>
        <w:rPr>
          <w:rFonts w:hint="eastAsia" w:cs="Times New Roman"/>
          <w:lang w:val="en-US" w:eastAsia="zh-CN"/>
        </w:rPr>
        <w:t>5</w:t>
      </w:r>
      <w:r>
        <w:rPr>
          <w:rFonts w:hint="default" w:ascii="宋体" w:hAnsi="Times New Roman" w:eastAsia="宋体" w:cs="Times New Roman"/>
          <w:lang w:val="en-US" w:eastAsia="zh-CN"/>
        </w:rPr>
        <w:t>的权重+二级指标</w:t>
      </w:r>
      <w:r>
        <w:rPr>
          <w:rFonts w:hint="eastAsia" w:cs="Times New Roman"/>
          <w:lang w:val="en-US" w:eastAsia="zh-CN"/>
        </w:rPr>
        <w:t>6</w:t>
      </w:r>
      <w:r>
        <w:rPr>
          <w:rFonts w:hint="default" w:ascii="宋体" w:hAnsi="Times New Roman" w:eastAsia="宋体" w:cs="Times New Roman"/>
          <w:lang w:val="en-US" w:eastAsia="zh-CN"/>
        </w:rPr>
        <w:t>的值*二级指标</w:t>
      </w:r>
      <w:r>
        <w:rPr>
          <w:rFonts w:hint="eastAsia" w:cs="Times New Roman"/>
          <w:lang w:val="en-US" w:eastAsia="zh-CN"/>
        </w:rPr>
        <w:t>6</w:t>
      </w:r>
      <w:r>
        <w:rPr>
          <w:rFonts w:hint="default" w:ascii="宋体" w:hAnsi="Times New Roman" w:eastAsia="宋体" w:cs="Times New Roman"/>
          <w:lang w:val="en-US" w:eastAsia="zh-CN"/>
        </w:rPr>
        <w:t>的权重</w:t>
      </w:r>
      <w:r>
        <w:rPr>
          <w:rFonts w:hint="eastAsia" w:cs="Times New Roman"/>
          <w:lang w:val="en-US" w:eastAsia="zh-CN"/>
        </w:rPr>
        <w:t>+</w:t>
      </w:r>
      <w:r>
        <w:rPr>
          <w:rFonts w:hint="eastAsia" w:ascii="宋体" w:hAnsi="Times New Roman" w:eastAsia="宋体" w:cs="Times New Roman"/>
          <w:lang w:val="en-US" w:eastAsia="zh-CN"/>
        </w:rPr>
        <w:t>……</w:t>
      </w:r>
      <w:r>
        <w:rPr>
          <w:rFonts w:hint="default" w:ascii="宋体" w:hAnsi="Times New Roman" w:eastAsia="宋体" w:cs="Times New Roman"/>
          <w:lang w:val="en-US" w:eastAsia="zh-CN"/>
        </w:rPr>
        <w:t>=一级指标</w:t>
      </w:r>
      <w:r>
        <w:rPr>
          <w:rFonts w:hint="eastAsia" w:cs="Times New Roman"/>
          <w:lang w:val="en-US" w:eastAsia="zh-CN"/>
        </w:rPr>
        <w:t>2</w:t>
      </w:r>
      <w:r>
        <w:rPr>
          <w:rFonts w:hint="default" w:ascii="宋体" w:hAnsi="Times New Roman" w:eastAsia="宋体" w:cs="Times New Roman"/>
          <w:lang w:val="en-US" w:eastAsia="zh-CN"/>
        </w:rPr>
        <w:t>的值：其中，一级指标</w:t>
      </w:r>
      <w:r>
        <w:rPr>
          <w:rFonts w:hint="eastAsia" w:cs="Times New Roman"/>
          <w:lang w:val="en-US" w:eastAsia="zh-CN"/>
        </w:rPr>
        <w:t>2</w:t>
      </w:r>
      <w:r>
        <w:rPr>
          <w:rFonts w:hint="default" w:ascii="宋体" w:hAnsi="Times New Roman" w:eastAsia="宋体" w:cs="Times New Roman"/>
          <w:lang w:val="en-US" w:eastAsia="zh-CN"/>
        </w:rPr>
        <w:t>对应的N个二级指标的权重总和应为100%。</w:t>
      </w:r>
    </w:p>
    <w:p w14:paraId="6A057E13">
      <w:pPr>
        <w:pStyle w:val="252"/>
        <w:numPr>
          <w:ilvl w:val="0"/>
          <w:numId w:val="38"/>
        </w:numPr>
        <w:ind w:left="840" w:leftChars="200" w:hanging="420" w:hangingChars="200"/>
        <w:rPr>
          <w:rFonts w:hint="default" w:ascii="宋体" w:hAnsi="Times New Roman" w:eastAsia="宋体" w:cs="Times New Roman"/>
          <w:lang w:val="en-US" w:eastAsia="zh-CN"/>
        </w:rPr>
      </w:pPr>
      <w:r>
        <w:rPr>
          <w:rFonts w:hint="default" w:ascii="宋体" w:hAnsi="Times New Roman" w:eastAsia="宋体" w:cs="Times New Roman"/>
          <w:lang w:val="en-US" w:eastAsia="zh-CN"/>
        </w:rPr>
        <w:t>一级指标1的值*一级指标1的权重+一级指标2的值*一级指标2的权重+</w:t>
      </w:r>
      <w:r>
        <w:rPr>
          <w:rFonts w:hint="eastAsia" w:ascii="宋体" w:hAnsi="Times New Roman" w:eastAsia="宋体" w:cs="Times New Roman"/>
          <w:lang w:val="en-US" w:eastAsia="zh-CN"/>
        </w:rPr>
        <w:t>……</w:t>
      </w:r>
      <w:r>
        <w:rPr>
          <w:rFonts w:hint="default" w:ascii="宋体" w:hAnsi="Times New Roman" w:eastAsia="宋体" w:cs="Times New Roman"/>
          <w:lang w:val="en-US" w:eastAsia="zh-CN"/>
        </w:rPr>
        <w:t>=被</w:t>
      </w:r>
      <w:r>
        <w:rPr>
          <w:rFonts w:hint="eastAsia" w:cs="Times New Roman"/>
          <w:lang w:val="en-US" w:eastAsia="zh-CN"/>
        </w:rPr>
        <w:t>监测联合体</w:t>
      </w:r>
      <w:r>
        <w:rPr>
          <w:rFonts w:hint="default" w:ascii="宋体" w:hAnsi="Times New Roman" w:eastAsia="宋体" w:cs="Times New Roman"/>
          <w:lang w:val="en-US" w:eastAsia="zh-CN"/>
        </w:rPr>
        <w:t>共同富裕</w:t>
      </w:r>
      <w:r>
        <w:rPr>
          <w:rFonts w:hint="eastAsia" w:cs="Times New Roman"/>
          <w:lang w:val="en-US" w:eastAsia="zh-CN"/>
        </w:rPr>
        <w:t>水平的</w:t>
      </w:r>
      <w:r>
        <w:rPr>
          <w:rFonts w:hint="default" w:ascii="宋体" w:hAnsi="Times New Roman" w:eastAsia="宋体" w:cs="Times New Roman"/>
          <w:lang w:val="en-US" w:eastAsia="zh-CN"/>
        </w:rPr>
        <w:t>总测度值。其中，N个一级指标的权重总和应为100%。</w:t>
      </w:r>
    </w:p>
    <w:p w14:paraId="3576A9CB">
      <w:pPr>
        <w:pStyle w:val="240"/>
        <w:rPr>
          <w:rFonts w:hint="eastAsia"/>
          <w:color w:val="000000"/>
          <w:highlight w:val="none"/>
          <w:lang w:val="en-US" w:eastAsia="zh-CN"/>
        </w:rPr>
      </w:pPr>
    </w:p>
    <w:p w14:paraId="69A6BC04">
      <w:pPr>
        <w:pStyle w:val="249"/>
        <w:numPr>
          <w:ilvl w:val="0"/>
          <w:numId w:val="0"/>
        </w:numPr>
      </w:pPr>
      <w:bookmarkStart w:id="89" w:name="_Toc30824"/>
      <w:r>
        <w:rPr>
          <w:rFonts w:hint="eastAsia"/>
        </w:rPr>
        <w:t>参</w:t>
      </w:r>
      <w:r>
        <w:rPr>
          <w:rFonts w:hAnsi="黑体"/>
        </w:rPr>
        <w:t xml:space="preserve">  </w:t>
      </w:r>
      <w:r>
        <w:rPr>
          <w:rFonts w:hint="eastAsia"/>
        </w:rPr>
        <w:t>考</w:t>
      </w:r>
      <w:r>
        <w:rPr>
          <w:rFonts w:hAnsi="黑体"/>
        </w:rPr>
        <w:t xml:space="preserve">  </w:t>
      </w:r>
      <w:r>
        <w:rPr>
          <w:rFonts w:hint="eastAsia"/>
        </w:rPr>
        <w:t>文</w:t>
      </w:r>
      <w:r>
        <w:rPr>
          <w:rFonts w:hAnsi="黑体"/>
        </w:rPr>
        <w:t xml:space="preserve">  </w:t>
      </w:r>
      <w:r>
        <w:rPr>
          <w:rFonts w:hint="eastAsia"/>
        </w:rPr>
        <w:t>献</w:t>
      </w:r>
      <w:bookmarkEnd w:id="86"/>
      <w:bookmarkEnd w:id="89"/>
    </w:p>
    <w:p w14:paraId="5BA7F313">
      <w:pPr>
        <w:pStyle w:val="240"/>
        <w:numPr>
          <w:ilvl w:val="0"/>
          <w:numId w:val="39"/>
        </w:numPr>
        <w:ind w:firstLine="420"/>
        <w:rPr>
          <w:rFonts w:hint="eastAsia" w:ascii="宋体" w:hAnsi="宋体" w:eastAsia="宋体" w:cs="宋体"/>
          <w:color w:val="auto"/>
          <w:sz w:val="21"/>
          <w:szCs w:val="24"/>
          <w:lang w:bidi="ar"/>
        </w:rPr>
      </w:pPr>
      <w:r>
        <w:rPr>
          <w:rFonts w:hint="eastAsia" w:ascii="宋体" w:hAnsi="宋体" w:eastAsia="宋体" w:cs="宋体"/>
          <w:color w:val="auto"/>
          <w:sz w:val="21"/>
          <w:szCs w:val="24"/>
          <w:lang w:eastAsia="zh-CN" w:bidi="ar"/>
        </w:rPr>
        <w:t>《</w:t>
      </w:r>
      <w:r>
        <w:rPr>
          <w:rFonts w:hint="eastAsia" w:ascii="宋体" w:hAnsi="宋体" w:eastAsia="宋体" w:cs="宋体"/>
          <w:color w:val="auto"/>
          <w:sz w:val="21"/>
          <w:szCs w:val="24"/>
          <w:lang w:val="en-US" w:eastAsia="zh-CN" w:bidi="ar"/>
        </w:rPr>
        <w:t>攀枝花市康养产业统计分类（2020）</w:t>
      </w:r>
      <w:r>
        <w:rPr>
          <w:rFonts w:hint="eastAsia" w:ascii="宋体" w:hAnsi="宋体" w:eastAsia="宋体" w:cs="宋体"/>
          <w:color w:val="auto"/>
          <w:sz w:val="21"/>
          <w:szCs w:val="24"/>
          <w:lang w:eastAsia="zh-CN" w:bidi="ar"/>
        </w:rPr>
        <w:t>》</w:t>
      </w:r>
    </w:p>
    <w:p w14:paraId="111C5271">
      <w:pPr>
        <w:pStyle w:val="240"/>
        <w:numPr>
          <w:ilvl w:val="0"/>
          <w:numId w:val="39"/>
        </w:numPr>
        <w:ind w:firstLine="420"/>
        <w:rPr>
          <w:rFonts w:hint="eastAsia" w:ascii="宋体" w:hAnsi="宋体" w:eastAsia="宋体" w:cs="宋体"/>
          <w:color w:val="auto"/>
          <w:sz w:val="21"/>
          <w:szCs w:val="24"/>
          <w:lang w:bidi="ar"/>
        </w:rPr>
      </w:pPr>
      <w:r>
        <w:rPr>
          <w:rFonts w:hint="eastAsia" w:ascii="宋体" w:hAnsi="宋体" w:eastAsia="宋体" w:cs="宋体"/>
          <w:color w:val="auto"/>
          <w:sz w:val="21"/>
          <w:szCs w:val="24"/>
          <w:lang w:val="en-US" w:eastAsia="zh-CN" w:bidi="ar"/>
        </w:rPr>
        <w:t>《攀枝花高质量发展建设共同富裕试验区规划纲要（2025—2035年）</w:t>
      </w:r>
      <w:r>
        <w:rPr>
          <w:rFonts w:hint="eastAsia" w:ascii="宋体" w:hAnsi="宋体" w:eastAsia="宋体" w:cs="宋体"/>
          <w:color w:val="auto"/>
          <w:sz w:val="21"/>
          <w:szCs w:val="24"/>
          <w:lang w:bidi="ar"/>
        </w:rPr>
        <w:t>》</w:t>
      </w:r>
    </w:p>
    <w:p w14:paraId="37AC8548">
      <w:pPr>
        <w:pStyle w:val="240"/>
        <w:ind w:firstLine="420"/>
        <w:rPr>
          <w:rFonts w:ascii="宋体" w:hAnsi="宋体" w:eastAsia="宋体"/>
          <w:sz w:val="21"/>
          <w:szCs w:val="21"/>
        </w:rPr>
      </w:pPr>
    </w:p>
    <w:p w14:paraId="231F2278">
      <w:pPr>
        <w:pStyle w:val="240"/>
        <w:rPr>
          <w:rFonts w:ascii="宋体" w:hAnsi="宋体" w:eastAsia="宋体"/>
          <w:sz w:val="21"/>
          <w:szCs w:val="21"/>
        </w:rPr>
      </w:pPr>
      <w:r>
        <w:rPr>
          <w:color w:val="000000" w:themeColor="text1"/>
          <w14:textFill>
            <w14:solidFill>
              <w14:schemeClr w14:val="tx1"/>
            </w14:solidFill>
          </w14:textFill>
        </w:rPr>
        <w:drawing>
          <wp:anchor distT="0" distB="0" distL="114300" distR="114300" simplePos="0" relativeHeight="251661312" behindDoc="0" locked="0" layoutInCell="1" allowOverlap="1">
            <wp:simplePos x="0" y="0"/>
            <wp:positionH relativeFrom="margin">
              <wp:align>center</wp:align>
            </wp:positionH>
            <wp:positionV relativeFrom="paragraph">
              <wp:posOffset>113030</wp:posOffset>
            </wp:positionV>
            <wp:extent cx="1486535" cy="316865"/>
            <wp:effectExtent l="0" t="0" r="0" b="6985"/>
            <wp:wrapNone/>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25">
                      <a:extLst>
                        <a:ext uri="{28A0092B-C50C-407E-A947-70E740481C1C}">
                          <a14:useLocalDpi xmlns:a14="http://schemas.microsoft.com/office/drawing/2010/main" val="0"/>
                        </a:ext>
                      </a:extLst>
                    </a:blip>
                    <a:stretch>
                      <a:fillRect/>
                    </a:stretch>
                  </pic:blipFill>
                  <pic:spPr>
                    <a:xfrm>
                      <a:off x="0" y="0"/>
                      <a:ext cx="1486535" cy="316865"/>
                    </a:xfrm>
                    <a:prstGeom prst="rect">
                      <a:avLst/>
                    </a:prstGeom>
                  </pic:spPr>
                </pic:pic>
              </a:graphicData>
            </a:graphic>
          </wp:anchor>
        </w:drawing>
      </w:r>
      <w:bookmarkEnd w:id="87"/>
      <w:bookmarkEnd w:id="88"/>
    </w:p>
    <w:p w14:paraId="425BAE36"/>
    <w:sectPr>
      <w:pgSz w:w="11906" w:h="16838"/>
      <w:pgMar w:top="851" w:right="1134" w:bottom="1134" w:left="1418" w:header="1418" w:footer="1134" w:gutter="0"/>
      <w:pgBorders>
        <w:top w:val="none" w:sz="0" w:space="0"/>
        <w:left w:val="none" w:sz="0" w:space="0"/>
        <w:bottom w:val="none" w:sz="0" w:space="0"/>
        <w:right w:val="none" w:sz="0" w:space="0"/>
      </w:pgBorders>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Cambria Math">
    <w:panose1 w:val="02040503050406030204"/>
    <w:charset w:val="00"/>
    <w:family w:val="roman"/>
    <w:pitch w:val="default"/>
    <w:sig w:usb0="E00006FF" w:usb1="420024FF" w:usb2="02000000" w:usb3="00000000" w:csb0="2000019F" w:csb1="0000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40755E">
    <w:pPr>
      <w:pStyle w:val="19"/>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8EE99D">
    <w:pPr>
      <w:pStyle w:val="19"/>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50E797">
    <w:pPr>
      <w:pStyle w:val="58"/>
    </w:pPr>
    <w:r>
      <w:fldChar w:fldCharType="begin"/>
    </w:r>
    <w:r>
      <w:instrText xml:space="preserve">PAGE   \* MERGEFORMAT</w:instrText>
    </w:r>
    <w:r>
      <w:fldChar w:fldCharType="separate"/>
    </w:r>
    <w:r>
      <w:rPr>
        <w:lang w:val="zh-CN"/>
      </w:rPr>
      <w:t>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A90355">
    <w:pPr>
      <w:pStyle w:val="57"/>
    </w:pPr>
    <w:r>
      <w:fldChar w:fldCharType="begin"/>
    </w:r>
    <w:r>
      <w:instrText xml:space="preserve"> PAGE   \* MERGEFORMAT \* MERGEFORMAT </w:instrText>
    </w:r>
    <w:r>
      <w:fldChar w:fldCharType="separate"/>
    </w:r>
    <w:r>
      <w:t>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3579C5">
    <w:pPr>
      <w:pStyle w:val="58"/>
    </w:pPr>
    <w:r>
      <w:fldChar w:fldCharType="begin"/>
    </w:r>
    <w:r>
      <w:instrText xml:space="preserve">PAGE   \* MERGEFORMAT</w:instrText>
    </w:r>
    <w:r>
      <w:fldChar w:fldCharType="separate"/>
    </w:r>
    <w:r>
      <w:rPr>
        <w:lang w:val="zh-CN"/>
      </w:rPr>
      <w:t>1</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E7E26F">
    <w:pPr>
      <w:pStyle w:val="57"/>
      <w:spacing w:before="120"/>
      <w:ind w:left="210" w:leftChars="100" w:right="210" w:rightChars="100"/>
    </w:pPr>
    <w:r>
      <w:fldChar w:fldCharType="begin"/>
    </w:r>
    <w:r>
      <w:instrText xml:space="preserve"> PAGE   \* MERGEFORMAT \* MERGEFORMAT </w:instrText>
    </w:r>
    <w:r>
      <w:fldChar w:fldCharType="separate"/>
    </w:r>
    <w:r>
      <w:t>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E6C777">
    <w:pPr>
      <w:pStyle w:val="58"/>
    </w:pPr>
    <w:r>
      <w:fldChar w:fldCharType="begin"/>
    </w:r>
    <w:r>
      <w:instrText xml:space="preserve">PAGE   \* MERGEFORMAT</w:instrText>
    </w:r>
    <w:r>
      <w:fldChar w:fldCharType="separate"/>
    </w:r>
    <w:r>
      <w:rPr>
        <w:lang w:val="zh-CN"/>
      </w:rPr>
      <w:t>11</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BE8928">
    <w:pPr>
      <w:pStyle w:val="57"/>
    </w:pPr>
    <w:r>
      <w:fldChar w:fldCharType="begin"/>
    </w:r>
    <w:r>
      <w:instrText xml:space="preserve"> PAGE   \* MERGEFORMAT \* MERGEFORMAT </w:instrText>
    </w:r>
    <w:r>
      <w:fldChar w:fldCharType="separate"/>
    </w:r>
    <w:r>
      <w:t>10</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836BE9">
    <w:pPr>
      <w:pStyle w:val="20"/>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2A0C49">
    <w:pPr>
      <w:pStyle w:val="20"/>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C7FC8C">
    <w:pPr>
      <w:pStyle w:val="67"/>
    </w:pPr>
    <w:r>
      <w:fldChar w:fldCharType="begin"/>
    </w:r>
    <w:r>
      <w:instrText xml:space="preserve"> STYLEREF  标准文件_文件编号  \* MERGEFORMAT </w:instrText>
    </w:r>
    <w:r>
      <w:fldChar w:fldCharType="separate"/>
    </w:r>
    <w:r>
      <w:t>DB5104/T XXXX—2025</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869A96">
    <w:pPr>
      <w:pStyle w:val="68"/>
    </w:pPr>
    <w:r>
      <w:fldChar w:fldCharType="begin"/>
    </w:r>
    <w:r>
      <w:instrText xml:space="preserve"> STYLEREF  标准文件_文件编号 \* MERGEFORMAT </w:instrText>
    </w:r>
    <w:r>
      <w:fldChar w:fldCharType="separate"/>
    </w:r>
    <w:r>
      <w:t>DB5104/T XXXX—2025</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4FE457">
    <w:pPr>
      <w:pStyle w:val="67"/>
    </w:pPr>
    <w:r>
      <w:fldChar w:fldCharType="begin"/>
    </w:r>
    <w:r>
      <w:instrText xml:space="preserve"> STYLEREF  标准文件_文件编号  \* MERGEFORMAT </w:instrText>
    </w:r>
    <w:r>
      <w:fldChar w:fldCharType="separate"/>
    </w:r>
    <w:r>
      <w:t>DB5104/T XXXX—2025</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9404BF">
    <w:pPr>
      <w:pStyle w:val="68"/>
    </w:pPr>
    <w:r>
      <w:fldChar w:fldCharType="begin"/>
    </w:r>
    <w:r>
      <w:instrText xml:space="preserve"> STYLEREF  标准文件_文件编号 \* MERGEFORMAT </w:instrText>
    </w:r>
    <w:r>
      <w:fldChar w:fldCharType="separate"/>
    </w:r>
    <w:r>
      <w:t>DB5104/T XXXX—2025</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402C0C">
    <w:pPr>
      <w:pStyle w:val="67"/>
    </w:pPr>
    <w:r>
      <w:fldChar w:fldCharType="begin"/>
    </w:r>
    <w:r>
      <w:instrText xml:space="preserve"> STYLEREF  标准文件_文件编号  \* MERGEFORMAT </w:instrText>
    </w:r>
    <w:r>
      <w:fldChar w:fldCharType="separate"/>
    </w:r>
    <w:r>
      <w:t>DB5104/T XXXX—2025</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4BCC3F">
    <w:pPr>
      <w:pStyle w:val="68"/>
    </w:pPr>
    <w:r>
      <w:fldChar w:fldCharType="begin"/>
    </w:r>
    <w:r>
      <w:instrText xml:space="preserve"> STYLEREF  标准文件_文件编号 \* MERGEFORMAT </w:instrText>
    </w:r>
    <w:r>
      <w:fldChar w:fldCharType="separate"/>
    </w:r>
    <w:r>
      <w:t>DB5104/T XXXX—2025</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A70C67"/>
    <w:multiLevelType w:val="singleLevel"/>
    <w:tmpl w:val="B5A70C67"/>
    <w:lvl w:ilvl="0" w:tentative="0">
      <w:start w:val="1"/>
      <w:numFmt w:val="decimal"/>
      <w:suff w:val="space"/>
      <w:lvlText w:val="[%1]"/>
      <w:lvlJc w:val="left"/>
    </w:lvl>
  </w:abstractNum>
  <w:abstractNum w:abstractNumId="1">
    <w:nsid w:val="C011A454"/>
    <w:multiLevelType w:val="multilevel"/>
    <w:tmpl w:val="C011A454"/>
    <w:lvl w:ilvl="0" w:tentative="0">
      <w:start w:val="1"/>
      <w:numFmt w:val="decimal"/>
      <w:suff w:val="nothing"/>
      <w:lvlText w:val="%1"/>
      <w:lvlJc w:val="center"/>
      <w:pPr>
        <w:tabs>
          <w:tab w:val="left" w:pos="0"/>
        </w:tabs>
        <w:ind w:left="454" w:hanging="454"/>
      </w:pPr>
      <w:rPr>
        <w:rFonts w:hint="default"/>
      </w:rPr>
    </w:lvl>
    <w:lvl w:ilvl="1" w:tentative="0">
      <w:start w:val="1"/>
      <w:numFmt w:val="decimal"/>
      <w:lvlText w:val=""/>
      <w:lvlJc w:val="left"/>
    </w:lvl>
    <w:lvl w:ilvl="2" w:tentative="0">
      <w:start w:val="1"/>
      <w:numFmt w:val="decimal"/>
      <w:lvlText w:val=""/>
      <w:lvlJc w:val="left"/>
    </w:lvl>
    <w:lvl w:ilvl="3" w:tentative="0">
      <w:start w:val="1"/>
      <w:numFmt w:val="decimal"/>
      <w:lvlText w:val=""/>
      <w:lvlJc w:val="left"/>
    </w:lvl>
    <w:lvl w:ilvl="4" w:tentative="0">
      <w:start w:val="1"/>
      <w:numFmt w:val="decimal"/>
      <w:lvlText w:val=""/>
      <w:lvlJc w:val="left"/>
    </w:lvl>
    <w:lvl w:ilvl="5" w:tentative="0">
      <w:start w:val="1"/>
      <w:numFmt w:val="decimal"/>
      <w:lvlText w:val=""/>
      <w:lvlJc w:val="left"/>
    </w:lvl>
    <w:lvl w:ilvl="6" w:tentative="0">
      <w:start w:val="1"/>
      <w:numFmt w:val="decimal"/>
      <w:lvlText w:val=""/>
      <w:lvlJc w:val="left"/>
    </w:lvl>
    <w:lvl w:ilvl="7" w:tentative="0">
      <w:start w:val="1"/>
      <w:numFmt w:val="decimal"/>
      <w:lvlText w:val=""/>
      <w:lvlJc w:val="left"/>
    </w:lvl>
    <w:lvl w:ilvl="8" w:tentative="0">
      <w:start w:val="1"/>
      <w:numFmt w:val="decimal"/>
      <w:lvlText w:val=""/>
      <w:lvlJc w:val="left"/>
    </w:lvl>
  </w:abstractNum>
  <w:abstractNum w:abstractNumId="2">
    <w:nsid w:val="EBA3B772"/>
    <w:multiLevelType w:val="multilevel"/>
    <w:tmpl w:val="EBA3B772"/>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3">
    <w:nsid w:val="F62DBA0F"/>
    <w:multiLevelType w:val="multilevel"/>
    <w:tmpl w:val="F62DBA0F"/>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4">
    <w:nsid w:val="02837933"/>
    <w:multiLevelType w:val="multilevel"/>
    <w:tmpl w:val="02837933"/>
    <w:lvl w:ilvl="0" w:tentative="0">
      <w:start w:val="1"/>
      <w:numFmt w:val="decimal"/>
      <w:pStyle w:val="70"/>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5">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5"/>
      <w:suff w:val="nothing"/>
      <w:lvlText w:val="%1%2.%3　"/>
      <w:lvlJc w:val="left"/>
      <w:pPr>
        <w:ind w:left="0" w:firstLine="0"/>
      </w:pPr>
    </w:lvl>
    <w:lvl w:ilvl="3" w:tentative="0">
      <w:start w:val="1"/>
      <w:numFmt w:val="decimal"/>
      <w:pStyle w:val="124"/>
      <w:suff w:val="nothing"/>
      <w:lvlText w:val="%1%2.%3.%4　"/>
      <w:lvlJc w:val="left"/>
      <w:pPr>
        <w:ind w:left="0" w:firstLine="0"/>
      </w:pPr>
    </w:lvl>
    <w:lvl w:ilvl="4" w:tentative="0">
      <w:start w:val="1"/>
      <w:numFmt w:val="decimal"/>
      <w:pStyle w:val="159"/>
      <w:suff w:val="nothing"/>
      <w:lvlText w:val="%1%2.%3.%4.%5　"/>
      <w:lvlJc w:val="left"/>
      <w:pPr>
        <w:ind w:left="0" w:firstLine="0"/>
      </w:pPr>
    </w:lvl>
    <w:lvl w:ilvl="5" w:tentative="0">
      <w:start w:val="1"/>
      <w:numFmt w:val="decimal"/>
      <w:pStyle w:val="161"/>
      <w:suff w:val="nothing"/>
      <w:lvlText w:val="%1%2.%3.%4.%5.%6　"/>
      <w:lvlJc w:val="left"/>
      <w:pPr>
        <w:ind w:left="0" w:firstLine="0"/>
      </w:pPr>
    </w:lvl>
    <w:lvl w:ilvl="6" w:tentative="0">
      <w:start w:val="1"/>
      <w:numFmt w:val="decimal"/>
      <w:pStyle w:val="164"/>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6">
    <w:nsid w:val="079102AD"/>
    <w:multiLevelType w:val="multilevel"/>
    <w:tmpl w:val="079102AD"/>
    <w:lvl w:ilvl="0" w:tentative="0">
      <w:start w:val="1"/>
      <w:numFmt w:val="decimal"/>
      <w:pStyle w:val="186"/>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7">
    <w:nsid w:val="07ED3FEA"/>
    <w:multiLevelType w:val="multilevel"/>
    <w:tmpl w:val="07ED3FEA"/>
    <w:lvl w:ilvl="0" w:tentative="0">
      <w:start w:val="1"/>
      <w:numFmt w:val="decimal"/>
      <w:pStyle w:val="95"/>
      <w:lvlText w:val="%1"/>
      <w:lvlJc w:val="left"/>
      <w:pPr>
        <w:ind w:left="425" w:hanging="425"/>
      </w:pPr>
      <w:rPr>
        <w:rFonts w:hint="eastAsia"/>
      </w:rPr>
    </w:lvl>
    <w:lvl w:ilvl="1" w:tentative="0">
      <w:start w:val="1"/>
      <w:numFmt w:val="decimal"/>
      <w:pStyle w:val="206"/>
      <w:suff w:val="nothing"/>
      <w:lvlText w:val="%1.%2 "/>
      <w:lvlJc w:val="left"/>
      <w:pPr>
        <w:ind w:left="0" w:firstLine="0"/>
      </w:pPr>
      <w:rPr>
        <w:rFonts w:hint="eastAsia" w:ascii="黑体" w:eastAsia="黑体" w:hAnsiTheme="minorHAnsi"/>
        <w:b w:val="0"/>
        <w:i w:val="0"/>
        <w:sz w:val="21"/>
      </w:rPr>
    </w:lvl>
    <w:lvl w:ilvl="2" w:tentative="0">
      <w:start w:val="1"/>
      <w:numFmt w:val="decimal"/>
      <w:pStyle w:val="207"/>
      <w:suff w:val="nothing"/>
      <w:lvlText w:val="%1.%2.%3 "/>
      <w:lvlJc w:val="left"/>
      <w:pPr>
        <w:ind w:left="0" w:firstLine="0"/>
      </w:pPr>
      <w:rPr>
        <w:rFonts w:hint="eastAsia" w:ascii="黑体" w:eastAsia="黑体" w:hAnsiTheme="minorHAnsi"/>
        <w:b w:val="0"/>
        <w:i w:val="0"/>
        <w:sz w:val="21"/>
      </w:rPr>
    </w:lvl>
    <w:lvl w:ilvl="3" w:tentative="0">
      <w:start w:val="1"/>
      <w:numFmt w:val="decimal"/>
      <w:pStyle w:val="208"/>
      <w:suff w:val="nothing"/>
      <w:lvlText w:val="%1.%2.%3.%4 "/>
      <w:lvlJc w:val="left"/>
      <w:pPr>
        <w:ind w:left="0" w:firstLine="0"/>
      </w:pPr>
      <w:rPr>
        <w:rFonts w:hint="eastAsia" w:ascii="黑体" w:eastAsia="黑体" w:hAnsiTheme="minorHAnsi"/>
        <w:b w:val="0"/>
        <w:i w:val="0"/>
        <w:sz w:val="21"/>
      </w:rPr>
    </w:lvl>
    <w:lvl w:ilvl="4" w:tentative="0">
      <w:start w:val="1"/>
      <w:numFmt w:val="decimal"/>
      <w:pStyle w:val="209"/>
      <w:suff w:val="nothing"/>
      <w:lvlText w:val="%10.%2.%3.%4.%5 "/>
      <w:lvlJc w:val="left"/>
      <w:pPr>
        <w:ind w:left="0" w:firstLine="0"/>
      </w:pPr>
      <w:rPr>
        <w:rFonts w:hint="eastAsia" w:ascii="黑体" w:eastAsia="黑体" w:hAnsiTheme="minorHAnsi"/>
        <w:b w:val="0"/>
        <w:i w:val="0"/>
        <w:sz w:val="21"/>
      </w:rPr>
    </w:lvl>
    <w:lvl w:ilvl="5" w:tentative="0">
      <w:start w:val="1"/>
      <w:numFmt w:val="decimal"/>
      <w:pStyle w:val="210"/>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8">
    <w:nsid w:val="0AE367E9"/>
    <w:multiLevelType w:val="multilevel"/>
    <w:tmpl w:val="0AE367E9"/>
    <w:lvl w:ilvl="0" w:tentative="0">
      <w:start w:val="1"/>
      <w:numFmt w:val="none"/>
      <w:pStyle w:val="187"/>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9">
    <w:nsid w:val="0BDC1670"/>
    <w:multiLevelType w:val="multilevel"/>
    <w:tmpl w:val="0BDC1670"/>
    <w:lvl w:ilvl="0" w:tentative="0">
      <w:start w:val="1"/>
      <w:numFmt w:val="decimal"/>
      <w:pStyle w:val="73"/>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0D051F45"/>
    <w:multiLevelType w:val="multilevel"/>
    <w:tmpl w:val="0D051F45"/>
    <w:lvl w:ilvl="0" w:tentative="0">
      <w:start w:val="1"/>
      <w:numFmt w:val="lowerRoman"/>
      <w:pStyle w:val="175"/>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11">
    <w:nsid w:val="14CD80FB"/>
    <w:multiLevelType w:val="multilevel"/>
    <w:tmpl w:val="14CD80FB"/>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2">
    <w:nsid w:val="1AD20F90"/>
    <w:multiLevelType w:val="multilevel"/>
    <w:tmpl w:val="1AD20F90"/>
    <w:lvl w:ilvl="0" w:tentative="0">
      <w:start w:val="1"/>
      <w:numFmt w:val="none"/>
      <w:pStyle w:val="116"/>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3">
    <w:nsid w:val="1AF15012"/>
    <w:multiLevelType w:val="multilevel"/>
    <w:tmpl w:val="1AF15012"/>
    <w:lvl w:ilvl="0" w:tentative="0">
      <w:start w:val="1"/>
      <w:numFmt w:val="upperLetter"/>
      <w:pStyle w:val="91"/>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4">
    <w:nsid w:val="1EAA1992"/>
    <w:multiLevelType w:val="multilevel"/>
    <w:tmpl w:val="1EAA1992"/>
    <w:lvl w:ilvl="0" w:tentative="0">
      <w:start w:val="1"/>
      <w:numFmt w:val="none"/>
      <w:pStyle w:val="98"/>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5">
    <w:nsid w:val="1FC91163"/>
    <w:multiLevelType w:val="multilevel"/>
    <w:tmpl w:val="1FC91163"/>
    <w:lvl w:ilvl="0" w:tentative="0">
      <w:start w:val="1"/>
      <w:numFmt w:val="decimal"/>
      <w:suff w:val="nothing"/>
      <w:lvlText w:val="%1　"/>
      <w:lvlJc w:val="left"/>
      <w:pPr>
        <w:ind w:left="709" w:firstLine="0"/>
      </w:pPr>
      <w:rPr>
        <w:rFonts w:hint="eastAsia" w:ascii="黑体" w:hAnsi="Times New Roman" w:eastAsia="黑体"/>
        <w:b w:val="0"/>
        <w:i w:val="0"/>
        <w:sz w:val="21"/>
        <w:szCs w:val="21"/>
      </w:rPr>
    </w:lvl>
    <w:lvl w:ilvl="1" w:tentative="0">
      <w:start w:val="1"/>
      <w:numFmt w:val="decimal"/>
      <w:suff w:val="nothing"/>
      <w:lvlText w:val="%1.%2　"/>
      <w:lvlJc w:val="left"/>
      <w:pPr>
        <w:ind w:left="0" w:firstLine="0"/>
      </w:pP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14:shadow w14:blurRad="0" w14:dist="0" w14:dir="0" w14:sx="0" w14:sy="0" w14:kx="0" w14:ky="0" w14:algn="none">
          <w14:srgbClr w14:val="000000"/>
        </w14:shadow>
      </w:rPr>
    </w:lvl>
    <w:lvl w:ilvl="2" w:tentative="0">
      <w:start w:val="1"/>
      <w:numFmt w:val="decimal"/>
      <w:pStyle w:val="238"/>
      <w:suff w:val="nothing"/>
      <w:lvlText w:val="%1.%2.%3　"/>
      <w:lvlJc w:val="left"/>
      <w:pPr>
        <w:ind w:left="993"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6">
    <w:nsid w:val="2C5917C3"/>
    <w:multiLevelType w:val="multilevel"/>
    <w:tmpl w:val="2C5917C3"/>
    <w:lvl w:ilvl="0" w:tentative="0">
      <w:start w:val="1"/>
      <w:numFmt w:val="none"/>
      <w:pStyle w:val="138"/>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3"/>
      <w:lvlText w:val=""/>
      <w:lvlJc w:val="left"/>
      <w:pPr>
        <w:ind w:left="851" w:hanging="431"/>
      </w:pPr>
      <w:rPr>
        <w:rFonts w:hint="default" w:ascii="Symbol" w:hAnsi="Symbol"/>
        <w:sz w:val="21"/>
      </w:rPr>
    </w:lvl>
    <w:lvl w:ilvl="2" w:tentative="0">
      <w:start w:val="1"/>
      <w:numFmt w:val="bullet"/>
      <w:pStyle w:val="178"/>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7">
    <w:nsid w:val="32F04FB2"/>
    <w:multiLevelType w:val="multilevel"/>
    <w:tmpl w:val="32F04FB2"/>
    <w:lvl w:ilvl="0" w:tentative="0">
      <w:start w:val="1"/>
      <w:numFmt w:val="lowerLetter"/>
      <w:pStyle w:val="107"/>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8">
    <w:nsid w:val="48802D1C"/>
    <w:multiLevelType w:val="multilevel"/>
    <w:tmpl w:val="48802D1C"/>
    <w:lvl w:ilvl="0" w:tentative="0">
      <w:start w:val="1"/>
      <w:numFmt w:val="upperLetter"/>
      <w:pStyle w:val="204"/>
      <w:lvlText w:val="%1"/>
      <w:lvlJc w:val="left"/>
      <w:pPr>
        <w:ind w:left="420" w:hanging="420"/>
      </w:pPr>
      <w:rPr>
        <w:rFonts w:hint="eastAsia"/>
      </w:rPr>
    </w:lvl>
    <w:lvl w:ilvl="1" w:tentative="0">
      <w:start w:val="1"/>
      <w:numFmt w:val="decimal"/>
      <w:pStyle w:val="89"/>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9">
    <w:nsid w:val="49B46098"/>
    <w:multiLevelType w:val="multilevel"/>
    <w:tmpl w:val="49B46098"/>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0">
    <w:nsid w:val="4B733A5F"/>
    <w:multiLevelType w:val="multilevel"/>
    <w:tmpl w:val="4B733A5F"/>
    <w:lvl w:ilvl="0" w:tentative="0">
      <w:start w:val="1"/>
      <w:numFmt w:val="decimal"/>
      <w:pStyle w:val="189"/>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21">
    <w:nsid w:val="4E5D0534"/>
    <w:multiLevelType w:val="multilevel"/>
    <w:tmpl w:val="4E5D0534"/>
    <w:lvl w:ilvl="0" w:tentative="0">
      <w:start w:val="1"/>
      <w:numFmt w:val="decimal"/>
      <w:pStyle w:val="122"/>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2">
    <w:nsid w:val="54632751"/>
    <w:multiLevelType w:val="multilevel"/>
    <w:tmpl w:val="54632751"/>
    <w:lvl w:ilvl="0" w:tentative="0">
      <w:start w:val="1"/>
      <w:numFmt w:val="none"/>
      <w:pStyle w:val="99"/>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23">
    <w:nsid w:val="557C2AF5"/>
    <w:multiLevelType w:val="multilevel"/>
    <w:tmpl w:val="557C2AF5"/>
    <w:lvl w:ilvl="0" w:tentative="0">
      <w:start w:val="1"/>
      <w:numFmt w:val="decimal"/>
      <w:pStyle w:val="120"/>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4">
    <w:nsid w:val="5603797C"/>
    <w:multiLevelType w:val="multilevel"/>
    <w:tmpl w:val="5603797C"/>
    <w:lvl w:ilvl="0" w:tentative="0">
      <w:start w:val="1"/>
      <w:numFmt w:val="upperLetter"/>
      <w:pStyle w:val="252"/>
      <w:suff w:val="space"/>
      <w:lvlText w:val="%1"/>
      <w:lvlJc w:val="left"/>
      <w:pPr>
        <w:ind w:left="425" w:hanging="425"/>
      </w:pPr>
      <w:rPr>
        <w:rFonts w:hint="eastAsia"/>
      </w:rPr>
    </w:lvl>
    <w:lvl w:ilvl="1" w:tentative="0">
      <w:start w:val="1"/>
      <w:numFmt w:val="decimal"/>
      <w:pStyle w:val="83"/>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5">
    <w:nsid w:val="564D2089"/>
    <w:multiLevelType w:val="multilevel"/>
    <w:tmpl w:val="564D2089"/>
    <w:lvl w:ilvl="0" w:tentative="0">
      <w:start w:val="1"/>
      <w:numFmt w:val="none"/>
      <w:pStyle w:val="117"/>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566870D1"/>
    <w:multiLevelType w:val="multilevel"/>
    <w:tmpl w:val="566870D1"/>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7">
    <w:nsid w:val="644622F9"/>
    <w:multiLevelType w:val="multilevel"/>
    <w:tmpl w:val="644622F9"/>
    <w:lvl w:ilvl="0" w:tentative="0">
      <w:start w:val="1"/>
      <w:numFmt w:val="upperRoman"/>
      <w:pStyle w:val="174"/>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8">
    <w:nsid w:val="646260FA"/>
    <w:multiLevelType w:val="multilevel"/>
    <w:tmpl w:val="646260FA"/>
    <w:lvl w:ilvl="0" w:tentative="0">
      <w:start w:val="1"/>
      <w:numFmt w:val="decimal"/>
      <w:pStyle w:val="118"/>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9">
    <w:nsid w:val="654A26C9"/>
    <w:multiLevelType w:val="multilevel"/>
    <w:tmpl w:val="654A26C9"/>
    <w:lvl w:ilvl="0" w:tentative="0">
      <w:start w:val="1"/>
      <w:numFmt w:val="none"/>
      <w:pStyle w:val="195"/>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30">
    <w:nsid w:val="657D3FBC"/>
    <w:multiLevelType w:val="multilevel"/>
    <w:tmpl w:val="657D3FBC"/>
    <w:lvl w:ilvl="0" w:tentative="0">
      <w:start w:val="1"/>
      <w:numFmt w:val="upperLetter"/>
      <w:pStyle w:val="82"/>
      <w:suff w:val="nothing"/>
      <w:lvlText w:val="附录%1"/>
      <w:lvlJc w:val="left"/>
      <w:pPr>
        <w:ind w:left="0" w:firstLine="0"/>
      </w:pPr>
      <w:rPr>
        <w:rFonts w:hint="eastAsia"/>
        <w:spacing w:val="100"/>
      </w:rPr>
    </w:lvl>
    <w:lvl w:ilvl="1" w:tentative="0">
      <w:start w:val="1"/>
      <w:numFmt w:val="decimal"/>
      <w:pStyle w:val="84"/>
      <w:suff w:val="nothing"/>
      <w:lvlText w:val="%1.%2　"/>
      <w:lvlJc w:val="left"/>
      <w:pPr>
        <w:ind w:left="0" w:firstLine="0"/>
      </w:pPr>
      <w:rPr>
        <w:rFonts w:hint="eastAsia" w:ascii="黑体" w:eastAsia="黑体"/>
        <w:b w:val="0"/>
        <w:i w:val="0"/>
        <w:sz w:val="21"/>
      </w:rPr>
    </w:lvl>
    <w:lvl w:ilvl="2" w:tentative="0">
      <w:start w:val="1"/>
      <w:numFmt w:val="decimal"/>
      <w:pStyle w:val="85"/>
      <w:suff w:val="nothing"/>
      <w:lvlText w:val="%1.%2.%3　"/>
      <w:lvlJc w:val="left"/>
      <w:pPr>
        <w:ind w:left="0" w:firstLine="0"/>
      </w:pPr>
      <w:rPr>
        <w:rFonts w:hint="eastAsia" w:ascii="黑体" w:eastAsia="黑体"/>
        <w:b w:val="0"/>
        <w:i w:val="0"/>
        <w:sz w:val="21"/>
      </w:rPr>
    </w:lvl>
    <w:lvl w:ilvl="3" w:tentative="0">
      <w:start w:val="1"/>
      <w:numFmt w:val="decimal"/>
      <w:pStyle w:val="87"/>
      <w:suff w:val="nothing"/>
      <w:lvlText w:val="%1.%2.%3.%4　"/>
      <w:lvlJc w:val="left"/>
      <w:pPr>
        <w:ind w:left="0" w:firstLine="0"/>
      </w:pPr>
      <w:rPr>
        <w:rFonts w:hint="eastAsia" w:ascii="黑体" w:eastAsia="黑体"/>
        <w:b w:val="0"/>
        <w:i w:val="0"/>
        <w:sz w:val="21"/>
      </w:rPr>
    </w:lvl>
    <w:lvl w:ilvl="4" w:tentative="0">
      <w:start w:val="1"/>
      <w:numFmt w:val="decimal"/>
      <w:pStyle w:val="88"/>
      <w:suff w:val="nothing"/>
      <w:lvlText w:val="%1.%2.%3.%4.%5　"/>
      <w:lvlJc w:val="left"/>
      <w:pPr>
        <w:ind w:left="0" w:firstLine="0"/>
      </w:pPr>
      <w:rPr>
        <w:rFonts w:hint="eastAsia" w:ascii="黑体" w:eastAsia="黑体"/>
        <w:b w:val="0"/>
        <w:i w:val="0"/>
        <w:sz w:val="21"/>
      </w:rPr>
    </w:lvl>
    <w:lvl w:ilvl="5" w:tentative="0">
      <w:start w:val="1"/>
      <w:numFmt w:val="decimal"/>
      <w:pStyle w:val="90"/>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31">
    <w:nsid w:val="69506ABF"/>
    <w:multiLevelType w:val="multilevel"/>
    <w:tmpl w:val="69506ABF"/>
    <w:lvl w:ilvl="0" w:tentative="0">
      <w:start w:val="1"/>
      <w:numFmt w:val="bullet"/>
      <w:pStyle w:val="194"/>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32">
    <w:nsid w:val="6CA41985"/>
    <w:multiLevelType w:val="multilevel"/>
    <w:tmpl w:val="6CA41985"/>
    <w:lvl w:ilvl="0" w:tentative="0">
      <w:start w:val="1"/>
      <w:numFmt w:val="decimal"/>
      <w:pStyle w:val="249"/>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3">
    <w:nsid w:val="6CE42AC1"/>
    <w:multiLevelType w:val="multilevel"/>
    <w:tmpl w:val="6CE42AC1"/>
    <w:lvl w:ilvl="0" w:tentative="0">
      <w:start w:val="1"/>
      <w:numFmt w:val="lowerLetter"/>
      <w:pStyle w:val="179"/>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4">
    <w:nsid w:val="6CEA2025"/>
    <w:multiLevelType w:val="multilevel"/>
    <w:tmpl w:val="6CEA2025"/>
    <w:lvl w:ilvl="0" w:tentative="0">
      <w:start w:val="1"/>
      <w:numFmt w:val="none"/>
      <w:pStyle w:val="158"/>
      <w:suff w:val="nothing"/>
      <w:lvlText w:val="%1"/>
      <w:lvlJc w:val="left"/>
      <w:pPr>
        <w:ind w:left="0" w:firstLine="0"/>
      </w:pPr>
      <w:rPr>
        <w:rFonts w:hint="eastAsia"/>
      </w:rPr>
    </w:lvl>
    <w:lvl w:ilvl="1" w:tentative="0">
      <w:start w:val="1"/>
      <w:numFmt w:val="decimal"/>
      <w:suff w:val="nothing"/>
      <w:lvlText w:val="%1%2　"/>
      <w:lvlJc w:val="left"/>
      <w:pPr>
        <w:ind w:left="0" w:firstLine="0"/>
      </w:pPr>
      <w:rPr>
        <w:rFonts w:hint="eastAsia" w:ascii="黑体" w:eastAsia="黑体"/>
        <w:b w:val="0"/>
        <w:i w:val="0"/>
        <w:sz w:val="21"/>
      </w:rPr>
    </w:lvl>
    <w:lvl w:ilvl="2" w:tentative="0">
      <w:start w:val="1"/>
      <w:numFmt w:val="decimal"/>
      <w:pStyle w:val="111"/>
      <w:suff w:val="nothing"/>
      <w:lvlText w:val="%2.%3　"/>
      <w:lvlJc w:val="left"/>
      <w:pPr>
        <w:ind w:left="0" w:firstLine="0"/>
      </w:pPr>
      <w:rPr>
        <w:rFonts w:hint="eastAsia" w:ascii="黑体" w:hAnsi="黑体" w:eastAsia="黑体" w:cs="Times New Roman"/>
        <w:b w:val="0"/>
        <w:bCs w:val="0"/>
        <w:i w:val="0"/>
        <w:iCs w:val="0"/>
        <w:caps w:val="0"/>
        <w:smallCaps w:val="0"/>
        <w:strike w:val="0"/>
        <w:dstrike w:val="0"/>
        <w:vanish w:val="0"/>
        <w:color w:val="auto"/>
        <w:spacing w:val="0"/>
        <w:w w:val="10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71"/>
      <w:suff w:val="nothing"/>
      <w:lvlText w:val="%1%2.%3.%4　"/>
      <w:lvlJc w:val="left"/>
      <w:pPr>
        <w:ind w:left="0" w:firstLine="0"/>
      </w:pPr>
      <w:rPr>
        <w:rFonts w:hint="eastAsia" w:ascii="黑体" w:eastAsia="黑体"/>
        <w:b w:val="0"/>
        <w:i w:val="0"/>
        <w:sz w:val="21"/>
      </w:rPr>
    </w:lvl>
    <w:lvl w:ilvl="4" w:tentative="0">
      <w:start w:val="1"/>
      <w:numFmt w:val="decimal"/>
      <w:pStyle w:val="100"/>
      <w:suff w:val="nothing"/>
      <w:lvlText w:val="%1%2.%3.%4.%5　"/>
      <w:lvlJc w:val="left"/>
      <w:pPr>
        <w:ind w:left="0" w:firstLine="0"/>
      </w:pPr>
      <w:rPr>
        <w:rFonts w:hint="eastAsia" w:ascii="黑体" w:eastAsia="黑体"/>
        <w:b w:val="0"/>
        <w:i w:val="0"/>
        <w:sz w:val="21"/>
      </w:rPr>
    </w:lvl>
    <w:lvl w:ilvl="5" w:tentative="0">
      <w:start w:val="1"/>
      <w:numFmt w:val="decimal"/>
      <w:pStyle w:val="104"/>
      <w:suff w:val="nothing"/>
      <w:lvlText w:val="%1%2.%3.%4.%5.%6　"/>
      <w:lvlJc w:val="left"/>
      <w:pPr>
        <w:ind w:left="0" w:firstLine="0"/>
      </w:pPr>
      <w:rPr>
        <w:rFonts w:hint="eastAsia" w:ascii="黑体" w:eastAsia="黑体"/>
        <w:b w:val="0"/>
        <w:i w:val="0"/>
        <w:sz w:val="21"/>
      </w:rPr>
    </w:lvl>
    <w:lvl w:ilvl="6" w:tentative="0">
      <w:start w:val="1"/>
      <w:numFmt w:val="decimal"/>
      <w:pStyle w:val="109"/>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5">
    <w:nsid w:val="6DBF04F4"/>
    <w:multiLevelType w:val="multilevel"/>
    <w:tmpl w:val="6DBF04F4"/>
    <w:lvl w:ilvl="0" w:tentative="0">
      <w:start w:val="1"/>
      <w:numFmt w:val="none"/>
      <w:pStyle w:val="185"/>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6">
    <w:nsid w:val="6DF35F19"/>
    <w:multiLevelType w:val="multilevel"/>
    <w:tmpl w:val="6DF35F19"/>
    <w:lvl w:ilvl="0" w:tentative="0">
      <w:start w:val="1"/>
      <w:numFmt w:val="decimal"/>
      <w:pStyle w:val="121"/>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7">
    <w:nsid w:val="76933334"/>
    <w:multiLevelType w:val="multilevel"/>
    <w:tmpl w:val="76933334"/>
    <w:lvl w:ilvl="0" w:tentative="0">
      <w:start w:val="1"/>
      <w:numFmt w:val="none"/>
      <w:pStyle w:val="145"/>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4"/>
  </w:num>
  <w:num w:numId="2">
    <w:abstractNumId w:val="34"/>
  </w:num>
  <w:num w:numId="3">
    <w:abstractNumId w:val="9"/>
  </w:num>
  <w:num w:numId="4">
    <w:abstractNumId w:val="30"/>
  </w:num>
  <w:num w:numId="5">
    <w:abstractNumId w:val="24"/>
  </w:num>
  <w:num w:numId="6">
    <w:abstractNumId w:val="18"/>
  </w:num>
  <w:num w:numId="7">
    <w:abstractNumId w:val="13"/>
  </w:num>
  <w:num w:numId="8">
    <w:abstractNumId w:val="7"/>
  </w:num>
  <w:num w:numId="9">
    <w:abstractNumId w:val="14"/>
  </w:num>
  <w:num w:numId="10">
    <w:abstractNumId w:val="22"/>
  </w:num>
  <w:num w:numId="11">
    <w:abstractNumId w:val="17"/>
  </w:num>
  <w:num w:numId="12">
    <w:abstractNumId w:val="34"/>
    <w:lvlOverride w:ilvl="0">
      <w:lvl w:ilvl="0" w:tentative="1">
        <w:start w:val="1"/>
        <w:numFmt w:val="none"/>
        <w:suff w:val="nothing"/>
        <w:lvlText w:val="%1"/>
        <w:lvlJc w:val="left"/>
        <w:pPr>
          <w:ind w:left="0" w:firstLine="0"/>
        </w:pPr>
        <w:rPr>
          <w:rFonts w:hint="eastAsia"/>
        </w:rPr>
      </w:lvl>
    </w:lvlOverride>
    <w:lvlOverride w:ilvl="1">
      <w:lvl w:ilvl="1" w:tentative="1">
        <w:start w:val="1"/>
        <w:numFmt w:val="decimal"/>
        <w:pStyle w:val="110"/>
        <w:suff w:val="nothing"/>
        <w:lvlText w:val="%1%2　"/>
        <w:lvlJc w:val="left"/>
        <w:pPr>
          <w:ind w:left="0" w:firstLine="0"/>
        </w:pPr>
        <w:rPr>
          <w:rFonts w:hint="eastAsia" w:ascii="黑体" w:eastAsia="黑体"/>
          <w:b w:val="0"/>
          <w:i w:val="0"/>
          <w:sz w:val="21"/>
        </w:rPr>
      </w:lvl>
    </w:lvlOverride>
    <w:lvlOverride w:ilvl="2">
      <w:lvl w:ilvl="2" w:tentative="1">
        <w:start w:val="1"/>
        <w:numFmt w:val="decimal"/>
        <w:suff w:val="nothing"/>
        <w:lvlText w:val="%2.%3　"/>
        <w:lvlJc w:val="left"/>
        <w:pPr>
          <w:ind w:left="0" w:firstLine="0"/>
        </w:pPr>
        <w:rPr>
          <w:rFonts w:hint="eastAsia" w:ascii="黑体" w:hAnsi="黑体" w:eastAsia="黑体" w:cs="Times New Roman"/>
          <w:b w:val="0"/>
          <w:bCs w:val="0"/>
          <w:i w:val="0"/>
          <w:iCs w:val="0"/>
          <w:caps w:val="0"/>
          <w:smallCaps w:val="0"/>
          <w:strike w:val="0"/>
          <w:dstrike w:val="0"/>
          <w:vanish w:val="0"/>
          <w:color w:val="auto"/>
          <w:spacing w:val="0"/>
          <w:w w:val="100"/>
          <w:kern w:val="0"/>
          <w:position w:val="0"/>
          <w:sz w:val="21"/>
          <w:u w:val="none"/>
          <w:vertAlign w:val="baseline"/>
          <w14:ligatures w14:val="none"/>
          <w14:numForm w14:val="default"/>
          <w14:numSpacing w14:val="default"/>
        </w:rPr>
      </w:lvl>
    </w:lvlOverride>
    <w:lvlOverride w:ilvl="3">
      <w:lvl w:ilvl="3" w:tentative="1">
        <w:start w:val="1"/>
        <w:numFmt w:val="decimal"/>
        <w:suff w:val="nothing"/>
        <w:lvlText w:val="%1%2.%3.%4　"/>
        <w:lvlJc w:val="left"/>
        <w:pPr>
          <w:ind w:left="0" w:firstLine="0"/>
        </w:pPr>
        <w:rPr>
          <w:rFonts w:hint="eastAsia" w:ascii="黑体" w:eastAsia="黑体"/>
          <w:b w:val="0"/>
          <w:i w:val="0"/>
          <w:sz w:val="21"/>
        </w:rPr>
      </w:lvl>
    </w:lvlOverride>
    <w:lvlOverride w:ilvl="4">
      <w:lvl w:ilvl="4" w:tentative="1">
        <w:start w:val="1"/>
        <w:numFmt w:val="decimal"/>
        <w:suff w:val="nothing"/>
        <w:lvlText w:val="%1%2.%3.%4.%5　"/>
        <w:lvlJc w:val="left"/>
        <w:pPr>
          <w:ind w:left="0" w:firstLine="0"/>
        </w:pPr>
        <w:rPr>
          <w:rFonts w:hint="eastAsia" w:ascii="黑体" w:eastAsia="黑体"/>
          <w:b w:val="0"/>
          <w:i w:val="0"/>
          <w:sz w:val="21"/>
        </w:rPr>
      </w:lvl>
    </w:lvlOverride>
    <w:lvlOverride w:ilvl="5">
      <w:lvl w:ilvl="5" w:tentative="1">
        <w:start w:val="1"/>
        <w:numFmt w:val="decimal"/>
        <w:suff w:val="nothing"/>
        <w:lvlText w:val="%1%2.%3.%4.%5.%6　"/>
        <w:lvlJc w:val="left"/>
        <w:pPr>
          <w:ind w:left="0" w:firstLine="0"/>
        </w:pPr>
        <w:rPr>
          <w:rFonts w:hint="eastAsia" w:ascii="黑体" w:eastAsia="黑体"/>
          <w:b w:val="0"/>
          <w:i w:val="0"/>
          <w:sz w:val="21"/>
        </w:rPr>
      </w:lvl>
    </w:lvlOverride>
    <w:lvlOverride w:ilvl="6">
      <w:lvl w:ilvl="6" w:tentative="1">
        <w:start w:val="1"/>
        <w:numFmt w:val="decimal"/>
        <w:suff w:val="nothing"/>
        <w:lvlText w:val="%1%2.%3.%4.%5.%6.%7　"/>
        <w:lvlJc w:val="left"/>
        <w:pPr>
          <w:ind w:left="0" w:firstLine="0"/>
        </w:pPr>
        <w:rPr>
          <w:rFonts w:hint="eastAsia" w:ascii="黑体" w:eastAsia="黑体"/>
          <w:b w:val="0"/>
          <w:i w:val="0"/>
          <w:sz w:val="21"/>
        </w:rPr>
      </w:lvl>
    </w:lvlOverride>
    <w:lvlOverride w:ilvl="7">
      <w:lvl w:ilvl="7" w:tentative="1">
        <w:start w:val="1"/>
        <w:numFmt w:val="decimal"/>
        <w:lvlText w:val="%1.%2.%3.%4.%5.%6.%7.%8"/>
        <w:lvlJc w:val="left"/>
        <w:pPr>
          <w:tabs>
            <w:tab w:val="left" w:pos="4351"/>
          </w:tabs>
          <w:ind w:left="3969" w:hanging="1418"/>
        </w:pPr>
        <w:rPr>
          <w:rFonts w:hint="eastAsia"/>
        </w:rPr>
      </w:lvl>
    </w:lvlOverride>
    <w:lvlOverride w:ilvl="8">
      <w:lvl w:ilvl="8" w:tentative="1">
        <w:start w:val="1"/>
        <w:numFmt w:val="decimal"/>
        <w:lvlText w:val="%1.%2.%3.%4.%5.%6.%7.%8.%9"/>
        <w:lvlJc w:val="left"/>
        <w:pPr>
          <w:tabs>
            <w:tab w:val="left" w:pos="4777"/>
          </w:tabs>
          <w:ind w:left="4677" w:hanging="1700"/>
        </w:pPr>
        <w:rPr>
          <w:rFonts w:hint="eastAsia"/>
        </w:rPr>
      </w:lvl>
    </w:lvlOverride>
  </w:num>
  <w:num w:numId="13">
    <w:abstractNumId w:val="12"/>
  </w:num>
  <w:num w:numId="14">
    <w:abstractNumId w:val="25"/>
  </w:num>
  <w:num w:numId="15">
    <w:abstractNumId w:val="28"/>
  </w:num>
  <w:num w:numId="16">
    <w:abstractNumId w:val="23"/>
  </w:num>
  <w:num w:numId="17">
    <w:abstractNumId w:val="36"/>
  </w:num>
  <w:num w:numId="18">
    <w:abstractNumId w:val="21"/>
  </w:num>
  <w:num w:numId="19">
    <w:abstractNumId w:val="5"/>
  </w:num>
  <w:num w:numId="20">
    <w:abstractNumId w:val="16"/>
  </w:num>
  <w:num w:numId="21">
    <w:abstractNumId w:val="37"/>
  </w:num>
  <w:num w:numId="22">
    <w:abstractNumId w:val="27"/>
  </w:num>
  <w:num w:numId="23">
    <w:abstractNumId w:val="10"/>
  </w:num>
  <w:num w:numId="24">
    <w:abstractNumId w:val="33"/>
  </w:num>
  <w:num w:numId="25">
    <w:abstractNumId w:val="35"/>
  </w:num>
  <w:num w:numId="26">
    <w:abstractNumId w:val="6"/>
  </w:num>
  <w:num w:numId="27">
    <w:abstractNumId w:val="8"/>
  </w:num>
  <w:num w:numId="28">
    <w:abstractNumId w:val="20"/>
  </w:num>
  <w:num w:numId="29">
    <w:abstractNumId w:val="31"/>
  </w:num>
  <w:num w:numId="30">
    <w:abstractNumId w:val="29"/>
  </w:num>
  <w:num w:numId="31">
    <w:abstractNumId w:val="15"/>
  </w:num>
  <w:num w:numId="32">
    <w:abstractNumId w:val="32"/>
  </w:num>
  <w:num w:numId="33">
    <w:abstractNumId w:val="11"/>
  </w:num>
  <w:num w:numId="34">
    <w:abstractNumId w:val="26"/>
  </w:num>
  <w:num w:numId="35">
    <w:abstractNumId w:val="1"/>
  </w:num>
  <w:num w:numId="36">
    <w:abstractNumId w:val="19"/>
  </w:num>
  <w:num w:numId="37">
    <w:abstractNumId w:val="2"/>
  </w:num>
  <w:num w:numId="38">
    <w:abstractNumId w:val="3"/>
  </w:num>
  <w:num w:numId="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dit="forms"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FkYjMwYzk1ZjhjNWY2NDMxMWM1M2E0ZWVlNGFkNTAifQ=="/>
  </w:docVars>
  <w:rsids>
    <w:rsidRoot w:val="00172A27"/>
    <w:rsid w:val="0000040A"/>
    <w:rsid w:val="00000A94"/>
    <w:rsid w:val="000010C8"/>
    <w:rsid w:val="00001972"/>
    <w:rsid w:val="00001D9A"/>
    <w:rsid w:val="00004DCB"/>
    <w:rsid w:val="00005387"/>
    <w:rsid w:val="00005992"/>
    <w:rsid w:val="00005C91"/>
    <w:rsid w:val="00007B3A"/>
    <w:rsid w:val="000107E0"/>
    <w:rsid w:val="000115F0"/>
    <w:rsid w:val="00011DD9"/>
    <w:rsid w:val="00011FDE"/>
    <w:rsid w:val="00012FFD"/>
    <w:rsid w:val="00014162"/>
    <w:rsid w:val="00014340"/>
    <w:rsid w:val="00014CD9"/>
    <w:rsid w:val="000164FA"/>
    <w:rsid w:val="00016A9C"/>
    <w:rsid w:val="0002207C"/>
    <w:rsid w:val="00022184"/>
    <w:rsid w:val="00022762"/>
    <w:rsid w:val="000238E0"/>
    <w:rsid w:val="000249DB"/>
    <w:rsid w:val="0002595E"/>
    <w:rsid w:val="00030095"/>
    <w:rsid w:val="000303C3"/>
    <w:rsid w:val="000331D3"/>
    <w:rsid w:val="000346A5"/>
    <w:rsid w:val="000359C3"/>
    <w:rsid w:val="00035A7D"/>
    <w:rsid w:val="000365ED"/>
    <w:rsid w:val="000403F9"/>
    <w:rsid w:val="0004249A"/>
    <w:rsid w:val="00043282"/>
    <w:rsid w:val="00043CCF"/>
    <w:rsid w:val="00044286"/>
    <w:rsid w:val="00047AE2"/>
    <w:rsid w:val="00047F28"/>
    <w:rsid w:val="000503AA"/>
    <w:rsid w:val="000506A1"/>
    <w:rsid w:val="000515DD"/>
    <w:rsid w:val="0005265A"/>
    <w:rsid w:val="00052A59"/>
    <w:rsid w:val="000539DD"/>
    <w:rsid w:val="00053BD3"/>
    <w:rsid w:val="000556ED"/>
    <w:rsid w:val="00055FE2"/>
    <w:rsid w:val="00056135"/>
    <w:rsid w:val="0005616F"/>
    <w:rsid w:val="00060C2E"/>
    <w:rsid w:val="00061033"/>
    <w:rsid w:val="000619E9"/>
    <w:rsid w:val="000622D4"/>
    <w:rsid w:val="0006357D"/>
    <w:rsid w:val="0006398D"/>
    <w:rsid w:val="00065E3B"/>
    <w:rsid w:val="00066439"/>
    <w:rsid w:val="00067F1E"/>
    <w:rsid w:val="00070D8C"/>
    <w:rsid w:val="00071CC0"/>
    <w:rsid w:val="00073C8C"/>
    <w:rsid w:val="000744EB"/>
    <w:rsid w:val="00075E8B"/>
    <w:rsid w:val="00077312"/>
    <w:rsid w:val="00077B64"/>
    <w:rsid w:val="00080A1C"/>
    <w:rsid w:val="00082317"/>
    <w:rsid w:val="00083D2C"/>
    <w:rsid w:val="00084B6D"/>
    <w:rsid w:val="00086AA1"/>
    <w:rsid w:val="00087A77"/>
    <w:rsid w:val="00090CA6"/>
    <w:rsid w:val="00090E83"/>
    <w:rsid w:val="00090FD8"/>
    <w:rsid w:val="00092B8A"/>
    <w:rsid w:val="00092FB0"/>
    <w:rsid w:val="000934C5"/>
    <w:rsid w:val="00093D25"/>
    <w:rsid w:val="00093DAB"/>
    <w:rsid w:val="00094D73"/>
    <w:rsid w:val="00094E1D"/>
    <w:rsid w:val="00096D63"/>
    <w:rsid w:val="00097318"/>
    <w:rsid w:val="000A0B60"/>
    <w:rsid w:val="000A0EB8"/>
    <w:rsid w:val="000A19FC"/>
    <w:rsid w:val="000A25FA"/>
    <w:rsid w:val="000A296B"/>
    <w:rsid w:val="000A524B"/>
    <w:rsid w:val="000A70E3"/>
    <w:rsid w:val="000A7311"/>
    <w:rsid w:val="000B060F"/>
    <w:rsid w:val="000B1181"/>
    <w:rsid w:val="000B1592"/>
    <w:rsid w:val="000B1FF2"/>
    <w:rsid w:val="000B256E"/>
    <w:rsid w:val="000B3CDA"/>
    <w:rsid w:val="000B5055"/>
    <w:rsid w:val="000B6A0B"/>
    <w:rsid w:val="000C0F6C"/>
    <w:rsid w:val="000C11DB"/>
    <w:rsid w:val="000C1492"/>
    <w:rsid w:val="000C184D"/>
    <w:rsid w:val="000C2FBD"/>
    <w:rsid w:val="000C45A1"/>
    <w:rsid w:val="000C4B41"/>
    <w:rsid w:val="000C57D6"/>
    <w:rsid w:val="000C6362"/>
    <w:rsid w:val="000C7666"/>
    <w:rsid w:val="000D0A9C"/>
    <w:rsid w:val="000D1795"/>
    <w:rsid w:val="000D1D41"/>
    <w:rsid w:val="000D1DC1"/>
    <w:rsid w:val="000D329A"/>
    <w:rsid w:val="000D3ABD"/>
    <w:rsid w:val="000D477E"/>
    <w:rsid w:val="000D4B9C"/>
    <w:rsid w:val="000D4EB6"/>
    <w:rsid w:val="000D753B"/>
    <w:rsid w:val="000E4C9E"/>
    <w:rsid w:val="000E6FD7"/>
    <w:rsid w:val="000F06E1"/>
    <w:rsid w:val="000F0E3C"/>
    <w:rsid w:val="000F10DC"/>
    <w:rsid w:val="000F19D5"/>
    <w:rsid w:val="000F231F"/>
    <w:rsid w:val="000F24BB"/>
    <w:rsid w:val="000F2C27"/>
    <w:rsid w:val="000F4AEA"/>
    <w:rsid w:val="000F4D88"/>
    <w:rsid w:val="000F633F"/>
    <w:rsid w:val="000F67E9"/>
    <w:rsid w:val="0010334F"/>
    <w:rsid w:val="0010481C"/>
    <w:rsid w:val="00104926"/>
    <w:rsid w:val="00107593"/>
    <w:rsid w:val="00113B1E"/>
    <w:rsid w:val="00113DE2"/>
    <w:rsid w:val="001146D1"/>
    <w:rsid w:val="0011711C"/>
    <w:rsid w:val="00117226"/>
    <w:rsid w:val="0012059C"/>
    <w:rsid w:val="0012316D"/>
    <w:rsid w:val="00124DDF"/>
    <w:rsid w:val="00124E4F"/>
    <w:rsid w:val="001260B7"/>
    <w:rsid w:val="001265CB"/>
    <w:rsid w:val="001321C6"/>
    <w:rsid w:val="001325C4"/>
    <w:rsid w:val="00133010"/>
    <w:rsid w:val="001338EE"/>
    <w:rsid w:val="00133AAE"/>
    <w:rsid w:val="00135323"/>
    <w:rsid w:val="001356C4"/>
    <w:rsid w:val="0013721D"/>
    <w:rsid w:val="0013769A"/>
    <w:rsid w:val="00140103"/>
    <w:rsid w:val="00141114"/>
    <w:rsid w:val="001412AE"/>
    <w:rsid w:val="00141EE4"/>
    <w:rsid w:val="00142969"/>
    <w:rsid w:val="001441DF"/>
    <w:rsid w:val="001446C2"/>
    <w:rsid w:val="001457E7"/>
    <w:rsid w:val="00145B57"/>
    <w:rsid w:val="00145D9D"/>
    <w:rsid w:val="00146388"/>
    <w:rsid w:val="00150FF9"/>
    <w:rsid w:val="001516B0"/>
    <w:rsid w:val="00151E06"/>
    <w:rsid w:val="001529E5"/>
    <w:rsid w:val="001534CB"/>
    <w:rsid w:val="0015353F"/>
    <w:rsid w:val="00153C7E"/>
    <w:rsid w:val="00154638"/>
    <w:rsid w:val="001556DD"/>
    <w:rsid w:val="001564F6"/>
    <w:rsid w:val="00156B25"/>
    <w:rsid w:val="00156E1A"/>
    <w:rsid w:val="00157702"/>
    <w:rsid w:val="00157894"/>
    <w:rsid w:val="00157B55"/>
    <w:rsid w:val="001642FA"/>
    <w:rsid w:val="001649EB"/>
    <w:rsid w:val="00164BAF"/>
    <w:rsid w:val="00164FA8"/>
    <w:rsid w:val="00165065"/>
    <w:rsid w:val="00165298"/>
    <w:rsid w:val="00165434"/>
    <w:rsid w:val="0016580B"/>
    <w:rsid w:val="00165F49"/>
    <w:rsid w:val="001665BE"/>
    <w:rsid w:val="00166B88"/>
    <w:rsid w:val="0016770A"/>
    <w:rsid w:val="00170804"/>
    <w:rsid w:val="001708E9"/>
    <w:rsid w:val="0017340B"/>
    <w:rsid w:val="00173FB1"/>
    <w:rsid w:val="00175CED"/>
    <w:rsid w:val="00176DFD"/>
    <w:rsid w:val="001820E2"/>
    <w:rsid w:val="001852C9"/>
    <w:rsid w:val="00186D22"/>
    <w:rsid w:val="00190087"/>
    <w:rsid w:val="00190FE7"/>
    <w:rsid w:val="001913C4"/>
    <w:rsid w:val="0019348F"/>
    <w:rsid w:val="00193A07"/>
    <w:rsid w:val="00194C95"/>
    <w:rsid w:val="001955AE"/>
    <w:rsid w:val="00195C34"/>
    <w:rsid w:val="00196EF5"/>
    <w:rsid w:val="001A1A53"/>
    <w:rsid w:val="001A234A"/>
    <w:rsid w:val="001A4CF3"/>
    <w:rsid w:val="001A53BE"/>
    <w:rsid w:val="001B00E5"/>
    <w:rsid w:val="001B06E8"/>
    <w:rsid w:val="001B2216"/>
    <w:rsid w:val="001B3BCA"/>
    <w:rsid w:val="001B71D0"/>
    <w:rsid w:val="001B71EE"/>
    <w:rsid w:val="001C04A8"/>
    <w:rsid w:val="001C1F32"/>
    <w:rsid w:val="001C2C03"/>
    <w:rsid w:val="001C42F7"/>
    <w:rsid w:val="001C49E5"/>
    <w:rsid w:val="001C5A1A"/>
    <w:rsid w:val="001C680C"/>
    <w:rsid w:val="001C682B"/>
    <w:rsid w:val="001C7FEA"/>
    <w:rsid w:val="001D0499"/>
    <w:rsid w:val="001D073D"/>
    <w:rsid w:val="001D0BBE"/>
    <w:rsid w:val="001D0ED4"/>
    <w:rsid w:val="001D212F"/>
    <w:rsid w:val="001D29D7"/>
    <w:rsid w:val="001D2DE7"/>
    <w:rsid w:val="001D411C"/>
    <w:rsid w:val="001D7B9E"/>
    <w:rsid w:val="001E1B6A"/>
    <w:rsid w:val="001E2484"/>
    <w:rsid w:val="001E26D5"/>
    <w:rsid w:val="001E2A11"/>
    <w:rsid w:val="001E3CC4"/>
    <w:rsid w:val="001E3DCA"/>
    <w:rsid w:val="001E40FB"/>
    <w:rsid w:val="001E4882"/>
    <w:rsid w:val="001E73AB"/>
    <w:rsid w:val="001F092D"/>
    <w:rsid w:val="001F143A"/>
    <w:rsid w:val="001F1605"/>
    <w:rsid w:val="001F2508"/>
    <w:rsid w:val="001F3A33"/>
    <w:rsid w:val="001F4816"/>
    <w:rsid w:val="001F4EE9"/>
    <w:rsid w:val="001F69B4"/>
    <w:rsid w:val="001F6B03"/>
    <w:rsid w:val="001F77C7"/>
    <w:rsid w:val="00200183"/>
    <w:rsid w:val="00200333"/>
    <w:rsid w:val="00200DFF"/>
    <w:rsid w:val="0020107D"/>
    <w:rsid w:val="0020132A"/>
    <w:rsid w:val="00202AA4"/>
    <w:rsid w:val="002031F7"/>
    <w:rsid w:val="002037F3"/>
    <w:rsid w:val="002040E6"/>
    <w:rsid w:val="00205141"/>
    <w:rsid w:val="0020527B"/>
    <w:rsid w:val="00205F2C"/>
    <w:rsid w:val="0020759C"/>
    <w:rsid w:val="00210B15"/>
    <w:rsid w:val="00211BDF"/>
    <w:rsid w:val="00213BC1"/>
    <w:rsid w:val="002142EA"/>
    <w:rsid w:val="002204BB"/>
    <w:rsid w:val="00220509"/>
    <w:rsid w:val="002209B7"/>
    <w:rsid w:val="0022123A"/>
    <w:rsid w:val="00221B79"/>
    <w:rsid w:val="00221C6B"/>
    <w:rsid w:val="002227F7"/>
    <w:rsid w:val="00223098"/>
    <w:rsid w:val="00224F26"/>
    <w:rsid w:val="002253A1"/>
    <w:rsid w:val="00225CF8"/>
    <w:rsid w:val="0022794E"/>
    <w:rsid w:val="00233D64"/>
    <w:rsid w:val="0023482A"/>
    <w:rsid w:val="00234D38"/>
    <w:rsid w:val="002359CB"/>
    <w:rsid w:val="002402E1"/>
    <w:rsid w:val="0024236D"/>
    <w:rsid w:val="00243540"/>
    <w:rsid w:val="0024497B"/>
    <w:rsid w:val="00244E4E"/>
    <w:rsid w:val="0024515B"/>
    <w:rsid w:val="00246021"/>
    <w:rsid w:val="00246362"/>
    <w:rsid w:val="0024666E"/>
    <w:rsid w:val="00247685"/>
    <w:rsid w:val="00247F52"/>
    <w:rsid w:val="00250B25"/>
    <w:rsid w:val="00250BBE"/>
    <w:rsid w:val="002515C2"/>
    <w:rsid w:val="0025160F"/>
    <w:rsid w:val="0025194F"/>
    <w:rsid w:val="00254DD7"/>
    <w:rsid w:val="002571A8"/>
    <w:rsid w:val="0026148A"/>
    <w:rsid w:val="0026152C"/>
    <w:rsid w:val="00262696"/>
    <w:rsid w:val="00263293"/>
    <w:rsid w:val="00263D25"/>
    <w:rsid w:val="00263EA0"/>
    <w:rsid w:val="00263ED1"/>
    <w:rsid w:val="002643C3"/>
    <w:rsid w:val="00264A0C"/>
    <w:rsid w:val="0026500D"/>
    <w:rsid w:val="0026507B"/>
    <w:rsid w:val="00266EEB"/>
    <w:rsid w:val="00267EF4"/>
    <w:rsid w:val="002700D5"/>
    <w:rsid w:val="00270CB8"/>
    <w:rsid w:val="00272B08"/>
    <w:rsid w:val="00274913"/>
    <w:rsid w:val="002771AC"/>
    <w:rsid w:val="00281BB8"/>
    <w:rsid w:val="00281E9E"/>
    <w:rsid w:val="00282405"/>
    <w:rsid w:val="00285170"/>
    <w:rsid w:val="00285361"/>
    <w:rsid w:val="00292D60"/>
    <w:rsid w:val="00293B30"/>
    <w:rsid w:val="0029469B"/>
    <w:rsid w:val="00294D34"/>
    <w:rsid w:val="00294E3B"/>
    <w:rsid w:val="00296193"/>
    <w:rsid w:val="00296C66"/>
    <w:rsid w:val="00296EBE"/>
    <w:rsid w:val="002974E3"/>
    <w:rsid w:val="002977DE"/>
    <w:rsid w:val="002A084B"/>
    <w:rsid w:val="002A1260"/>
    <w:rsid w:val="002A1589"/>
    <w:rsid w:val="002A1608"/>
    <w:rsid w:val="002A1F42"/>
    <w:rsid w:val="002A25DC"/>
    <w:rsid w:val="002A3AAB"/>
    <w:rsid w:val="002A4CEA"/>
    <w:rsid w:val="002A5977"/>
    <w:rsid w:val="002A5A13"/>
    <w:rsid w:val="002A757F"/>
    <w:rsid w:val="002A7F44"/>
    <w:rsid w:val="002B0C40"/>
    <w:rsid w:val="002B0D1A"/>
    <w:rsid w:val="002B1712"/>
    <w:rsid w:val="002B1966"/>
    <w:rsid w:val="002B2E13"/>
    <w:rsid w:val="002B4508"/>
    <w:rsid w:val="002B5779"/>
    <w:rsid w:val="002B68E8"/>
    <w:rsid w:val="002B7332"/>
    <w:rsid w:val="002B7F51"/>
    <w:rsid w:val="002C09E7"/>
    <w:rsid w:val="002C183D"/>
    <w:rsid w:val="002C1845"/>
    <w:rsid w:val="002C1B7F"/>
    <w:rsid w:val="002C1E06"/>
    <w:rsid w:val="002C1E1C"/>
    <w:rsid w:val="002C3F07"/>
    <w:rsid w:val="002C4145"/>
    <w:rsid w:val="002C5278"/>
    <w:rsid w:val="002C7534"/>
    <w:rsid w:val="002C7EBB"/>
    <w:rsid w:val="002D06C1"/>
    <w:rsid w:val="002D42B5"/>
    <w:rsid w:val="002D4F1A"/>
    <w:rsid w:val="002D6EC6"/>
    <w:rsid w:val="002D7184"/>
    <w:rsid w:val="002D79AC"/>
    <w:rsid w:val="002E039D"/>
    <w:rsid w:val="002E19CD"/>
    <w:rsid w:val="002E4D5A"/>
    <w:rsid w:val="002E5373"/>
    <w:rsid w:val="002E6326"/>
    <w:rsid w:val="002E7ADC"/>
    <w:rsid w:val="002F0DEB"/>
    <w:rsid w:val="002F2FBC"/>
    <w:rsid w:val="002F30E0"/>
    <w:rsid w:val="002F35E4"/>
    <w:rsid w:val="002F3730"/>
    <w:rsid w:val="002F38E1"/>
    <w:rsid w:val="002F7AF6"/>
    <w:rsid w:val="00300E63"/>
    <w:rsid w:val="00302D6C"/>
    <w:rsid w:val="00302F5F"/>
    <w:rsid w:val="0030441D"/>
    <w:rsid w:val="00306063"/>
    <w:rsid w:val="00313B85"/>
    <w:rsid w:val="00316886"/>
    <w:rsid w:val="003168DC"/>
    <w:rsid w:val="00317988"/>
    <w:rsid w:val="00321068"/>
    <w:rsid w:val="003221B4"/>
    <w:rsid w:val="0032258D"/>
    <w:rsid w:val="00322E62"/>
    <w:rsid w:val="00324D13"/>
    <w:rsid w:val="00324D2A"/>
    <w:rsid w:val="00324EDD"/>
    <w:rsid w:val="00324FCA"/>
    <w:rsid w:val="00331304"/>
    <w:rsid w:val="003331E4"/>
    <w:rsid w:val="00336C64"/>
    <w:rsid w:val="00337162"/>
    <w:rsid w:val="003377A3"/>
    <w:rsid w:val="0034194F"/>
    <w:rsid w:val="00341C31"/>
    <w:rsid w:val="00344605"/>
    <w:rsid w:val="0034495B"/>
    <w:rsid w:val="003474AA"/>
    <w:rsid w:val="00350D1D"/>
    <w:rsid w:val="00350D47"/>
    <w:rsid w:val="00352C83"/>
    <w:rsid w:val="0035374F"/>
    <w:rsid w:val="00355EB1"/>
    <w:rsid w:val="00356277"/>
    <w:rsid w:val="00357C00"/>
    <w:rsid w:val="003615D2"/>
    <w:rsid w:val="003618A5"/>
    <w:rsid w:val="0036423B"/>
    <w:rsid w:val="0036429C"/>
    <w:rsid w:val="00364A53"/>
    <w:rsid w:val="003654CB"/>
    <w:rsid w:val="00365AA9"/>
    <w:rsid w:val="00365CB3"/>
    <w:rsid w:val="00365F86"/>
    <w:rsid w:val="00365F87"/>
    <w:rsid w:val="003663D5"/>
    <w:rsid w:val="00366E89"/>
    <w:rsid w:val="003705F4"/>
    <w:rsid w:val="003709D6"/>
    <w:rsid w:val="00370D58"/>
    <w:rsid w:val="00371316"/>
    <w:rsid w:val="00376713"/>
    <w:rsid w:val="00381815"/>
    <w:rsid w:val="003819AF"/>
    <w:rsid w:val="00381D39"/>
    <w:rsid w:val="003820E9"/>
    <w:rsid w:val="00382DE7"/>
    <w:rsid w:val="00383907"/>
    <w:rsid w:val="00384FA8"/>
    <w:rsid w:val="00384FFC"/>
    <w:rsid w:val="003861D0"/>
    <w:rsid w:val="003872FC"/>
    <w:rsid w:val="00387ADC"/>
    <w:rsid w:val="00390020"/>
    <w:rsid w:val="003901E2"/>
    <w:rsid w:val="003903D6"/>
    <w:rsid w:val="00390807"/>
    <w:rsid w:val="00390EE6"/>
    <w:rsid w:val="0039118F"/>
    <w:rsid w:val="00392AD7"/>
    <w:rsid w:val="003938D9"/>
    <w:rsid w:val="00394376"/>
    <w:rsid w:val="003943FF"/>
    <w:rsid w:val="00395700"/>
    <w:rsid w:val="0039651F"/>
    <w:rsid w:val="003974EB"/>
    <w:rsid w:val="00397CC5"/>
    <w:rsid w:val="003A1582"/>
    <w:rsid w:val="003A4077"/>
    <w:rsid w:val="003A547C"/>
    <w:rsid w:val="003B09AD"/>
    <w:rsid w:val="003B11A4"/>
    <w:rsid w:val="003B1B81"/>
    <w:rsid w:val="003B1F18"/>
    <w:rsid w:val="003B3D40"/>
    <w:rsid w:val="003B5BF0"/>
    <w:rsid w:val="003B5F0D"/>
    <w:rsid w:val="003B60BF"/>
    <w:rsid w:val="003B6BE3"/>
    <w:rsid w:val="003C00CD"/>
    <w:rsid w:val="003C010C"/>
    <w:rsid w:val="003C09EB"/>
    <w:rsid w:val="003C0A6C"/>
    <w:rsid w:val="003C0F17"/>
    <w:rsid w:val="003C14F8"/>
    <w:rsid w:val="003C4677"/>
    <w:rsid w:val="003C5A43"/>
    <w:rsid w:val="003C740C"/>
    <w:rsid w:val="003C764A"/>
    <w:rsid w:val="003C7EEE"/>
    <w:rsid w:val="003D0519"/>
    <w:rsid w:val="003D0FF6"/>
    <w:rsid w:val="003D262C"/>
    <w:rsid w:val="003D6D61"/>
    <w:rsid w:val="003D76D3"/>
    <w:rsid w:val="003D79C6"/>
    <w:rsid w:val="003E029D"/>
    <w:rsid w:val="003E0746"/>
    <w:rsid w:val="003E091D"/>
    <w:rsid w:val="003E0A80"/>
    <w:rsid w:val="003E0F6D"/>
    <w:rsid w:val="003E1C53"/>
    <w:rsid w:val="003E298E"/>
    <w:rsid w:val="003E2A69"/>
    <w:rsid w:val="003E2D49"/>
    <w:rsid w:val="003E2FD4"/>
    <w:rsid w:val="003E4629"/>
    <w:rsid w:val="003E49F6"/>
    <w:rsid w:val="003E660F"/>
    <w:rsid w:val="003F0841"/>
    <w:rsid w:val="003F23D3"/>
    <w:rsid w:val="003F2CDF"/>
    <w:rsid w:val="003F3ADA"/>
    <w:rsid w:val="003F3F08"/>
    <w:rsid w:val="003F49F1"/>
    <w:rsid w:val="003F60B6"/>
    <w:rsid w:val="003F6272"/>
    <w:rsid w:val="00400E72"/>
    <w:rsid w:val="00401400"/>
    <w:rsid w:val="0040221A"/>
    <w:rsid w:val="00404869"/>
    <w:rsid w:val="00405884"/>
    <w:rsid w:val="00407D39"/>
    <w:rsid w:val="00410D1C"/>
    <w:rsid w:val="00411325"/>
    <w:rsid w:val="0041231E"/>
    <w:rsid w:val="0041477A"/>
    <w:rsid w:val="004167A3"/>
    <w:rsid w:val="0041750F"/>
    <w:rsid w:val="00426B0F"/>
    <w:rsid w:val="00432DAA"/>
    <w:rsid w:val="00433636"/>
    <w:rsid w:val="00434305"/>
    <w:rsid w:val="00434DEF"/>
    <w:rsid w:val="00435CB3"/>
    <w:rsid w:val="00435DF7"/>
    <w:rsid w:val="0044083F"/>
    <w:rsid w:val="00441341"/>
    <w:rsid w:val="00441AE7"/>
    <w:rsid w:val="00442770"/>
    <w:rsid w:val="004439C5"/>
    <w:rsid w:val="00445574"/>
    <w:rsid w:val="004467FB"/>
    <w:rsid w:val="0045116D"/>
    <w:rsid w:val="00452BE5"/>
    <w:rsid w:val="00452D6B"/>
    <w:rsid w:val="004534E7"/>
    <w:rsid w:val="0045434D"/>
    <w:rsid w:val="00454484"/>
    <w:rsid w:val="0045517B"/>
    <w:rsid w:val="004554AD"/>
    <w:rsid w:val="00456170"/>
    <w:rsid w:val="00457963"/>
    <w:rsid w:val="00460972"/>
    <w:rsid w:val="00460A90"/>
    <w:rsid w:val="00461563"/>
    <w:rsid w:val="00463B77"/>
    <w:rsid w:val="00463C7B"/>
    <w:rsid w:val="004644A6"/>
    <w:rsid w:val="004659BD"/>
    <w:rsid w:val="00467EC9"/>
    <w:rsid w:val="00470775"/>
    <w:rsid w:val="00473764"/>
    <w:rsid w:val="004746B1"/>
    <w:rsid w:val="00475101"/>
    <w:rsid w:val="0047583F"/>
    <w:rsid w:val="00475DE8"/>
    <w:rsid w:val="0047622D"/>
    <w:rsid w:val="00481C44"/>
    <w:rsid w:val="00482902"/>
    <w:rsid w:val="004829D5"/>
    <w:rsid w:val="00484936"/>
    <w:rsid w:val="00485C89"/>
    <w:rsid w:val="00486BE3"/>
    <w:rsid w:val="004905E4"/>
    <w:rsid w:val="00490A89"/>
    <w:rsid w:val="00490AB4"/>
    <w:rsid w:val="00492B0E"/>
    <w:rsid w:val="00492F02"/>
    <w:rsid w:val="004939AE"/>
    <w:rsid w:val="004961E8"/>
    <w:rsid w:val="004A08D5"/>
    <w:rsid w:val="004A0F13"/>
    <w:rsid w:val="004A12DF"/>
    <w:rsid w:val="004A17E6"/>
    <w:rsid w:val="004A1BA8"/>
    <w:rsid w:val="004A1F42"/>
    <w:rsid w:val="004A4205"/>
    <w:rsid w:val="004A4762"/>
    <w:rsid w:val="004A4B57"/>
    <w:rsid w:val="004A4E36"/>
    <w:rsid w:val="004A63FA"/>
    <w:rsid w:val="004A6F54"/>
    <w:rsid w:val="004B0272"/>
    <w:rsid w:val="004B248C"/>
    <w:rsid w:val="004B2701"/>
    <w:rsid w:val="004B2E1B"/>
    <w:rsid w:val="004B3AA8"/>
    <w:rsid w:val="004B3E7E"/>
    <w:rsid w:val="004B3E93"/>
    <w:rsid w:val="004B7427"/>
    <w:rsid w:val="004C0457"/>
    <w:rsid w:val="004C1FBC"/>
    <w:rsid w:val="004C3C5B"/>
    <w:rsid w:val="004C3F1D"/>
    <w:rsid w:val="004C458D"/>
    <w:rsid w:val="004C674E"/>
    <w:rsid w:val="004C6AAC"/>
    <w:rsid w:val="004C7556"/>
    <w:rsid w:val="004C790F"/>
    <w:rsid w:val="004C7E8B"/>
    <w:rsid w:val="004C7E9D"/>
    <w:rsid w:val="004C7F67"/>
    <w:rsid w:val="004D076D"/>
    <w:rsid w:val="004D0EF1"/>
    <w:rsid w:val="004D1723"/>
    <w:rsid w:val="004D2253"/>
    <w:rsid w:val="004D4406"/>
    <w:rsid w:val="004D720D"/>
    <w:rsid w:val="004D7C42"/>
    <w:rsid w:val="004E0465"/>
    <w:rsid w:val="004E127B"/>
    <w:rsid w:val="004E1C0A"/>
    <w:rsid w:val="004E2B06"/>
    <w:rsid w:val="004E2CFB"/>
    <w:rsid w:val="004E30C5"/>
    <w:rsid w:val="004E4AA5"/>
    <w:rsid w:val="004E4AEE"/>
    <w:rsid w:val="004E59E3"/>
    <w:rsid w:val="004E67C0"/>
    <w:rsid w:val="004E78BA"/>
    <w:rsid w:val="004F1197"/>
    <w:rsid w:val="004F1CE1"/>
    <w:rsid w:val="004F26A4"/>
    <w:rsid w:val="004F391A"/>
    <w:rsid w:val="004F3CFB"/>
    <w:rsid w:val="004F6456"/>
    <w:rsid w:val="004F696E"/>
    <w:rsid w:val="004F6C71"/>
    <w:rsid w:val="004F73C4"/>
    <w:rsid w:val="00501139"/>
    <w:rsid w:val="00501309"/>
    <w:rsid w:val="0050363E"/>
    <w:rsid w:val="005039BC"/>
    <w:rsid w:val="00503E1C"/>
    <w:rsid w:val="005043BB"/>
    <w:rsid w:val="00504A3D"/>
    <w:rsid w:val="00504E82"/>
    <w:rsid w:val="00505767"/>
    <w:rsid w:val="0050654C"/>
    <w:rsid w:val="0050695D"/>
    <w:rsid w:val="00506C86"/>
    <w:rsid w:val="005073F0"/>
    <w:rsid w:val="00507AEF"/>
    <w:rsid w:val="00510A7B"/>
    <w:rsid w:val="00512F6E"/>
    <w:rsid w:val="00513038"/>
    <w:rsid w:val="00514174"/>
    <w:rsid w:val="00515855"/>
    <w:rsid w:val="00516088"/>
    <w:rsid w:val="00516191"/>
    <w:rsid w:val="00516B0B"/>
    <w:rsid w:val="00516D26"/>
    <w:rsid w:val="00520BAA"/>
    <w:rsid w:val="005220EC"/>
    <w:rsid w:val="0052220F"/>
    <w:rsid w:val="00523F95"/>
    <w:rsid w:val="00524D65"/>
    <w:rsid w:val="0052566D"/>
    <w:rsid w:val="00525B16"/>
    <w:rsid w:val="00525F52"/>
    <w:rsid w:val="005311E3"/>
    <w:rsid w:val="00533D04"/>
    <w:rsid w:val="00534804"/>
    <w:rsid w:val="00534BDF"/>
    <w:rsid w:val="005350DE"/>
    <w:rsid w:val="005354EA"/>
    <w:rsid w:val="0053585F"/>
    <w:rsid w:val="00535EC4"/>
    <w:rsid w:val="00535ED9"/>
    <w:rsid w:val="0053692B"/>
    <w:rsid w:val="00541853"/>
    <w:rsid w:val="00543BDA"/>
    <w:rsid w:val="005441CC"/>
    <w:rsid w:val="00546ECF"/>
    <w:rsid w:val="005479DA"/>
    <w:rsid w:val="00547BCC"/>
    <w:rsid w:val="0055013B"/>
    <w:rsid w:val="00551F6F"/>
    <w:rsid w:val="0055220C"/>
    <w:rsid w:val="0055405D"/>
    <w:rsid w:val="00555044"/>
    <w:rsid w:val="0055541E"/>
    <w:rsid w:val="005558EF"/>
    <w:rsid w:val="00555986"/>
    <w:rsid w:val="0055621C"/>
    <w:rsid w:val="00556810"/>
    <w:rsid w:val="00557C0F"/>
    <w:rsid w:val="00561475"/>
    <w:rsid w:val="00562915"/>
    <w:rsid w:val="0056487B"/>
    <w:rsid w:val="00564FB9"/>
    <w:rsid w:val="00565971"/>
    <w:rsid w:val="0057067F"/>
    <w:rsid w:val="00571EFE"/>
    <w:rsid w:val="00573D9E"/>
    <w:rsid w:val="00575900"/>
    <w:rsid w:val="00577C51"/>
    <w:rsid w:val="005800C7"/>
    <w:rsid w:val="005801E3"/>
    <w:rsid w:val="00580585"/>
    <w:rsid w:val="00581802"/>
    <w:rsid w:val="00582048"/>
    <w:rsid w:val="00582C64"/>
    <w:rsid w:val="005836A8"/>
    <w:rsid w:val="00583FFA"/>
    <w:rsid w:val="0058409C"/>
    <w:rsid w:val="00584262"/>
    <w:rsid w:val="00586630"/>
    <w:rsid w:val="00587ADD"/>
    <w:rsid w:val="00587D68"/>
    <w:rsid w:val="00590F98"/>
    <w:rsid w:val="00591E27"/>
    <w:rsid w:val="00596160"/>
    <w:rsid w:val="005966E2"/>
    <w:rsid w:val="00597007"/>
    <w:rsid w:val="0059761C"/>
    <w:rsid w:val="005A0966"/>
    <w:rsid w:val="005A1063"/>
    <w:rsid w:val="005A11B7"/>
    <w:rsid w:val="005A260B"/>
    <w:rsid w:val="005A4A1B"/>
    <w:rsid w:val="005A5841"/>
    <w:rsid w:val="005A7830"/>
    <w:rsid w:val="005A7FCE"/>
    <w:rsid w:val="005B0247"/>
    <w:rsid w:val="005B0F3F"/>
    <w:rsid w:val="005B1D9C"/>
    <w:rsid w:val="005B4903"/>
    <w:rsid w:val="005B51CE"/>
    <w:rsid w:val="005B5885"/>
    <w:rsid w:val="005B5CD7"/>
    <w:rsid w:val="005B6CF6"/>
    <w:rsid w:val="005B7422"/>
    <w:rsid w:val="005C1A3B"/>
    <w:rsid w:val="005C29B8"/>
    <w:rsid w:val="005C523B"/>
    <w:rsid w:val="005C5F21"/>
    <w:rsid w:val="005C6704"/>
    <w:rsid w:val="005C7156"/>
    <w:rsid w:val="005D0C75"/>
    <w:rsid w:val="005D4171"/>
    <w:rsid w:val="005D44AC"/>
    <w:rsid w:val="005D6A95"/>
    <w:rsid w:val="005D6B2C"/>
    <w:rsid w:val="005D6D9C"/>
    <w:rsid w:val="005D7FD2"/>
    <w:rsid w:val="005E0390"/>
    <w:rsid w:val="005E2335"/>
    <w:rsid w:val="005E34CA"/>
    <w:rsid w:val="005E3C18"/>
    <w:rsid w:val="005E4520"/>
    <w:rsid w:val="005E5345"/>
    <w:rsid w:val="005E53A3"/>
    <w:rsid w:val="005E6812"/>
    <w:rsid w:val="005E7881"/>
    <w:rsid w:val="005E78E0"/>
    <w:rsid w:val="005F0D9C"/>
    <w:rsid w:val="005F284E"/>
    <w:rsid w:val="005F4712"/>
    <w:rsid w:val="005F4DF9"/>
    <w:rsid w:val="006015CE"/>
    <w:rsid w:val="00601C68"/>
    <w:rsid w:val="00604784"/>
    <w:rsid w:val="00606419"/>
    <w:rsid w:val="00607D29"/>
    <w:rsid w:val="00607F5A"/>
    <w:rsid w:val="00612952"/>
    <w:rsid w:val="00612DB6"/>
    <w:rsid w:val="00613C41"/>
    <w:rsid w:val="00614CC1"/>
    <w:rsid w:val="006151C1"/>
    <w:rsid w:val="00615A9D"/>
    <w:rsid w:val="006166D5"/>
    <w:rsid w:val="00616D57"/>
    <w:rsid w:val="00616DF9"/>
    <w:rsid w:val="00617387"/>
    <w:rsid w:val="006205D6"/>
    <w:rsid w:val="006252D8"/>
    <w:rsid w:val="00625872"/>
    <w:rsid w:val="006259BC"/>
    <w:rsid w:val="00625C7F"/>
    <w:rsid w:val="0062636B"/>
    <w:rsid w:val="0062780A"/>
    <w:rsid w:val="00631E6E"/>
    <w:rsid w:val="00632182"/>
    <w:rsid w:val="00632AE0"/>
    <w:rsid w:val="00633C17"/>
    <w:rsid w:val="00634D9E"/>
    <w:rsid w:val="00636E3E"/>
    <w:rsid w:val="006379F7"/>
    <w:rsid w:val="00637E4D"/>
    <w:rsid w:val="00640620"/>
    <w:rsid w:val="00641A1F"/>
    <w:rsid w:val="00643A40"/>
    <w:rsid w:val="00645904"/>
    <w:rsid w:val="006464B9"/>
    <w:rsid w:val="0064680D"/>
    <w:rsid w:val="00651ACB"/>
    <w:rsid w:val="00651C47"/>
    <w:rsid w:val="00652AB2"/>
    <w:rsid w:val="0065377D"/>
    <w:rsid w:val="00653FED"/>
    <w:rsid w:val="00654EC0"/>
    <w:rsid w:val="0065525B"/>
    <w:rsid w:val="00655D4F"/>
    <w:rsid w:val="00655EE2"/>
    <w:rsid w:val="0065646E"/>
    <w:rsid w:val="00656D29"/>
    <w:rsid w:val="00660EC3"/>
    <w:rsid w:val="00661AD4"/>
    <w:rsid w:val="006640E5"/>
    <w:rsid w:val="006641AE"/>
    <w:rsid w:val="006646F1"/>
    <w:rsid w:val="00664929"/>
    <w:rsid w:val="00664F62"/>
    <w:rsid w:val="006655E1"/>
    <w:rsid w:val="00667C61"/>
    <w:rsid w:val="00672060"/>
    <w:rsid w:val="00672BFD"/>
    <w:rsid w:val="00674719"/>
    <w:rsid w:val="006770F4"/>
    <w:rsid w:val="00677A84"/>
    <w:rsid w:val="00677F89"/>
    <w:rsid w:val="0068026D"/>
    <w:rsid w:val="00680A27"/>
    <w:rsid w:val="006816A4"/>
    <w:rsid w:val="006819B8"/>
    <w:rsid w:val="0068402D"/>
    <w:rsid w:val="006840A6"/>
    <w:rsid w:val="006843D0"/>
    <w:rsid w:val="006850CD"/>
    <w:rsid w:val="0068561C"/>
    <w:rsid w:val="00685AAB"/>
    <w:rsid w:val="00685F32"/>
    <w:rsid w:val="00690E68"/>
    <w:rsid w:val="00695D22"/>
    <w:rsid w:val="006A07AA"/>
    <w:rsid w:val="006A12CA"/>
    <w:rsid w:val="006A25E5"/>
    <w:rsid w:val="006A2B46"/>
    <w:rsid w:val="006A336D"/>
    <w:rsid w:val="006A37B9"/>
    <w:rsid w:val="006A66B8"/>
    <w:rsid w:val="006A772A"/>
    <w:rsid w:val="006B2672"/>
    <w:rsid w:val="006B54BF"/>
    <w:rsid w:val="006B5F44"/>
    <w:rsid w:val="006B5F90"/>
    <w:rsid w:val="006B62E4"/>
    <w:rsid w:val="006B6ED9"/>
    <w:rsid w:val="006C04E9"/>
    <w:rsid w:val="006C1BBA"/>
    <w:rsid w:val="006C2079"/>
    <w:rsid w:val="006C5A62"/>
    <w:rsid w:val="006C5D68"/>
    <w:rsid w:val="006C6905"/>
    <w:rsid w:val="006C6976"/>
    <w:rsid w:val="006C6DD0"/>
    <w:rsid w:val="006D04EA"/>
    <w:rsid w:val="006D0AB7"/>
    <w:rsid w:val="006D0B27"/>
    <w:rsid w:val="006D16C4"/>
    <w:rsid w:val="006D2745"/>
    <w:rsid w:val="006D3269"/>
    <w:rsid w:val="006D37BA"/>
    <w:rsid w:val="006D3E96"/>
    <w:rsid w:val="006D4515"/>
    <w:rsid w:val="006D4596"/>
    <w:rsid w:val="006D4BB1"/>
    <w:rsid w:val="006D4F4B"/>
    <w:rsid w:val="006D6593"/>
    <w:rsid w:val="006E23EA"/>
    <w:rsid w:val="006E54E1"/>
    <w:rsid w:val="006F03A8"/>
    <w:rsid w:val="006F2ACA"/>
    <w:rsid w:val="006F2ADC"/>
    <w:rsid w:val="006F2BFE"/>
    <w:rsid w:val="006F31CF"/>
    <w:rsid w:val="006F31E9"/>
    <w:rsid w:val="006F6284"/>
    <w:rsid w:val="00700265"/>
    <w:rsid w:val="007002C5"/>
    <w:rsid w:val="00704387"/>
    <w:rsid w:val="00704E47"/>
    <w:rsid w:val="00707669"/>
    <w:rsid w:val="00707C04"/>
    <w:rsid w:val="00710DD2"/>
    <w:rsid w:val="00711BD8"/>
    <w:rsid w:val="00711CBA"/>
    <w:rsid w:val="00711FB5"/>
    <w:rsid w:val="00712A01"/>
    <w:rsid w:val="00714F58"/>
    <w:rsid w:val="00717B6F"/>
    <w:rsid w:val="00722FBF"/>
    <w:rsid w:val="00722FC2"/>
    <w:rsid w:val="00724879"/>
    <w:rsid w:val="00724E1B"/>
    <w:rsid w:val="00725699"/>
    <w:rsid w:val="00725949"/>
    <w:rsid w:val="00727FA2"/>
    <w:rsid w:val="00730557"/>
    <w:rsid w:val="00731D7F"/>
    <w:rsid w:val="007322D9"/>
    <w:rsid w:val="00732424"/>
    <w:rsid w:val="00732BC0"/>
    <w:rsid w:val="007366A6"/>
    <w:rsid w:val="0073720F"/>
    <w:rsid w:val="00737796"/>
    <w:rsid w:val="00741537"/>
    <w:rsid w:val="0074165C"/>
    <w:rsid w:val="00741C9B"/>
    <w:rsid w:val="00742C35"/>
    <w:rsid w:val="007432CA"/>
    <w:rsid w:val="007439EB"/>
    <w:rsid w:val="00743CB4"/>
    <w:rsid w:val="00743F0A"/>
    <w:rsid w:val="007444E8"/>
    <w:rsid w:val="0074548E"/>
    <w:rsid w:val="00745773"/>
    <w:rsid w:val="00746800"/>
    <w:rsid w:val="007501A8"/>
    <w:rsid w:val="007508D7"/>
    <w:rsid w:val="00750D61"/>
    <w:rsid w:val="00750EE1"/>
    <w:rsid w:val="007517B4"/>
    <w:rsid w:val="007528F7"/>
    <w:rsid w:val="00752B4D"/>
    <w:rsid w:val="00752CF7"/>
    <w:rsid w:val="00753A43"/>
    <w:rsid w:val="00754C70"/>
    <w:rsid w:val="00754FA8"/>
    <w:rsid w:val="00755402"/>
    <w:rsid w:val="00755E91"/>
    <w:rsid w:val="00756B26"/>
    <w:rsid w:val="00756EDF"/>
    <w:rsid w:val="007600E3"/>
    <w:rsid w:val="00761B59"/>
    <w:rsid w:val="00761D7A"/>
    <w:rsid w:val="00762513"/>
    <w:rsid w:val="00765C43"/>
    <w:rsid w:val="00765EFB"/>
    <w:rsid w:val="00767076"/>
    <w:rsid w:val="007671CA"/>
    <w:rsid w:val="00767C61"/>
    <w:rsid w:val="0077008A"/>
    <w:rsid w:val="00773C1F"/>
    <w:rsid w:val="00774DA4"/>
    <w:rsid w:val="007763B6"/>
    <w:rsid w:val="00776599"/>
    <w:rsid w:val="0078041A"/>
    <w:rsid w:val="0078087D"/>
    <w:rsid w:val="0078114B"/>
    <w:rsid w:val="00781DD2"/>
    <w:rsid w:val="00783ECF"/>
    <w:rsid w:val="0078413A"/>
    <w:rsid w:val="00784607"/>
    <w:rsid w:val="007955E7"/>
    <w:rsid w:val="007959E8"/>
    <w:rsid w:val="00795E9C"/>
    <w:rsid w:val="007A0521"/>
    <w:rsid w:val="007A16D8"/>
    <w:rsid w:val="007A170E"/>
    <w:rsid w:val="007A2E12"/>
    <w:rsid w:val="007A3475"/>
    <w:rsid w:val="007A41C8"/>
    <w:rsid w:val="007A54CE"/>
    <w:rsid w:val="007A6C3C"/>
    <w:rsid w:val="007A6FD9"/>
    <w:rsid w:val="007A7FFA"/>
    <w:rsid w:val="007B04EB"/>
    <w:rsid w:val="007B0D4F"/>
    <w:rsid w:val="007B5A3D"/>
    <w:rsid w:val="007B5B95"/>
    <w:rsid w:val="007B68EA"/>
    <w:rsid w:val="007B7453"/>
    <w:rsid w:val="007B7900"/>
    <w:rsid w:val="007C1E8B"/>
    <w:rsid w:val="007C2D89"/>
    <w:rsid w:val="007C4256"/>
    <w:rsid w:val="007C4593"/>
    <w:rsid w:val="007C5309"/>
    <w:rsid w:val="007C6069"/>
    <w:rsid w:val="007D06C4"/>
    <w:rsid w:val="007D1352"/>
    <w:rsid w:val="007D194B"/>
    <w:rsid w:val="007D2111"/>
    <w:rsid w:val="007D2508"/>
    <w:rsid w:val="007D346A"/>
    <w:rsid w:val="007D3668"/>
    <w:rsid w:val="007D58D0"/>
    <w:rsid w:val="007D6518"/>
    <w:rsid w:val="007D76BD"/>
    <w:rsid w:val="007E0BF1"/>
    <w:rsid w:val="007E1BC7"/>
    <w:rsid w:val="007E1D72"/>
    <w:rsid w:val="007E6E97"/>
    <w:rsid w:val="007F0C11"/>
    <w:rsid w:val="007F0ED8"/>
    <w:rsid w:val="007F0F63"/>
    <w:rsid w:val="007F21CC"/>
    <w:rsid w:val="007F5B22"/>
    <w:rsid w:val="007F5B56"/>
    <w:rsid w:val="007F75CE"/>
    <w:rsid w:val="008013A4"/>
    <w:rsid w:val="00802592"/>
    <w:rsid w:val="008027CE"/>
    <w:rsid w:val="00802F42"/>
    <w:rsid w:val="00803E4D"/>
    <w:rsid w:val="00804383"/>
    <w:rsid w:val="00804BB7"/>
    <w:rsid w:val="00804D41"/>
    <w:rsid w:val="00807504"/>
    <w:rsid w:val="008076D0"/>
    <w:rsid w:val="00807F08"/>
    <w:rsid w:val="00810257"/>
    <w:rsid w:val="008104F5"/>
    <w:rsid w:val="00811072"/>
    <w:rsid w:val="008111DC"/>
    <w:rsid w:val="00811369"/>
    <w:rsid w:val="00815419"/>
    <w:rsid w:val="008163C8"/>
    <w:rsid w:val="008164A1"/>
    <w:rsid w:val="00817325"/>
    <w:rsid w:val="008209E6"/>
    <w:rsid w:val="008216D3"/>
    <w:rsid w:val="008221EC"/>
    <w:rsid w:val="00823303"/>
    <w:rsid w:val="008233B2"/>
    <w:rsid w:val="00823A9F"/>
    <w:rsid w:val="00823C85"/>
    <w:rsid w:val="00825138"/>
    <w:rsid w:val="008269DD"/>
    <w:rsid w:val="008278AE"/>
    <w:rsid w:val="0083019D"/>
    <w:rsid w:val="00830621"/>
    <w:rsid w:val="008315E5"/>
    <w:rsid w:val="008326D9"/>
    <w:rsid w:val="0083348C"/>
    <w:rsid w:val="00836749"/>
    <w:rsid w:val="008373D3"/>
    <w:rsid w:val="00840617"/>
    <w:rsid w:val="00840F84"/>
    <w:rsid w:val="008412AD"/>
    <w:rsid w:val="00841CDD"/>
    <w:rsid w:val="00842A47"/>
    <w:rsid w:val="00843C13"/>
    <w:rsid w:val="00844336"/>
    <w:rsid w:val="008454F8"/>
    <w:rsid w:val="00847095"/>
    <w:rsid w:val="0085173A"/>
    <w:rsid w:val="00852118"/>
    <w:rsid w:val="0085320C"/>
    <w:rsid w:val="00853ACF"/>
    <w:rsid w:val="00856316"/>
    <w:rsid w:val="00856E87"/>
    <w:rsid w:val="0085723B"/>
    <w:rsid w:val="008603CE"/>
    <w:rsid w:val="008620FC"/>
    <w:rsid w:val="008627A5"/>
    <w:rsid w:val="00863E05"/>
    <w:rsid w:val="008650F6"/>
    <w:rsid w:val="00865ACA"/>
    <w:rsid w:val="00865D28"/>
    <w:rsid w:val="00865F85"/>
    <w:rsid w:val="0086604C"/>
    <w:rsid w:val="0086703F"/>
    <w:rsid w:val="008679F7"/>
    <w:rsid w:val="00867C10"/>
    <w:rsid w:val="00870439"/>
    <w:rsid w:val="00870DA1"/>
    <w:rsid w:val="008737F2"/>
    <w:rsid w:val="00873914"/>
    <w:rsid w:val="00880892"/>
    <w:rsid w:val="00880A5F"/>
    <w:rsid w:val="00883F78"/>
    <w:rsid w:val="00883F93"/>
    <w:rsid w:val="00884DB3"/>
    <w:rsid w:val="00885A9D"/>
    <w:rsid w:val="00885F92"/>
    <w:rsid w:val="008864F6"/>
    <w:rsid w:val="0089049D"/>
    <w:rsid w:val="008911C3"/>
    <w:rsid w:val="008928C9"/>
    <w:rsid w:val="008930CB"/>
    <w:rsid w:val="008938DC"/>
    <w:rsid w:val="00893FD1"/>
    <w:rsid w:val="00894836"/>
    <w:rsid w:val="00895172"/>
    <w:rsid w:val="00895680"/>
    <w:rsid w:val="00895879"/>
    <w:rsid w:val="00896DFF"/>
    <w:rsid w:val="0089762C"/>
    <w:rsid w:val="008A1893"/>
    <w:rsid w:val="008A3215"/>
    <w:rsid w:val="008A52B9"/>
    <w:rsid w:val="008A57E6"/>
    <w:rsid w:val="008A6F81"/>
    <w:rsid w:val="008A769A"/>
    <w:rsid w:val="008A7FBA"/>
    <w:rsid w:val="008B0C9C"/>
    <w:rsid w:val="008B166D"/>
    <w:rsid w:val="008B17F4"/>
    <w:rsid w:val="008B3615"/>
    <w:rsid w:val="008B4AC4"/>
    <w:rsid w:val="008B50C8"/>
    <w:rsid w:val="008B5281"/>
    <w:rsid w:val="008B5B63"/>
    <w:rsid w:val="008B5BE9"/>
    <w:rsid w:val="008B7E05"/>
    <w:rsid w:val="008C03AF"/>
    <w:rsid w:val="008C1797"/>
    <w:rsid w:val="008C219C"/>
    <w:rsid w:val="008C22E6"/>
    <w:rsid w:val="008C2979"/>
    <w:rsid w:val="008C2C54"/>
    <w:rsid w:val="008C341B"/>
    <w:rsid w:val="008C383E"/>
    <w:rsid w:val="008C475E"/>
    <w:rsid w:val="008C53B0"/>
    <w:rsid w:val="008C546D"/>
    <w:rsid w:val="008C619A"/>
    <w:rsid w:val="008C6A40"/>
    <w:rsid w:val="008C6AE6"/>
    <w:rsid w:val="008D0CE8"/>
    <w:rsid w:val="008D16BD"/>
    <w:rsid w:val="008D2336"/>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7AC"/>
    <w:rsid w:val="008E6A84"/>
    <w:rsid w:val="008F0172"/>
    <w:rsid w:val="008F0CDC"/>
    <w:rsid w:val="008F17A3"/>
    <w:rsid w:val="008F1ED3"/>
    <w:rsid w:val="008F22AD"/>
    <w:rsid w:val="008F23A5"/>
    <w:rsid w:val="008F49C9"/>
    <w:rsid w:val="008F4C29"/>
    <w:rsid w:val="008F5EB1"/>
    <w:rsid w:val="008F5EEB"/>
    <w:rsid w:val="008F70BD"/>
    <w:rsid w:val="008F788F"/>
    <w:rsid w:val="008F7EA2"/>
    <w:rsid w:val="00900327"/>
    <w:rsid w:val="00902722"/>
    <w:rsid w:val="009027BC"/>
    <w:rsid w:val="00903571"/>
    <w:rsid w:val="0090580B"/>
    <w:rsid w:val="009062E6"/>
    <w:rsid w:val="009065D3"/>
    <w:rsid w:val="00911BE5"/>
    <w:rsid w:val="00912307"/>
    <w:rsid w:val="009125F9"/>
    <w:rsid w:val="00912852"/>
    <w:rsid w:val="00913CA9"/>
    <w:rsid w:val="009145AE"/>
    <w:rsid w:val="009146CE"/>
    <w:rsid w:val="00914B91"/>
    <w:rsid w:val="00914CA7"/>
    <w:rsid w:val="00915C3E"/>
    <w:rsid w:val="009161A8"/>
    <w:rsid w:val="00922FBC"/>
    <w:rsid w:val="009245F5"/>
    <w:rsid w:val="009249EC"/>
    <w:rsid w:val="009273B3"/>
    <w:rsid w:val="00927591"/>
    <w:rsid w:val="009304FE"/>
    <w:rsid w:val="009305B5"/>
    <w:rsid w:val="009319E3"/>
    <w:rsid w:val="00933AEE"/>
    <w:rsid w:val="00935D0A"/>
    <w:rsid w:val="00936321"/>
    <w:rsid w:val="00937659"/>
    <w:rsid w:val="00937A20"/>
    <w:rsid w:val="009429D5"/>
    <w:rsid w:val="00942BF1"/>
    <w:rsid w:val="0094372E"/>
    <w:rsid w:val="00945180"/>
    <w:rsid w:val="009452F5"/>
    <w:rsid w:val="00945428"/>
    <w:rsid w:val="00945450"/>
    <w:rsid w:val="0094607B"/>
    <w:rsid w:val="0095004E"/>
    <w:rsid w:val="00950DB4"/>
    <w:rsid w:val="00951EC3"/>
    <w:rsid w:val="00953604"/>
    <w:rsid w:val="0095496B"/>
    <w:rsid w:val="009562C0"/>
    <w:rsid w:val="009570E5"/>
    <w:rsid w:val="009610DC"/>
    <w:rsid w:val="00961490"/>
    <w:rsid w:val="0096381A"/>
    <w:rsid w:val="00964C3C"/>
    <w:rsid w:val="00965416"/>
    <w:rsid w:val="00965E04"/>
    <w:rsid w:val="009665B5"/>
    <w:rsid w:val="009674AD"/>
    <w:rsid w:val="00970CDC"/>
    <w:rsid w:val="00973564"/>
    <w:rsid w:val="009748A4"/>
    <w:rsid w:val="00977010"/>
    <w:rsid w:val="00977D02"/>
    <w:rsid w:val="009809BB"/>
    <w:rsid w:val="009812E6"/>
    <w:rsid w:val="00983525"/>
    <w:rsid w:val="0098364B"/>
    <w:rsid w:val="00983B4D"/>
    <w:rsid w:val="00983FCB"/>
    <w:rsid w:val="009841C8"/>
    <w:rsid w:val="009849FB"/>
    <w:rsid w:val="00985AE2"/>
    <w:rsid w:val="00986B5B"/>
    <w:rsid w:val="00990428"/>
    <w:rsid w:val="009911AF"/>
    <w:rsid w:val="00991875"/>
    <w:rsid w:val="00991F92"/>
    <w:rsid w:val="00992985"/>
    <w:rsid w:val="00993889"/>
    <w:rsid w:val="00994083"/>
    <w:rsid w:val="0099551B"/>
    <w:rsid w:val="00997BF1"/>
    <w:rsid w:val="009A089C"/>
    <w:rsid w:val="009A08E7"/>
    <w:rsid w:val="009A118E"/>
    <w:rsid w:val="009A21CD"/>
    <w:rsid w:val="009A278C"/>
    <w:rsid w:val="009A2BC2"/>
    <w:rsid w:val="009A42C1"/>
    <w:rsid w:val="009A44DF"/>
    <w:rsid w:val="009A5429"/>
    <w:rsid w:val="009A72AD"/>
    <w:rsid w:val="009B09E0"/>
    <w:rsid w:val="009B0BC5"/>
    <w:rsid w:val="009B1247"/>
    <w:rsid w:val="009B46F9"/>
    <w:rsid w:val="009B49A7"/>
    <w:rsid w:val="009B5305"/>
    <w:rsid w:val="009B6029"/>
    <w:rsid w:val="009B6971"/>
    <w:rsid w:val="009C27F1"/>
    <w:rsid w:val="009C3152"/>
    <w:rsid w:val="009C4CFA"/>
    <w:rsid w:val="009C5070"/>
    <w:rsid w:val="009D112C"/>
    <w:rsid w:val="009D47FA"/>
    <w:rsid w:val="009D4819"/>
    <w:rsid w:val="009D4C5B"/>
    <w:rsid w:val="009D4D3B"/>
    <w:rsid w:val="009D50D2"/>
    <w:rsid w:val="009D6BCA"/>
    <w:rsid w:val="009D74DB"/>
    <w:rsid w:val="009E041D"/>
    <w:rsid w:val="009E0F62"/>
    <w:rsid w:val="009E4A58"/>
    <w:rsid w:val="009E5A2D"/>
    <w:rsid w:val="009E5AB2"/>
    <w:rsid w:val="009E5C2E"/>
    <w:rsid w:val="009E5FA1"/>
    <w:rsid w:val="009E6219"/>
    <w:rsid w:val="009F01C4"/>
    <w:rsid w:val="009F03B3"/>
    <w:rsid w:val="009F1AC9"/>
    <w:rsid w:val="009F5C93"/>
    <w:rsid w:val="00A0096C"/>
    <w:rsid w:val="00A01757"/>
    <w:rsid w:val="00A02552"/>
    <w:rsid w:val="00A028C0"/>
    <w:rsid w:val="00A02BAE"/>
    <w:rsid w:val="00A04492"/>
    <w:rsid w:val="00A05B50"/>
    <w:rsid w:val="00A06A6B"/>
    <w:rsid w:val="00A07E47"/>
    <w:rsid w:val="00A12937"/>
    <w:rsid w:val="00A129D0"/>
    <w:rsid w:val="00A12C33"/>
    <w:rsid w:val="00A138BA"/>
    <w:rsid w:val="00A14C8E"/>
    <w:rsid w:val="00A153D9"/>
    <w:rsid w:val="00A15F09"/>
    <w:rsid w:val="00A169B6"/>
    <w:rsid w:val="00A20837"/>
    <w:rsid w:val="00A20F54"/>
    <w:rsid w:val="00A224B9"/>
    <w:rsid w:val="00A2271D"/>
    <w:rsid w:val="00A237D5"/>
    <w:rsid w:val="00A2768F"/>
    <w:rsid w:val="00A30EFC"/>
    <w:rsid w:val="00A31984"/>
    <w:rsid w:val="00A31F69"/>
    <w:rsid w:val="00A328C6"/>
    <w:rsid w:val="00A32D73"/>
    <w:rsid w:val="00A3367B"/>
    <w:rsid w:val="00A3597D"/>
    <w:rsid w:val="00A3643B"/>
    <w:rsid w:val="00A36DD1"/>
    <w:rsid w:val="00A4006C"/>
    <w:rsid w:val="00A40091"/>
    <w:rsid w:val="00A40111"/>
    <w:rsid w:val="00A4030F"/>
    <w:rsid w:val="00A41C79"/>
    <w:rsid w:val="00A41CB5"/>
    <w:rsid w:val="00A4291E"/>
    <w:rsid w:val="00A42CDF"/>
    <w:rsid w:val="00A4452E"/>
    <w:rsid w:val="00A4472C"/>
    <w:rsid w:val="00A44966"/>
    <w:rsid w:val="00A44E69"/>
    <w:rsid w:val="00A4661E"/>
    <w:rsid w:val="00A47208"/>
    <w:rsid w:val="00A512D1"/>
    <w:rsid w:val="00A53E32"/>
    <w:rsid w:val="00A55BD6"/>
    <w:rsid w:val="00A55D50"/>
    <w:rsid w:val="00A57142"/>
    <w:rsid w:val="00A60642"/>
    <w:rsid w:val="00A648CD"/>
    <w:rsid w:val="00A6537A"/>
    <w:rsid w:val="00A65824"/>
    <w:rsid w:val="00A6606C"/>
    <w:rsid w:val="00A67866"/>
    <w:rsid w:val="00A70B07"/>
    <w:rsid w:val="00A723F8"/>
    <w:rsid w:val="00A73185"/>
    <w:rsid w:val="00A758AB"/>
    <w:rsid w:val="00A76915"/>
    <w:rsid w:val="00A77CCB"/>
    <w:rsid w:val="00A81E86"/>
    <w:rsid w:val="00A83D8D"/>
    <w:rsid w:val="00A8446B"/>
    <w:rsid w:val="00A8473F"/>
    <w:rsid w:val="00A862D6"/>
    <w:rsid w:val="00A869C5"/>
    <w:rsid w:val="00A86D64"/>
    <w:rsid w:val="00A8715E"/>
    <w:rsid w:val="00A9030E"/>
    <w:rsid w:val="00A9218A"/>
    <w:rsid w:val="00A9295B"/>
    <w:rsid w:val="00A93B09"/>
    <w:rsid w:val="00A94247"/>
    <w:rsid w:val="00A952D7"/>
    <w:rsid w:val="00A95A6E"/>
    <w:rsid w:val="00A963F7"/>
    <w:rsid w:val="00A96AD8"/>
    <w:rsid w:val="00AA052C"/>
    <w:rsid w:val="00AA1046"/>
    <w:rsid w:val="00AA17CC"/>
    <w:rsid w:val="00AA1923"/>
    <w:rsid w:val="00AA1AD2"/>
    <w:rsid w:val="00AA1E45"/>
    <w:rsid w:val="00AA2BA9"/>
    <w:rsid w:val="00AA4286"/>
    <w:rsid w:val="00AA456B"/>
    <w:rsid w:val="00AA57F5"/>
    <w:rsid w:val="00AA672E"/>
    <w:rsid w:val="00AA6EC9"/>
    <w:rsid w:val="00AA73E5"/>
    <w:rsid w:val="00AA7825"/>
    <w:rsid w:val="00AB0882"/>
    <w:rsid w:val="00AB1889"/>
    <w:rsid w:val="00AB307E"/>
    <w:rsid w:val="00AB41D5"/>
    <w:rsid w:val="00AB58C1"/>
    <w:rsid w:val="00AB6309"/>
    <w:rsid w:val="00AB6C5F"/>
    <w:rsid w:val="00AB7129"/>
    <w:rsid w:val="00AC035E"/>
    <w:rsid w:val="00AC16D6"/>
    <w:rsid w:val="00AC27A6"/>
    <w:rsid w:val="00AC289B"/>
    <w:rsid w:val="00AC30F7"/>
    <w:rsid w:val="00AC3206"/>
    <w:rsid w:val="00AC3A5A"/>
    <w:rsid w:val="00AC4D95"/>
    <w:rsid w:val="00AC5A38"/>
    <w:rsid w:val="00AC5DF4"/>
    <w:rsid w:val="00AC7FC1"/>
    <w:rsid w:val="00AD01FE"/>
    <w:rsid w:val="00AD0AEF"/>
    <w:rsid w:val="00AD11B7"/>
    <w:rsid w:val="00AD1A94"/>
    <w:rsid w:val="00AD1C05"/>
    <w:rsid w:val="00AD2689"/>
    <w:rsid w:val="00AD4126"/>
    <w:rsid w:val="00AD421C"/>
    <w:rsid w:val="00AD44FA"/>
    <w:rsid w:val="00AE070A"/>
    <w:rsid w:val="00AE101C"/>
    <w:rsid w:val="00AE221B"/>
    <w:rsid w:val="00AE37E5"/>
    <w:rsid w:val="00AE5DC4"/>
    <w:rsid w:val="00AE5EB4"/>
    <w:rsid w:val="00AE71A6"/>
    <w:rsid w:val="00AF0C18"/>
    <w:rsid w:val="00AF3377"/>
    <w:rsid w:val="00AF3AC8"/>
    <w:rsid w:val="00AF3B91"/>
    <w:rsid w:val="00AF47C5"/>
    <w:rsid w:val="00AF5398"/>
    <w:rsid w:val="00AF5ED3"/>
    <w:rsid w:val="00AF6050"/>
    <w:rsid w:val="00AF61DB"/>
    <w:rsid w:val="00AF6C36"/>
    <w:rsid w:val="00B007F4"/>
    <w:rsid w:val="00B00F03"/>
    <w:rsid w:val="00B041DA"/>
    <w:rsid w:val="00B049AF"/>
    <w:rsid w:val="00B04B3B"/>
    <w:rsid w:val="00B050D5"/>
    <w:rsid w:val="00B06A04"/>
    <w:rsid w:val="00B07242"/>
    <w:rsid w:val="00B10534"/>
    <w:rsid w:val="00B113DA"/>
    <w:rsid w:val="00B113DB"/>
    <w:rsid w:val="00B11D8A"/>
    <w:rsid w:val="00B12981"/>
    <w:rsid w:val="00B147DD"/>
    <w:rsid w:val="00B156FD"/>
    <w:rsid w:val="00B160EB"/>
    <w:rsid w:val="00B21F61"/>
    <w:rsid w:val="00B22FA0"/>
    <w:rsid w:val="00B261F1"/>
    <w:rsid w:val="00B265BC"/>
    <w:rsid w:val="00B30416"/>
    <w:rsid w:val="00B30477"/>
    <w:rsid w:val="00B30C27"/>
    <w:rsid w:val="00B31FB1"/>
    <w:rsid w:val="00B3332D"/>
    <w:rsid w:val="00B33952"/>
    <w:rsid w:val="00B33C5E"/>
    <w:rsid w:val="00B342F4"/>
    <w:rsid w:val="00B34369"/>
    <w:rsid w:val="00B34DC2"/>
    <w:rsid w:val="00B378E5"/>
    <w:rsid w:val="00B4346D"/>
    <w:rsid w:val="00B440F4"/>
    <w:rsid w:val="00B447A5"/>
    <w:rsid w:val="00B45363"/>
    <w:rsid w:val="00B4654C"/>
    <w:rsid w:val="00B46AF0"/>
    <w:rsid w:val="00B47293"/>
    <w:rsid w:val="00B50E50"/>
    <w:rsid w:val="00B52120"/>
    <w:rsid w:val="00B54ABC"/>
    <w:rsid w:val="00B54DDE"/>
    <w:rsid w:val="00B56FBE"/>
    <w:rsid w:val="00B57375"/>
    <w:rsid w:val="00B60ACF"/>
    <w:rsid w:val="00B61C68"/>
    <w:rsid w:val="00B62762"/>
    <w:rsid w:val="00B62B58"/>
    <w:rsid w:val="00B64C16"/>
    <w:rsid w:val="00B65149"/>
    <w:rsid w:val="00B66567"/>
    <w:rsid w:val="00B66F52"/>
    <w:rsid w:val="00B66FE5"/>
    <w:rsid w:val="00B72880"/>
    <w:rsid w:val="00B74C63"/>
    <w:rsid w:val="00B758BF"/>
    <w:rsid w:val="00B76029"/>
    <w:rsid w:val="00B77EC8"/>
    <w:rsid w:val="00B827A6"/>
    <w:rsid w:val="00B8287C"/>
    <w:rsid w:val="00B829A2"/>
    <w:rsid w:val="00B831CE"/>
    <w:rsid w:val="00B831FF"/>
    <w:rsid w:val="00B845E9"/>
    <w:rsid w:val="00B86677"/>
    <w:rsid w:val="00B87131"/>
    <w:rsid w:val="00B911FC"/>
    <w:rsid w:val="00B92675"/>
    <w:rsid w:val="00B9363A"/>
    <w:rsid w:val="00B939B1"/>
    <w:rsid w:val="00B95850"/>
    <w:rsid w:val="00B9653B"/>
    <w:rsid w:val="00B96903"/>
    <w:rsid w:val="00B96D40"/>
    <w:rsid w:val="00B97386"/>
    <w:rsid w:val="00BA11AE"/>
    <w:rsid w:val="00BA263B"/>
    <w:rsid w:val="00BA3641"/>
    <w:rsid w:val="00BA42B2"/>
    <w:rsid w:val="00BA58D4"/>
    <w:rsid w:val="00BA5B9E"/>
    <w:rsid w:val="00BA6671"/>
    <w:rsid w:val="00BA7C9A"/>
    <w:rsid w:val="00BB203B"/>
    <w:rsid w:val="00BB5613"/>
    <w:rsid w:val="00BB5F8F"/>
    <w:rsid w:val="00BB657A"/>
    <w:rsid w:val="00BC102C"/>
    <w:rsid w:val="00BC1A4E"/>
    <w:rsid w:val="00BC2E0D"/>
    <w:rsid w:val="00BC4790"/>
    <w:rsid w:val="00BC5B27"/>
    <w:rsid w:val="00BC5DC7"/>
    <w:rsid w:val="00BC6B8B"/>
    <w:rsid w:val="00BC72B2"/>
    <w:rsid w:val="00BC73D8"/>
    <w:rsid w:val="00BC7507"/>
    <w:rsid w:val="00BD104D"/>
    <w:rsid w:val="00BD3460"/>
    <w:rsid w:val="00BD3A9B"/>
    <w:rsid w:val="00BD46FE"/>
    <w:rsid w:val="00BD52D7"/>
    <w:rsid w:val="00BD5AD2"/>
    <w:rsid w:val="00BD70B5"/>
    <w:rsid w:val="00BD7A18"/>
    <w:rsid w:val="00BE22F3"/>
    <w:rsid w:val="00BE25A5"/>
    <w:rsid w:val="00BE4385"/>
    <w:rsid w:val="00BE5B52"/>
    <w:rsid w:val="00BE63AF"/>
    <w:rsid w:val="00BE7B8D"/>
    <w:rsid w:val="00BF0993"/>
    <w:rsid w:val="00BF10A9"/>
    <w:rsid w:val="00BF1703"/>
    <w:rsid w:val="00BF231C"/>
    <w:rsid w:val="00BF51E5"/>
    <w:rsid w:val="00BF74A6"/>
    <w:rsid w:val="00BF7B2E"/>
    <w:rsid w:val="00C00DA0"/>
    <w:rsid w:val="00C013AD"/>
    <w:rsid w:val="00C02CA5"/>
    <w:rsid w:val="00C04904"/>
    <w:rsid w:val="00C056B3"/>
    <w:rsid w:val="00C103E5"/>
    <w:rsid w:val="00C10CE7"/>
    <w:rsid w:val="00C1282F"/>
    <w:rsid w:val="00C13319"/>
    <w:rsid w:val="00C13EE9"/>
    <w:rsid w:val="00C1436F"/>
    <w:rsid w:val="00C14E2A"/>
    <w:rsid w:val="00C16380"/>
    <w:rsid w:val="00C20396"/>
    <w:rsid w:val="00C20DD5"/>
    <w:rsid w:val="00C21540"/>
    <w:rsid w:val="00C21906"/>
    <w:rsid w:val="00C21BFA"/>
    <w:rsid w:val="00C21C15"/>
    <w:rsid w:val="00C22148"/>
    <w:rsid w:val="00C24C8D"/>
    <w:rsid w:val="00C25FE2"/>
    <w:rsid w:val="00C26B53"/>
    <w:rsid w:val="00C272EB"/>
    <w:rsid w:val="00C279B2"/>
    <w:rsid w:val="00C27F8A"/>
    <w:rsid w:val="00C31471"/>
    <w:rsid w:val="00C32E04"/>
    <w:rsid w:val="00C33862"/>
    <w:rsid w:val="00C33E50"/>
    <w:rsid w:val="00C34C20"/>
    <w:rsid w:val="00C350C9"/>
    <w:rsid w:val="00C35858"/>
    <w:rsid w:val="00C35A3E"/>
    <w:rsid w:val="00C35CAE"/>
    <w:rsid w:val="00C37A23"/>
    <w:rsid w:val="00C41001"/>
    <w:rsid w:val="00C41665"/>
    <w:rsid w:val="00C416F9"/>
    <w:rsid w:val="00C42130"/>
    <w:rsid w:val="00C423A4"/>
    <w:rsid w:val="00C4497E"/>
    <w:rsid w:val="00C44BF5"/>
    <w:rsid w:val="00C471A4"/>
    <w:rsid w:val="00C521D6"/>
    <w:rsid w:val="00C528F8"/>
    <w:rsid w:val="00C55232"/>
    <w:rsid w:val="00C553A4"/>
    <w:rsid w:val="00C55A06"/>
    <w:rsid w:val="00C55D03"/>
    <w:rsid w:val="00C60186"/>
    <w:rsid w:val="00C601BC"/>
    <w:rsid w:val="00C6329F"/>
    <w:rsid w:val="00C63340"/>
    <w:rsid w:val="00C6387D"/>
    <w:rsid w:val="00C64250"/>
    <w:rsid w:val="00C643F9"/>
    <w:rsid w:val="00C64E95"/>
    <w:rsid w:val="00C65C0A"/>
    <w:rsid w:val="00C66CF3"/>
    <w:rsid w:val="00C70F58"/>
    <w:rsid w:val="00C71372"/>
    <w:rsid w:val="00C72410"/>
    <w:rsid w:val="00C7287F"/>
    <w:rsid w:val="00C735A0"/>
    <w:rsid w:val="00C77353"/>
    <w:rsid w:val="00C80CB8"/>
    <w:rsid w:val="00C81779"/>
    <w:rsid w:val="00C819F8"/>
    <w:rsid w:val="00C8248C"/>
    <w:rsid w:val="00C84E33"/>
    <w:rsid w:val="00C85FBE"/>
    <w:rsid w:val="00C864FA"/>
    <w:rsid w:val="00C86D6F"/>
    <w:rsid w:val="00C905FC"/>
    <w:rsid w:val="00C92D03"/>
    <w:rsid w:val="00C930F9"/>
    <w:rsid w:val="00C9319C"/>
    <w:rsid w:val="00C938C8"/>
    <w:rsid w:val="00C9435D"/>
    <w:rsid w:val="00C946AB"/>
    <w:rsid w:val="00C94DF2"/>
    <w:rsid w:val="00C951EE"/>
    <w:rsid w:val="00C95BEF"/>
    <w:rsid w:val="00C96741"/>
    <w:rsid w:val="00C97005"/>
    <w:rsid w:val="00CA0E52"/>
    <w:rsid w:val="00CA12E9"/>
    <w:rsid w:val="00CA1D74"/>
    <w:rsid w:val="00CA2D1B"/>
    <w:rsid w:val="00CA3144"/>
    <w:rsid w:val="00CA375D"/>
    <w:rsid w:val="00CA3DC1"/>
    <w:rsid w:val="00CA5FE6"/>
    <w:rsid w:val="00CA662A"/>
    <w:rsid w:val="00CA7AFD"/>
    <w:rsid w:val="00CA7C3C"/>
    <w:rsid w:val="00CB0189"/>
    <w:rsid w:val="00CB0846"/>
    <w:rsid w:val="00CB0BA2"/>
    <w:rsid w:val="00CB1A42"/>
    <w:rsid w:val="00CB1B0C"/>
    <w:rsid w:val="00CB2C0B"/>
    <w:rsid w:val="00CB48DC"/>
    <w:rsid w:val="00CB4A77"/>
    <w:rsid w:val="00CB517D"/>
    <w:rsid w:val="00CC038D"/>
    <w:rsid w:val="00CC0717"/>
    <w:rsid w:val="00CC08DB"/>
    <w:rsid w:val="00CC39FF"/>
    <w:rsid w:val="00CC3C2F"/>
    <w:rsid w:val="00CC4AC8"/>
    <w:rsid w:val="00CC5233"/>
    <w:rsid w:val="00CC5DE6"/>
    <w:rsid w:val="00CC6E4E"/>
    <w:rsid w:val="00CC6FE8"/>
    <w:rsid w:val="00CC7202"/>
    <w:rsid w:val="00CC7D8F"/>
    <w:rsid w:val="00CC7DA9"/>
    <w:rsid w:val="00CD2165"/>
    <w:rsid w:val="00CD21CC"/>
    <w:rsid w:val="00CD2808"/>
    <w:rsid w:val="00CD28BF"/>
    <w:rsid w:val="00CD4092"/>
    <w:rsid w:val="00CD4A20"/>
    <w:rsid w:val="00CD50A1"/>
    <w:rsid w:val="00CD519E"/>
    <w:rsid w:val="00CD561D"/>
    <w:rsid w:val="00CE0C4F"/>
    <w:rsid w:val="00CE30EA"/>
    <w:rsid w:val="00CE3BD9"/>
    <w:rsid w:val="00CE5703"/>
    <w:rsid w:val="00CE723E"/>
    <w:rsid w:val="00CF048A"/>
    <w:rsid w:val="00CF155A"/>
    <w:rsid w:val="00CF2947"/>
    <w:rsid w:val="00CF36FA"/>
    <w:rsid w:val="00CF6300"/>
    <w:rsid w:val="00CF686F"/>
    <w:rsid w:val="00CF6E60"/>
    <w:rsid w:val="00CF7009"/>
    <w:rsid w:val="00CF7BCA"/>
    <w:rsid w:val="00D008FD"/>
    <w:rsid w:val="00D01662"/>
    <w:rsid w:val="00D0321C"/>
    <w:rsid w:val="00D035EC"/>
    <w:rsid w:val="00D051EB"/>
    <w:rsid w:val="00D06861"/>
    <w:rsid w:val="00D06AB1"/>
    <w:rsid w:val="00D072ED"/>
    <w:rsid w:val="00D07319"/>
    <w:rsid w:val="00D07A16"/>
    <w:rsid w:val="00D1067E"/>
    <w:rsid w:val="00D10F50"/>
    <w:rsid w:val="00D11272"/>
    <w:rsid w:val="00D11B84"/>
    <w:rsid w:val="00D126F5"/>
    <w:rsid w:val="00D1489E"/>
    <w:rsid w:val="00D20600"/>
    <w:rsid w:val="00D20737"/>
    <w:rsid w:val="00D21C08"/>
    <w:rsid w:val="00D21E81"/>
    <w:rsid w:val="00D223DE"/>
    <w:rsid w:val="00D22DE1"/>
    <w:rsid w:val="00D24B69"/>
    <w:rsid w:val="00D25557"/>
    <w:rsid w:val="00D25E37"/>
    <w:rsid w:val="00D26402"/>
    <w:rsid w:val="00D2661A"/>
    <w:rsid w:val="00D27582"/>
    <w:rsid w:val="00D27EC4"/>
    <w:rsid w:val="00D27F19"/>
    <w:rsid w:val="00D32719"/>
    <w:rsid w:val="00D32EEA"/>
    <w:rsid w:val="00D33333"/>
    <w:rsid w:val="00D33457"/>
    <w:rsid w:val="00D352A2"/>
    <w:rsid w:val="00D35907"/>
    <w:rsid w:val="00D3792B"/>
    <w:rsid w:val="00D4162B"/>
    <w:rsid w:val="00D4514F"/>
    <w:rsid w:val="00D451E2"/>
    <w:rsid w:val="00D45E89"/>
    <w:rsid w:val="00D45E8D"/>
    <w:rsid w:val="00D466AE"/>
    <w:rsid w:val="00D46A59"/>
    <w:rsid w:val="00D4734F"/>
    <w:rsid w:val="00D47A90"/>
    <w:rsid w:val="00D47AD1"/>
    <w:rsid w:val="00D51BF3"/>
    <w:rsid w:val="00D5534B"/>
    <w:rsid w:val="00D557E2"/>
    <w:rsid w:val="00D57234"/>
    <w:rsid w:val="00D6017B"/>
    <w:rsid w:val="00D60BB6"/>
    <w:rsid w:val="00D62C17"/>
    <w:rsid w:val="00D649A2"/>
    <w:rsid w:val="00D65B89"/>
    <w:rsid w:val="00D66846"/>
    <w:rsid w:val="00D668B5"/>
    <w:rsid w:val="00D673F7"/>
    <w:rsid w:val="00D675FB"/>
    <w:rsid w:val="00D67F95"/>
    <w:rsid w:val="00D71F25"/>
    <w:rsid w:val="00D726F4"/>
    <w:rsid w:val="00D72A9C"/>
    <w:rsid w:val="00D74944"/>
    <w:rsid w:val="00D74B55"/>
    <w:rsid w:val="00D76FC9"/>
    <w:rsid w:val="00D77031"/>
    <w:rsid w:val="00D81309"/>
    <w:rsid w:val="00D81EFC"/>
    <w:rsid w:val="00D84941"/>
    <w:rsid w:val="00D84FA1"/>
    <w:rsid w:val="00D851F0"/>
    <w:rsid w:val="00D86DB7"/>
    <w:rsid w:val="00D874DA"/>
    <w:rsid w:val="00D87B78"/>
    <w:rsid w:val="00D9074B"/>
    <w:rsid w:val="00D926D0"/>
    <w:rsid w:val="00D93030"/>
    <w:rsid w:val="00D950E1"/>
    <w:rsid w:val="00D952A6"/>
    <w:rsid w:val="00D9645C"/>
    <w:rsid w:val="00D9716A"/>
    <w:rsid w:val="00D97F99"/>
    <w:rsid w:val="00DA19EA"/>
    <w:rsid w:val="00DA1E08"/>
    <w:rsid w:val="00DA2301"/>
    <w:rsid w:val="00DA24F8"/>
    <w:rsid w:val="00DA28E8"/>
    <w:rsid w:val="00DA38D3"/>
    <w:rsid w:val="00DA3932"/>
    <w:rsid w:val="00DA3AFC"/>
    <w:rsid w:val="00DA3C6A"/>
    <w:rsid w:val="00DA5191"/>
    <w:rsid w:val="00DA64F8"/>
    <w:rsid w:val="00DA6C15"/>
    <w:rsid w:val="00DA6D6D"/>
    <w:rsid w:val="00DB0258"/>
    <w:rsid w:val="00DB08BD"/>
    <w:rsid w:val="00DB0EDA"/>
    <w:rsid w:val="00DB38EE"/>
    <w:rsid w:val="00DB498B"/>
    <w:rsid w:val="00DB66CA"/>
    <w:rsid w:val="00DB6BCA"/>
    <w:rsid w:val="00DB73F7"/>
    <w:rsid w:val="00DC0321"/>
    <w:rsid w:val="00DC04AB"/>
    <w:rsid w:val="00DC2C47"/>
    <w:rsid w:val="00DC3067"/>
    <w:rsid w:val="00DC30AC"/>
    <w:rsid w:val="00DC370B"/>
    <w:rsid w:val="00DC47DD"/>
    <w:rsid w:val="00DC5B90"/>
    <w:rsid w:val="00DC6034"/>
    <w:rsid w:val="00DD00FF"/>
    <w:rsid w:val="00DD0619"/>
    <w:rsid w:val="00DD07DC"/>
    <w:rsid w:val="00DD07FB"/>
    <w:rsid w:val="00DD25A7"/>
    <w:rsid w:val="00DD25C6"/>
    <w:rsid w:val="00DD4740"/>
    <w:rsid w:val="00DD4AC6"/>
    <w:rsid w:val="00DD4FE5"/>
    <w:rsid w:val="00DD54B0"/>
    <w:rsid w:val="00DD57EE"/>
    <w:rsid w:val="00DD6BCC"/>
    <w:rsid w:val="00DE0A4B"/>
    <w:rsid w:val="00DE2410"/>
    <w:rsid w:val="00DE2939"/>
    <w:rsid w:val="00DE40A8"/>
    <w:rsid w:val="00DE6E81"/>
    <w:rsid w:val="00DE703F"/>
    <w:rsid w:val="00DE7595"/>
    <w:rsid w:val="00DF1544"/>
    <w:rsid w:val="00DF1961"/>
    <w:rsid w:val="00DF44DE"/>
    <w:rsid w:val="00DF4CA1"/>
    <w:rsid w:val="00DF5E34"/>
    <w:rsid w:val="00DF5F11"/>
    <w:rsid w:val="00E01138"/>
    <w:rsid w:val="00E02DFB"/>
    <w:rsid w:val="00E030F9"/>
    <w:rsid w:val="00E0311A"/>
    <w:rsid w:val="00E03138"/>
    <w:rsid w:val="00E03E21"/>
    <w:rsid w:val="00E04121"/>
    <w:rsid w:val="00E0532D"/>
    <w:rsid w:val="00E053AB"/>
    <w:rsid w:val="00E06404"/>
    <w:rsid w:val="00E065D2"/>
    <w:rsid w:val="00E10476"/>
    <w:rsid w:val="00E11379"/>
    <w:rsid w:val="00E11A85"/>
    <w:rsid w:val="00E12495"/>
    <w:rsid w:val="00E12CB0"/>
    <w:rsid w:val="00E12EF0"/>
    <w:rsid w:val="00E14EE7"/>
    <w:rsid w:val="00E15CCD"/>
    <w:rsid w:val="00E202EF"/>
    <w:rsid w:val="00E210B5"/>
    <w:rsid w:val="00E23B10"/>
    <w:rsid w:val="00E23D99"/>
    <w:rsid w:val="00E2406B"/>
    <w:rsid w:val="00E2552F"/>
    <w:rsid w:val="00E2660F"/>
    <w:rsid w:val="00E30026"/>
    <w:rsid w:val="00E3137A"/>
    <w:rsid w:val="00E3254C"/>
    <w:rsid w:val="00E32CCF"/>
    <w:rsid w:val="00E33ACB"/>
    <w:rsid w:val="00E34A98"/>
    <w:rsid w:val="00E35D1E"/>
    <w:rsid w:val="00E364F9"/>
    <w:rsid w:val="00E365FA"/>
    <w:rsid w:val="00E36789"/>
    <w:rsid w:val="00E3705A"/>
    <w:rsid w:val="00E401FE"/>
    <w:rsid w:val="00E40A77"/>
    <w:rsid w:val="00E44A83"/>
    <w:rsid w:val="00E46473"/>
    <w:rsid w:val="00E502C1"/>
    <w:rsid w:val="00E502DD"/>
    <w:rsid w:val="00E50D3A"/>
    <w:rsid w:val="00E51387"/>
    <w:rsid w:val="00E51E68"/>
    <w:rsid w:val="00E520C0"/>
    <w:rsid w:val="00E5269D"/>
    <w:rsid w:val="00E52EFD"/>
    <w:rsid w:val="00E5359E"/>
    <w:rsid w:val="00E5408A"/>
    <w:rsid w:val="00E5510E"/>
    <w:rsid w:val="00E5571F"/>
    <w:rsid w:val="00E558C9"/>
    <w:rsid w:val="00E56800"/>
    <w:rsid w:val="00E60C63"/>
    <w:rsid w:val="00E62FF9"/>
    <w:rsid w:val="00E635D6"/>
    <w:rsid w:val="00E639BC"/>
    <w:rsid w:val="00E63F50"/>
    <w:rsid w:val="00E664CC"/>
    <w:rsid w:val="00E670F2"/>
    <w:rsid w:val="00E67BA4"/>
    <w:rsid w:val="00E67EE7"/>
    <w:rsid w:val="00E70388"/>
    <w:rsid w:val="00E70F92"/>
    <w:rsid w:val="00E7496C"/>
    <w:rsid w:val="00E74C54"/>
    <w:rsid w:val="00E77456"/>
    <w:rsid w:val="00E77A03"/>
    <w:rsid w:val="00E822E8"/>
    <w:rsid w:val="00E82554"/>
    <w:rsid w:val="00E82606"/>
    <w:rsid w:val="00E82958"/>
    <w:rsid w:val="00E8355B"/>
    <w:rsid w:val="00E845BA"/>
    <w:rsid w:val="00E846C8"/>
    <w:rsid w:val="00E84957"/>
    <w:rsid w:val="00E84A55"/>
    <w:rsid w:val="00E85BFF"/>
    <w:rsid w:val="00E90391"/>
    <w:rsid w:val="00E906C2"/>
    <w:rsid w:val="00E91E36"/>
    <w:rsid w:val="00E92905"/>
    <w:rsid w:val="00E9311F"/>
    <w:rsid w:val="00E934D1"/>
    <w:rsid w:val="00E94AF0"/>
    <w:rsid w:val="00E95D13"/>
    <w:rsid w:val="00E95DD3"/>
    <w:rsid w:val="00E969D5"/>
    <w:rsid w:val="00EA3C82"/>
    <w:rsid w:val="00EA41DE"/>
    <w:rsid w:val="00EA58D1"/>
    <w:rsid w:val="00EA61BC"/>
    <w:rsid w:val="00EA681A"/>
    <w:rsid w:val="00EA7309"/>
    <w:rsid w:val="00EA735B"/>
    <w:rsid w:val="00EB17DE"/>
    <w:rsid w:val="00EB1E69"/>
    <w:rsid w:val="00EB2086"/>
    <w:rsid w:val="00EB5EDF"/>
    <w:rsid w:val="00EB60FE"/>
    <w:rsid w:val="00EB6A27"/>
    <w:rsid w:val="00EB74DB"/>
    <w:rsid w:val="00EC473D"/>
    <w:rsid w:val="00EC5359"/>
    <w:rsid w:val="00EC54FD"/>
    <w:rsid w:val="00EC562A"/>
    <w:rsid w:val="00ED067A"/>
    <w:rsid w:val="00ED08C4"/>
    <w:rsid w:val="00ED2B50"/>
    <w:rsid w:val="00ED3584"/>
    <w:rsid w:val="00EE004C"/>
    <w:rsid w:val="00EE0350"/>
    <w:rsid w:val="00EE0719"/>
    <w:rsid w:val="00EE0CA9"/>
    <w:rsid w:val="00EE0E80"/>
    <w:rsid w:val="00EE54A6"/>
    <w:rsid w:val="00EE613F"/>
    <w:rsid w:val="00EE6664"/>
    <w:rsid w:val="00EE7295"/>
    <w:rsid w:val="00EE7869"/>
    <w:rsid w:val="00EE78D2"/>
    <w:rsid w:val="00EF054A"/>
    <w:rsid w:val="00EF3235"/>
    <w:rsid w:val="00EF4BE4"/>
    <w:rsid w:val="00EF5DE6"/>
    <w:rsid w:val="00EF6383"/>
    <w:rsid w:val="00EF7E72"/>
    <w:rsid w:val="00F06D37"/>
    <w:rsid w:val="00F0733F"/>
    <w:rsid w:val="00F07B9D"/>
    <w:rsid w:val="00F11586"/>
    <w:rsid w:val="00F1183B"/>
    <w:rsid w:val="00F11C9F"/>
    <w:rsid w:val="00F12263"/>
    <w:rsid w:val="00F13528"/>
    <w:rsid w:val="00F1409D"/>
    <w:rsid w:val="00F14214"/>
    <w:rsid w:val="00F157A9"/>
    <w:rsid w:val="00F21339"/>
    <w:rsid w:val="00F22FB5"/>
    <w:rsid w:val="00F242C3"/>
    <w:rsid w:val="00F258B1"/>
    <w:rsid w:val="00F25BB6"/>
    <w:rsid w:val="00F26B7E"/>
    <w:rsid w:val="00F270AE"/>
    <w:rsid w:val="00F2726F"/>
    <w:rsid w:val="00F27A3B"/>
    <w:rsid w:val="00F30730"/>
    <w:rsid w:val="00F31B8C"/>
    <w:rsid w:val="00F33817"/>
    <w:rsid w:val="00F378EA"/>
    <w:rsid w:val="00F40CD6"/>
    <w:rsid w:val="00F41597"/>
    <w:rsid w:val="00F420D5"/>
    <w:rsid w:val="00F42AF4"/>
    <w:rsid w:val="00F437A4"/>
    <w:rsid w:val="00F451EA"/>
    <w:rsid w:val="00F45447"/>
    <w:rsid w:val="00F456C6"/>
    <w:rsid w:val="00F4577B"/>
    <w:rsid w:val="00F46496"/>
    <w:rsid w:val="00F474D0"/>
    <w:rsid w:val="00F50179"/>
    <w:rsid w:val="00F515EE"/>
    <w:rsid w:val="00F53F3F"/>
    <w:rsid w:val="00F56511"/>
    <w:rsid w:val="00F606E3"/>
    <w:rsid w:val="00F6194E"/>
    <w:rsid w:val="00F623AC"/>
    <w:rsid w:val="00F63080"/>
    <w:rsid w:val="00F6412A"/>
    <w:rsid w:val="00F648F4"/>
    <w:rsid w:val="00F65893"/>
    <w:rsid w:val="00F66A4A"/>
    <w:rsid w:val="00F66FFB"/>
    <w:rsid w:val="00F67727"/>
    <w:rsid w:val="00F71E22"/>
    <w:rsid w:val="00F72142"/>
    <w:rsid w:val="00F72AE7"/>
    <w:rsid w:val="00F72B06"/>
    <w:rsid w:val="00F73BB6"/>
    <w:rsid w:val="00F740F4"/>
    <w:rsid w:val="00F74173"/>
    <w:rsid w:val="00F77FF6"/>
    <w:rsid w:val="00F81141"/>
    <w:rsid w:val="00F81255"/>
    <w:rsid w:val="00F83339"/>
    <w:rsid w:val="00F833BA"/>
    <w:rsid w:val="00F84FD0"/>
    <w:rsid w:val="00F854E1"/>
    <w:rsid w:val="00F859A8"/>
    <w:rsid w:val="00F860F5"/>
    <w:rsid w:val="00F86D87"/>
    <w:rsid w:val="00F901E7"/>
    <w:rsid w:val="00F9108B"/>
    <w:rsid w:val="00F91349"/>
    <w:rsid w:val="00F91949"/>
    <w:rsid w:val="00F93A8A"/>
    <w:rsid w:val="00F95248"/>
    <w:rsid w:val="00F956A9"/>
    <w:rsid w:val="00F95E03"/>
    <w:rsid w:val="00F963ED"/>
    <w:rsid w:val="00F966CF"/>
    <w:rsid w:val="00F96CAE"/>
    <w:rsid w:val="00F97C99"/>
    <w:rsid w:val="00F97E19"/>
    <w:rsid w:val="00FA38A1"/>
    <w:rsid w:val="00FA4DAC"/>
    <w:rsid w:val="00FA56CA"/>
    <w:rsid w:val="00FA662D"/>
    <w:rsid w:val="00FA73B1"/>
    <w:rsid w:val="00FB0CB9"/>
    <w:rsid w:val="00FB1873"/>
    <w:rsid w:val="00FB231D"/>
    <w:rsid w:val="00FB3C15"/>
    <w:rsid w:val="00FB45F1"/>
    <w:rsid w:val="00FB4A72"/>
    <w:rsid w:val="00FB54E8"/>
    <w:rsid w:val="00FB558D"/>
    <w:rsid w:val="00FB7054"/>
    <w:rsid w:val="00FC17B7"/>
    <w:rsid w:val="00FC2CB7"/>
    <w:rsid w:val="00FC4090"/>
    <w:rsid w:val="00FC553F"/>
    <w:rsid w:val="00FC55B4"/>
    <w:rsid w:val="00FC686D"/>
    <w:rsid w:val="00FC6D1B"/>
    <w:rsid w:val="00FD00E6"/>
    <w:rsid w:val="00FD09A1"/>
    <w:rsid w:val="00FD196A"/>
    <w:rsid w:val="00FD2A7C"/>
    <w:rsid w:val="00FD2C80"/>
    <w:rsid w:val="00FD30E4"/>
    <w:rsid w:val="00FD56B3"/>
    <w:rsid w:val="00FD59EB"/>
    <w:rsid w:val="00FD6839"/>
    <w:rsid w:val="00FD7299"/>
    <w:rsid w:val="00FE1657"/>
    <w:rsid w:val="00FE1FBE"/>
    <w:rsid w:val="00FE3901"/>
    <w:rsid w:val="00FE39D3"/>
    <w:rsid w:val="00FE4BCE"/>
    <w:rsid w:val="00FE4F5A"/>
    <w:rsid w:val="00FE54AE"/>
    <w:rsid w:val="00FE576A"/>
    <w:rsid w:val="00FE7E79"/>
    <w:rsid w:val="00FF104A"/>
    <w:rsid w:val="00FF2213"/>
    <w:rsid w:val="00FF3E7D"/>
    <w:rsid w:val="00FF4EF4"/>
    <w:rsid w:val="00FF5B99"/>
    <w:rsid w:val="00FF730C"/>
    <w:rsid w:val="00FF73F4"/>
    <w:rsid w:val="00FF7CE4"/>
    <w:rsid w:val="00FF7E39"/>
    <w:rsid w:val="01761E20"/>
    <w:rsid w:val="02F869CC"/>
    <w:rsid w:val="031F4F72"/>
    <w:rsid w:val="05644F36"/>
    <w:rsid w:val="0580326D"/>
    <w:rsid w:val="06053772"/>
    <w:rsid w:val="06F86398"/>
    <w:rsid w:val="07342561"/>
    <w:rsid w:val="08363322"/>
    <w:rsid w:val="08D526A1"/>
    <w:rsid w:val="08E7715F"/>
    <w:rsid w:val="09C9041E"/>
    <w:rsid w:val="09F36C66"/>
    <w:rsid w:val="0AA95014"/>
    <w:rsid w:val="0B2009CF"/>
    <w:rsid w:val="0BB114B6"/>
    <w:rsid w:val="0BBD053A"/>
    <w:rsid w:val="0C363F25"/>
    <w:rsid w:val="0DCF081C"/>
    <w:rsid w:val="0FEE34C9"/>
    <w:rsid w:val="109B773A"/>
    <w:rsid w:val="11286567"/>
    <w:rsid w:val="119A56B6"/>
    <w:rsid w:val="11AC7198"/>
    <w:rsid w:val="11F50B3F"/>
    <w:rsid w:val="131170D8"/>
    <w:rsid w:val="13945735"/>
    <w:rsid w:val="142E295E"/>
    <w:rsid w:val="14E135FC"/>
    <w:rsid w:val="14E248D3"/>
    <w:rsid w:val="15390342"/>
    <w:rsid w:val="15EE5FD1"/>
    <w:rsid w:val="16895CFA"/>
    <w:rsid w:val="168A7874"/>
    <w:rsid w:val="171F003C"/>
    <w:rsid w:val="178F7340"/>
    <w:rsid w:val="18904FBD"/>
    <w:rsid w:val="18AA49FA"/>
    <w:rsid w:val="19E219A9"/>
    <w:rsid w:val="1A961EAB"/>
    <w:rsid w:val="1A980C31"/>
    <w:rsid w:val="1B6C3C67"/>
    <w:rsid w:val="1B8C6F40"/>
    <w:rsid w:val="1BE52277"/>
    <w:rsid w:val="1DB1517F"/>
    <w:rsid w:val="1DC26394"/>
    <w:rsid w:val="1E70600C"/>
    <w:rsid w:val="1FC63FA4"/>
    <w:rsid w:val="21E5472C"/>
    <w:rsid w:val="221E4145"/>
    <w:rsid w:val="2225602E"/>
    <w:rsid w:val="22E60CE5"/>
    <w:rsid w:val="239F2720"/>
    <w:rsid w:val="240B5CB0"/>
    <w:rsid w:val="255E70AD"/>
    <w:rsid w:val="25A77F81"/>
    <w:rsid w:val="25D40B1F"/>
    <w:rsid w:val="26287C68"/>
    <w:rsid w:val="2CAA3C16"/>
    <w:rsid w:val="2CB86304"/>
    <w:rsid w:val="2D067C4C"/>
    <w:rsid w:val="2D8F1BFB"/>
    <w:rsid w:val="2E383E35"/>
    <w:rsid w:val="2EF9001C"/>
    <w:rsid w:val="2F234AE5"/>
    <w:rsid w:val="2FDC1914"/>
    <w:rsid w:val="30012D13"/>
    <w:rsid w:val="30564A47"/>
    <w:rsid w:val="317038E6"/>
    <w:rsid w:val="31BD202A"/>
    <w:rsid w:val="328238D1"/>
    <w:rsid w:val="33AD2BD0"/>
    <w:rsid w:val="33C32B63"/>
    <w:rsid w:val="34292744"/>
    <w:rsid w:val="3498565F"/>
    <w:rsid w:val="354C6555"/>
    <w:rsid w:val="359A2E23"/>
    <w:rsid w:val="35EB23AA"/>
    <w:rsid w:val="36AF372E"/>
    <w:rsid w:val="38270EB7"/>
    <w:rsid w:val="386D0B7F"/>
    <w:rsid w:val="38995808"/>
    <w:rsid w:val="390E7C65"/>
    <w:rsid w:val="39137979"/>
    <w:rsid w:val="3AD34590"/>
    <w:rsid w:val="3BD4646B"/>
    <w:rsid w:val="3C4F6F1A"/>
    <w:rsid w:val="3D404689"/>
    <w:rsid w:val="3DBC61AE"/>
    <w:rsid w:val="3F19696B"/>
    <w:rsid w:val="3F861B26"/>
    <w:rsid w:val="3FEA60FF"/>
    <w:rsid w:val="401F09B1"/>
    <w:rsid w:val="404C2229"/>
    <w:rsid w:val="404C68B5"/>
    <w:rsid w:val="408D1D06"/>
    <w:rsid w:val="41210A94"/>
    <w:rsid w:val="43677A21"/>
    <w:rsid w:val="439E5D91"/>
    <w:rsid w:val="43C83E69"/>
    <w:rsid w:val="44654E01"/>
    <w:rsid w:val="459534C4"/>
    <w:rsid w:val="45C77F1C"/>
    <w:rsid w:val="45D43FEC"/>
    <w:rsid w:val="473C5DAB"/>
    <w:rsid w:val="474B4023"/>
    <w:rsid w:val="478008FD"/>
    <w:rsid w:val="479223B1"/>
    <w:rsid w:val="483F21BA"/>
    <w:rsid w:val="4A17366B"/>
    <w:rsid w:val="4A5768B0"/>
    <w:rsid w:val="4A8D05E0"/>
    <w:rsid w:val="4B041A17"/>
    <w:rsid w:val="4B3043BA"/>
    <w:rsid w:val="4BF338A9"/>
    <w:rsid w:val="4C3B4DC5"/>
    <w:rsid w:val="4D0E2A4B"/>
    <w:rsid w:val="4D156836"/>
    <w:rsid w:val="4D826A23"/>
    <w:rsid w:val="4DFE524D"/>
    <w:rsid w:val="4E9B3B60"/>
    <w:rsid w:val="4EC066A6"/>
    <w:rsid w:val="4ECD5308"/>
    <w:rsid w:val="4F47041D"/>
    <w:rsid w:val="4F4C768A"/>
    <w:rsid w:val="4FB235F0"/>
    <w:rsid w:val="526A0045"/>
    <w:rsid w:val="52F80BAD"/>
    <w:rsid w:val="538909B6"/>
    <w:rsid w:val="53D25803"/>
    <w:rsid w:val="540013E0"/>
    <w:rsid w:val="540D2891"/>
    <w:rsid w:val="55C220B3"/>
    <w:rsid w:val="56D502F5"/>
    <w:rsid w:val="57124291"/>
    <w:rsid w:val="57FB18AC"/>
    <w:rsid w:val="587804A4"/>
    <w:rsid w:val="58FB4870"/>
    <w:rsid w:val="599E091E"/>
    <w:rsid w:val="59CF5552"/>
    <w:rsid w:val="5A6432D8"/>
    <w:rsid w:val="5C4F1CE2"/>
    <w:rsid w:val="5C6519EA"/>
    <w:rsid w:val="5D0D6309"/>
    <w:rsid w:val="5D2E6280"/>
    <w:rsid w:val="5EAA16FD"/>
    <w:rsid w:val="5F1924FE"/>
    <w:rsid w:val="5FC008E3"/>
    <w:rsid w:val="60600093"/>
    <w:rsid w:val="60A206C0"/>
    <w:rsid w:val="6122434D"/>
    <w:rsid w:val="612C0D28"/>
    <w:rsid w:val="64A50DAF"/>
    <w:rsid w:val="66A3383B"/>
    <w:rsid w:val="66CA2CB3"/>
    <w:rsid w:val="679C524D"/>
    <w:rsid w:val="6893229E"/>
    <w:rsid w:val="68A72793"/>
    <w:rsid w:val="69613FCE"/>
    <w:rsid w:val="69730851"/>
    <w:rsid w:val="6A5602F4"/>
    <w:rsid w:val="6B95030D"/>
    <w:rsid w:val="6C146376"/>
    <w:rsid w:val="6C9F1440"/>
    <w:rsid w:val="6CCD1611"/>
    <w:rsid w:val="6CE96BAF"/>
    <w:rsid w:val="6DA305C4"/>
    <w:rsid w:val="6DE7BD03"/>
    <w:rsid w:val="6DF56B1A"/>
    <w:rsid w:val="6EED2B84"/>
    <w:rsid w:val="70A628A5"/>
    <w:rsid w:val="70E60EF4"/>
    <w:rsid w:val="70F634CB"/>
    <w:rsid w:val="714F4B63"/>
    <w:rsid w:val="71501F67"/>
    <w:rsid w:val="71553B6D"/>
    <w:rsid w:val="7481209F"/>
    <w:rsid w:val="74E01737"/>
    <w:rsid w:val="751F162E"/>
    <w:rsid w:val="7566033E"/>
    <w:rsid w:val="75695E47"/>
    <w:rsid w:val="75906211"/>
    <w:rsid w:val="75F53987"/>
    <w:rsid w:val="767C1771"/>
    <w:rsid w:val="768C7E47"/>
    <w:rsid w:val="76D85609"/>
    <w:rsid w:val="78E00C84"/>
    <w:rsid w:val="7A21569A"/>
    <w:rsid w:val="7A5F5873"/>
    <w:rsid w:val="7AFF59FB"/>
    <w:rsid w:val="7C4E1039"/>
    <w:rsid w:val="7D1E74C2"/>
    <w:rsid w:val="7D937014"/>
    <w:rsid w:val="7E892983"/>
    <w:rsid w:val="7EF768DB"/>
    <w:rsid w:val="FFAF424D"/>
    <w:rsid w:val="FFB914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40"/>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1"/>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42"/>
    <w:autoRedefine/>
    <w:qFormat/>
    <w:uiPriority w:val="0"/>
    <w:pPr>
      <w:keepNext/>
      <w:keepLines/>
      <w:spacing w:before="260" w:after="260" w:line="416" w:lineRule="auto"/>
      <w:outlineLvl w:val="2"/>
    </w:pPr>
    <w:rPr>
      <w:b/>
      <w:bCs/>
      <w:sz w:val="32"/>
      <w:szCs w:val="32"/>
    </w:rPr>
  </w:style>
  <w:style w:type="paragraph" w:styleId="5">
    <w:name w:val="heading 4"/>
    <w:basedOn w:val="1"/>
    <w:next w:val="1"/>
    <w:link w:val="43"/>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4"/>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5"/>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6"/>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7"/>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8"/>
    <w:qFormat/>
    <w:uiPriority w:val="0"/>
    <w:pPr>
      <w:keepNext/>
      <w:keepLines/>
      <w:adjustRightInd/>
      <w:spacing w:before="240" w:after="64" w:line="320" w:lineRule="auto"/>
      <w:outlineLvl w:val="8"/>
    </w:pPr>
    <w:rPr>
      <w:rFonts w:ascii="Arial" w:hAnsi="Arial" w:eastAsia="黑体"/>
    </w:rPr>
  </w:style>
  <w:style w:type="character" w:default="1" w:styleId="33">
    <w:name w:val="Default Paragraph Font"/>
    <w:semiHidden/>
    <w:unhideWhenUsed/>
    <w:qFormat/>
    <w:uiPriority w:val="1"/>
  </w:style>
  <w:style w:type="table" w:default="1" w:styleId="31">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link w:val="256"/>
    <w:semiHidden/>
    <w:unhideWhenUsed/>
    <w:qFormat/>
    <w:uiPriority w:val="99"/>
    <w:pPr>
      <w:jc w:val="left"/>
    </w:pPr>
  </w:style>
  <w:style w:type="paragraph" w:styleId="14">
    <w:name w:val="Body Text"/>
    <w:basedOn w:val="1"/>
    <w:next w:val="1"/>
    <w:link w:val="92"/>
    <w:qFormat/>
    <w:uiPriority w:val="0"/>
    <w:pPr>
      <w:spacing w:after="120"/>
    </w:pPr>
  </w:style>
  <w:style w:type="paragraph" w:styleId="15">
    <w:name w:val="toc 5"/>
    <w:basedOn w:val="1"/>
    <w:next w:val="1"/>
    <w:unhideWhenUsed/>
    <w:qFormat/>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Date"/>
    <w:basedOn w:val="1"/>
    <w:next w:val="1"/>
    <w:link w:val="237"/>
    <w:autoRedefine/>
    <w:semiHidden/>
    <w:unhideWhenUsed/>
    <w:qFormat/>
    <w:uiPriority w:val="99"/>
    <w:pPr>
      <w:ind w:left="100" w:leftChars="2500"/>
    </w:pPr>
  </w:style>
  <w:style w:type="paragraph" w:styleId="18">
    <w:name w:val="Balloon Text"/>
    <w:basedOn w:val="1"/>
    <w:link w:val="51"/>
    <w:semiHidden/>
    <w:unhideWhenUsed/>
    <w:qFormat/>
    <w:uiPriority w:val="99"/>
    <w:rPr>
      <w:sz w:val="18"/>
      <w:szCs w:val="18"/>
    </w:rPr>
  </w:style>
  <w:style w:type="paragraph" w:styleId="19">
    <w:name w:val="footer"/>
    <w:basedOn w:val="1"/>
    <w:link w:val="50"/>
    <w:autoRedefine/>
    <w:qFormat/>
    <w:uiPriority w:val="99"/>
    <w:pPr>
      <w:tabs>
        <w:tab w:val="center" w:pos="4153"/>
        <w:tab w:val="right" w:pos="8306"/>
      </w:tabs>
      <w:adjustRightInd/>
      <w:snapToGrid w:val="0"/>
      <w:spacing w:line="240" w:lineRule="auto"/>
      <w:jc w:val="right"/>
    </w:pPr>
    <w:rPr>
      <w:rFonts w:ascii="宋体"/>
      <w:sz w:val="18"/>
      <w:szCs w:val="18"/>
    </w:rPr>
  </w:style>
  <w:style w:type="paragraph" w:styleId="20">
    <w:name w:val="header"/>
    <w:basedOn w:val="1"/>
    <w:link w:val="49"/>
    <w:qFormat/>
    <w:uiPriority w:val="0"/>
    <w:pPr>
      <w:tabs>
        <w:tab w:val="center" w:pos="4153"/>
        <w:tab w:val="right" w:pos="8306"/>
      </w:tabs>
      <w:adjustRightInd/>
      <w:snapToGrid w:val="0"/>
      <w:jc w:val="center"/>
    </w:pPr>
    <w:rPr>
      <w:sz w:val="18"/>
      <w:szCs w:val="18"/>
    </w:rPr>
  </w:style>
  <w:style w:type="paragraph" w:styleId="21">
    <w:name w:val="toc 1"/>
    <w:basedOn w:val="1"/>
    <w:next w:val="1"/>
    <w:unhideWhenUsed/>
    <w:qFormat/>
    <w:uiPriority w:val="39"/>
    <w:rPr>
      <w:rFonts w:ascii="宋体"/>
    </w:rPr>
  </w:style>
  <w:style w:type="paragraph" w:styleId="22">
    <w:name w:val="toc 4"/>
    <w:basedOn w:val="1"/>
    <w:next w:val="1"/>
    <w:unhideWhenUsed/>
    <w:qFormat/>
    <w:uiPriority w:val="39"/>
    <w:pPr>
      <w:tabs>
        <w:tab w:val="right" w:leader="dot" w:pos="9344"/>
      </w:tabs>
      <w:spacing w:line="300" w:lineRule="exact"/>
      <w:ind w:left="629"/>
    </w:pPr>
    <w:rPr>
      <w:rFonts w:ascii="宋体"/>
    </w:rPr>
  </w:style>
  <w:style w:type="paragraph" w:styleId="23">
    <w:name w:val="footnote text"/>
    <w:basedOn w:val="1"/>
    <w:next w:val="1"/>
    <w:link w:val="105"/>
    <w:autoRedefine/>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4">
    <w:name w:val="toc 6"/>
    <w:basedOn w:val="1"/>
    <w:next w:val="1"/>
    <w:autoRedefine/>
    <w:unhideWhenUsed/>
    <w:qFormat/>
    <w:uiPriority w:val="39"/>
    <w:pPr>
      <w:spacing w:line="300" w:lineRule="exact"/>
      <w:ind w:left="1049"/>
    </w:pPr>
    <w:rPr>
      <w:rFonts w:ascii="宋体"/>
    </w:rPr>
  </w:style>
  <w:style w:type="paragraph" w:styleId="25">
    <w:name w:val="table of figures"/>
    <w:basedOn w:val="1"/>
    <w:next w:val="1"/>
    <w:autoRedefine/>
    <w:semiHidden/>
    <w:qFormat/>
    <w:uiPriority w:val="0"/>
    <w:pPr>
      <w:adjustRightInd/>
      <w:spacing w:line="240" w:lineRule="auto"/>
      <w:jc w:val="left"/>
    </w:pPr>
    <w:rPr>
      <w:szCs w:val="24"/>
    </w:rPr>
  </w:style>
  <w:style w:type="paragraph" w:styleId="26">
    <w:name w:val="toc 2"/>
    <w:basedOn w:val="1"/>
    <w:next w:val="1"/>
    <w:unhideWhenUsed/>
    <w:qFormat/>
    <w:uiPriority w:val="39"/>
    <w:pPr>
      <w:tabs>
        <w:tab w:val="right" w:leader="dot" w:pos="9344"/>
      </w:tabs>
      <w:spacing w:line="300" w:lineRule="exact"/>
      <w:ind w:left="210"/>
    </w:pPr>
    <w:rPr>
      <w:rFonts w:ascii="宋体"/>
    </w:rPr>
  </w:style>
  <w:style w:type="paragraph" w:styleId="27">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28">
    <w:name w:val="Normal (Web)"/>
    <w:basedOn w:val="1"/>
    <w:qFormat/>
    <w:uiPriority w:val="0"/>
    <w:pPr>
      <w:adjustRightInd/>
      <w:spacing w:before="100" w:beforeAutospacing="1" w:after="100" w:afterAutospacing="1" w:line="240" w:lineRule="auto"/>
      <w:jc w:val="left"/>
    </w:pPr>
    <w:rPr>
      <w:rFonts w:ascii="Times New Roman" w:hAnsi="Times New Roman"/>
      <w:kern w:val="0"/>
      <w:sz w:val="24"/>
      <w:szCs w:val="24"/>
    </w:rPr>
  </w:style>
  <w:style w:type="paragraph" w:styleId="29">
    <w:name w:val="Title"/>
    <w:basedOn w:val="1"/>
    <w:link w:val="54"/>
    <w:autoRedefine/>
    <w:qFormat/>
    <w:uiPriority w:val="0"/>
    <w:pPr>
      <w:spacing w:before="240" w:after="60"/>
      <w:jc w:val="center"/>
      <w:outlineLvl w:val="0"/>
    </w:pPr>
    <w:rPr>
      <w:rFonts w:ascii="Arial" w:hAnsi="Arial" w:cs="Arial"/>
      <w:b/>
      <w:bCs/>
      <w:sz w:val="32"/>
      <w:szCs w:val="32"/>
    </w:rPr>
  </w:style>
  <w:style w:type="paragraph" w:styleId="30">
    <w:name w:val="annotation subject"/>
    <w:basedOn w:val="13"/>
    <w:next w:val="13"/>
    <w:link w:val="257"/>
    <w:semiHidden/>
    <w:unhideWhenUsed/>
    <w:qFormat/>
    <w:uiPriority w:val="99"/>
    <w:rPr>
      <w:b/>
      <w:bCs/>
    </w:rPr>
  </w:style>
  <w:style w:type="table" w:styleId="32">
    <w:name w:val="Table Grid"/>
    <w:basedOn w:val="31"/>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4">
    <w:name w:val="Strong"/>
    <w:basedOn w:val="33"/>
    <w:autoRedefine/>
    <w:qFormat/>
    <w:uiPriority w:val="22"/>
    <w:rPr>
      <w:b/>
      <w:bCs/>
    </w:rPr>
  </w:style>
  <w:style w:type="character" w:styleId="35">
    <w:name w:val="page number"/>
    <w:autoRedefine/>
    <w:qFormat/>
    <w:uiPriority w:val="0"/>
    <w:rPr>
      <w:rFonts w:ascii="宋体" w:hAnsi="Times New Roman" w:eastAsia="宋体"/>
      <w:sz w:val="18"/>
    </w:rPr>
  </w:style>
  <w:style w:type="character" w:styleId="36">
    <w:name w:val="Emphasis"/>
    <w:basedOn w:val="33"/>
    <w:autoRedefine/>
    <w:qFormat/>
    <w:uiPriority w:val="20"/>
    <w:rPr>
      <w:i/>
      <w:iCs/>
    </w:rPr>
  </w:style>
  <w:style w:type="character" w:styleId="37">
    <w:name w:val="Hyperlink"/>
    <w:autoRedefine/>
    <w:qFormat/>
    <w:uiPriority w:val="99"/>
    <w:rPr>
      <w:rFonts w:ascii="宋体" w:hAnsi="Times New Roman" w:eastAsia="宋体"/>
      <w:color w:val="auto"/>
      <w:spacing w:val="0"/>
      <w:w w:val="100"/>
      <w:position w:val="0"/>
      <w:sz w:val="21"/>
      <w:u w:val="none"/>
      <w:vertAlign w:val="baseline"/>
    </w:rPr>
  </w:style>
  <w:style w:type="character" w:styleId="38">
    <w:name w:val="annotation reference"/>
    <w:basedOn w:val="33"/>
    <w:semiHidden/>
    <w:unhideWhenUsed/>
    <w:qFormat/>
    <w:uiPriority w:val="99"/>
    <w:rPr>
      <w:sz w:val="21"/>
      <w:szCs w:val="21"/>
    </w:rPr>
  </w:style>
  <w:style w:type="character" w:styleId="39">
    <w:name w:val="footnote reference"/>
    <w:autoRedefine/>
    <w:semiHidden/>
    <w:qFormat/>
    <w:uiPriority w:val="0"/>
    <w:rPr>
      <w:rFonts w:ascii="宋体" w:hAnsi="宋体" w:eastAsia="宋体" w:cs="Times New Roman"/>
      <w:spacing w:val="0"/>
      <w:sz w:val="18"/>
      <w:vertAlign w:val="superscript"/>
    </w:rPr>
  </w:style>
  <w:style w:type="character" w:customStyle="1" w:styleId="40">
    <w:name w:val="标题 1 字符"/>
    <w:link w:val="2"/>
    <w:autoRedefine/>
    <w:qFormat/>
    <w:uiPriority w:val="0"/>
    <w:rPr>
      <w:b/>
      <w:bCs/>
      <w:kern w:val="44"/>
      <w:sz w:val="44"/>
      <w:szCs w:val="44"/>
    </w:rPr>
  </w:style>
  <w:style w:type="character" w:customStyle="1" w:styleId="41">
    <w:name w:val="标题 2 字符"/>
    <w:link w:val="3"/>
    <w:autoRedefine/>
    <w:qFormat/>
    <w:uiPriority w:val="0"/>
    <w:rPr>
      <w:rFonts w:ascii="Arial" w:hAnsi="Arial" w:eastAsia="黑体"/>
      <w:b/>
      <w:bCs/>
      <w:kern w:val="2"/>
      <w:sz w:val="32"/>
      <w:szCs w:val="32"/>
    </w:rPr>
  </w:style>
  <w:style w:type="character" w:customStyle="1" w:styleId="42">
    <w:name w:val="标题 3 字符"/>
    <w:link w:val="4"/>
    <w:autoRedefine/>
    <w:qFormat/>
    <w:uiPriority w:val="0"/>
    <w:rPr>
      <w:b/>
      <w:bCs/>
      <w:kern w:val="2"/>
      <w:sz w:val="32"/>
      <w:szCs w:val="32"/>
    </w:rPr>
  </w:style>
  <w:style w:type="character" w:customStyle="1" w:styleId="43">
    <w:name w:val="标题 4 字符"/>
    <w:link w:val="5"/>
    <w:autoRedefine/>
    <w:qFormat/>
    <w:uiPriority w:val="0"/>
    <w:rPr>
      <w:rFonts w:ascii="Arial" w:hAnsi="Arial" w:eastAsia="黑体"/>
      <w:b/>
      <w:bCs/>
      <w:kern w:val="2"/>
      <w:sz w:val="28"/>
      <w:szCs w:val="28"/>
    </w:rPr>
  </w:style>
  <w:style w:type="character" w:customStyle="1" w:styleId="44">
    <w:name w:val="标题 5 字符"/>
    <w:link w:val="6"/>
    <w:autoRedefine/>
    <w:qFormat/>
    <w:uiPriority w:val="0"/>
    <w:rPr>
      <w:b/>
      <w:bCs/>
      <w:kern w:val="2"/>
      <w:sz w:val="28"/>
      <w:szCs w:val="28"/>
    </w:rPr>
  </w:style>
  <w:style w:type="character" w:customStyle="1" w:styleId="45">
    <w:name w:val="标题 6 字符"/>
    <w:link w:val="7"/>
    <w:autoRedefine/>
    <w:qFormat/>
    <w:uiPriority w:val="0"/>
    <w:rPr>
      <w:rFonts w:ascii="Arial" w:hAnsi="Arial" w:eastAsia="黑体"/>
      <w:b/>
      <w:bCs/>
      <w:kern w:val="2"/>
      <w:sz w:val="24"/>
      <w:szCs w:val="24"/>
    </w:rPr>
  </w:style>
  <w:style w:type="character" w:customStyle="1" w:styleId="46">
    <w:name w:val="标题 7 字符"/>
    <w:link w:val="8"/>
    <w:autoRedefine/>
    <w:qFormat/>
    <w:uiPriority w:val="0"/>
    <w:rPr>
      <w:b/>
      <w:bCs/>
      <w:kern w:val="2"/>
      <w:sz w:val="24"/>
      <w:szCs w:val="24"/>
    </w:rPr>
  </w:style>
  <w:style w:type="character" w:customStyle="1" w:styleId="47">
    <w:name w:val="标题 8 字符"/>
    <w:link w:val="9"/>
    <w:autoRedefine/>
    <w:qFormat/>
    <w:uiPriority w:val="0"/>
    <w:rPr>
      <w:rFonts w:ascii="Arial" w:hAnsi="Arial" w:eastAsia="黑体"/>
      <w:kern w:val="2"/>
      <w:sz w:val="24"/>
      <w:szCs w:val="24"/>
    </w:rPr>
  </w:style>
  <w:style w:type="character" w:customStyle="1" w:styleId="48">
    <w:name w:val="标题 9 字符"/>
    <w:link w:val="10"/>
    <w:autoRedefine/>
    <w:qFormat/>
    <w:uiPriority w:val="0"/>
    <w:rPr>
      <w:rFonts w:ascii="Arial" w:hAnsi="Arial" w:eastAsia="黑体"/>
      <w:kern w:val="2"/>
      <w:sz w:val="21"/>
      <w:szCs w:val="21"/>
    </w:rPr>
  </w:style>
  <w:style w:type="character" w:customStyle="1" w:styleId="49">
    <w:name w:val="页眉 字符"/>
    <w:link w:val="20"/>
    <w:autoRedefine/>
    <w:qFormat/>
    <w:uiPriority w:val="0"/>
    <w:rPr>
      <w:kern w:val="2"/>
      <w:sz w:val="18"/>
      <w:szCs w:val="18"/>
    </w:rPr>
  </w:style>
  <w:style w:type="character" w:customStyle="1" w:styleId="50">
    <w:name w:val="页脚 字符"/>
    <w:link w:val="19"/>
    <w:autoRedefine/>
    <w:qFormat/>
    <w:uiPriority w:val="99"/>
    <w:rPr>
      <w:rFonts w:ascii="宋体"/>
      <w:kern w:val="2"/>
      <w:sz w:val="18"/>
      <w:szCs w:val="18"/>
    </w:rPr>
  </w:style>
  <w:style w:type="character" w:customStyle="1" w:styleId="51">
    <w:name w:val="批注框文本 字符"/>
    <w:link w:val="18"/>
    <w:autoRedefine/>
    <w:semiHidden/>
    <w:qFormat/>
    <w:uiPriority w:val="99"/>
    <w:rPr>
      <w:kern w:val="2"/>
      <w:sz w:val="18"/>
      <w:szCs w:val="18"/>
    </w:rPr>
  </w:style>
  <w:style w:type="paragraph" w:styleId="52">
    <w:name w:val="Quote"/>
    <w:basedOn w:val="1"/>
    <w:next w:val="1"/>
    <w:link w:val="53"/>
    <w:autoRedefine/>
    <w:qFormat/>
    <w:uiPriority w:val="29"/>
    <w:rPr>
      <w:i/>
      <w:iCs/>
      <w:color w:val="000000"/>
    </w:rPr>
  </w:style>
  <w:style w:type="character" w:customStyle="1" w:styleId="53">
    <w:name w:val="引用 字符"/>
    <w:link w:val="52"/>
    <w:autoRedefine/>
    <w:qFormat/>
    <w:uiPriority w:val="29"/>
    <w:rPr>
      <w:i/>
      <w:iCs/>
      <w:color w:val="000000"/>
      <w:kern w:val="2"/>
      <w:sz w:val="21"/>
      <w:szCs w:val="21"/>
    </w:rPr>
  </w:style>
  <w:style w:type="character" w:customStyle="1" w:styleId="54">
    <w:name w:val="标题 字符"/>
    <w:link w:val="29"/>
    <w:autoRedefine/>
    <w:qFormat/>
    <w:uiPriority w:val="0"/>
    <w:rPr>
      <w:rFonts w:ascii="Arial" w:hAnsi="Arial" w:cs="Arial"/>
      <w:b/>
      <w:bCs/>
      <w:kern w:val="2"/>
      <w:sz w:val="32"/>
      <w:szCs w:val="32"/>
    </w:rPr>
  </w:style>
  <w:style w:type="paragraph" w:customStyle="1" w:styleId="55">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6">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7">
    <w:name w:val="标准文件_页脚偶数页"/>
    <w:autoRedefine/>
    <w:qFormat/>
    <w:uiPriority w:val="0"/>
    <w:pPr>
      <w:ind w:left="198"/>
    </w:pPr>
    <w:rPr>
      <w:rFonts w:ascii="宋体" w:hAnsi="Times New Roman" w:eastAsia="宋体" w:cs="Times New Roman"/>
      <w:sz w:val="18"/>
      <w:lang w:val="en-US" w:eastAsia="zh-CN" w:bidi="ar-SA"/>
    </w:rPr>
  </w:style>
  <w:style w:type="paragraph" w:customStyle="1" w:styleId="58">
    <w:name w:val="标准文件_页脚奇数页"/>
    <w:autoRedefine/>
    <w:qFormat/>
    <w:uiPriority w:val="0"/>
    <w:pPr>
      <w:ind w:right="227"/>
      <w:jc w:val="right"/>
    </w:pPr>
    <w:rPr>
      <w:rFonts w:ascii="宋体" w:hAnsi="Times New Roman" w:eastAsia="宋体" w:cs="Times New Roman"/>
      <w:sz w:val="18"/>
      <w:lang w:val="en-US" w:eastAsia="zh-CN" w:bidi="ar-SA"/>
    </w:rPr>
  </w:style>
  <w:style w:type="paragraph" w:customStyle="1" w:styleId="59">
    <w:name w:val="标准书眉一"/>
    <w:autoRedefine/>
    <w:qFormat/>
    <w:uiPriority w:val="0"/>
    <w:pPr>
      <w:jc w:val="both"/>
    </w:pPr>
    <w:rPr>
      <w:rFonts w:ascii="Times New Roman" w:hAnsi="Times New Roman" w:eastAsia="宋体" w:cs="Times New Roman"/>
      <w:lang w:val="en-US" w:eastAsia="zh-CN" w:bidi="ar-SA"/>
    </w:rPr>
  </w:style>
  <w:style w:type="paragraph" w:customStyle="1" w:styleId="60">
    <w:name w:val="标准文件_ICS"/>
    <w:basedOn w:val="1"/>
    <w:autoRedefine/>
    <w:qFormat/>
    <w:uiPriority w:val="0"/>
    <w:pPr>
      <w:spacing w:line="0" w:lineRule="atLeast"/>
    </w:pPr>
    <w:rPr>
      <w:rFonts w:ascii="黑体" w:hAnsi="宋体" w:eastAsia="黑体"/>
    </w:rPr>
  </w:style>
  <w:style w:type="paragraph" w:customStyle="1" w:styleId="61">
    <w:name w:val="标准文件_标准正文"/>
    <w:basedOn w:val="1"/>
    <w:next w:val="62"/>
    <w:autoRedefine/>
    <w:qFormat/>
    <w:uiPriority w:val="0"/>
    <w:pPr>
      <w:snapToGrid w:val="0"/>
      <w:ind w:firstLine="200" w:firstLineChars="200"/>
    </w:pPr>
    <w:rPr>
      <w:rFonts w:ascii="Times New Roman" w:hAnsi="Times New Roman"/>
      <w:kern w:val="0"/>
    </w:rPr>
  </w:style>
  <w:style w:type="paragraph" w:customStyle="1" w:styleId="62">
    <w:name w:val="标准文件_段"/>
    <w:link w:val="190"/>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3">
    <w:name w:val="标准文件_版本"/>
    <w:basedOn w:val="61"/>
    <w:autoRedefine/>
    <w:qFormat/>
    <w:uiPriority w:val="0"/>
    <w:pPr>
      <w:adjustRightInd/>
      <w:snapToGrid/>
      <w:ind w:firstLine="0" w:firstLineChars="0"/>
    </w:pPr>
    <w:rPr>
      <w:rFonts w:ascii="宋体" w:hAnsi="宋体"/>
      <w:kern w:val="2"/>
    </w:rPr>
  </w:style>
  <w:style w:type="paragraph" w:customStyle="1" w:styleId="64">
    <w:name w:val="标准文件_标准部门"/>
    <w:basedOn w:val="1"/>
    <w:autoRedefine/>
    <w:qFormat/>
    <w:uiPriority w:val="0"/>
    <w:pPr>
      <w:jc w:val="center"/>
    </w:pPr>
    <w:rPr>
      <w:rFonts w:ascii="黑体" w:eastAsia="黑体"/>
      <w:kern w:val="0"/>
      <w:sz w:val="44"/>
    </w:rPr>
  </w:style>
  <w:style w:type="paragraph" w:customStyle="1" w:styleId="65">
    <w:name w:val="标准文件_标准代替"/>
    <w:basedOn w:val="1"/>
    <w:next w:val="1"/>
    <w:autoRedefine/>
    <w:qFormat/>
    <w:uiPriority w:val="0"/>
    <w:pPr>
      <w:spacing w:line="310" w:lineRule="exact"/>
      <w:jc w:val="right"/>
    </w:pPr>
    <w:rPr>
      <w:rFonts w:ascii="宋体" w:hAnsi="宋体"/>
      <w:kern w:val="0"/>
    </w:rPr>
  </w:style>
  <w:style w:type="paragraph" w:customStyle="1" w:styleId="66">
    <w:name w:val="标准文件_标准名称标题"/>
    <w:basedOn w:val="1"/>
    <w:next w:val="1"/>
    <w:autoRedefine/>
    <w:qFormat/>
    <w:uiPriority w:val="0"/>
    <w:pPr>
      <w:widowControl/>
      <w:shd w:val="clear" w:color="FFFFFF" w:fill="FFFFFF"/>
      <w:adjustRightInd/>
      <w:spacing w:before="640" w:after="100"/>
      <w:jc w:val="center"/>
    </w:pPr>
    <w:rPr>
      <w:rFonts w:ascii="黑体" w:eastAsia="黑体"/>
      <w:kern w:val="0"/>
      <w:sz w:val="32"/>
    </w:rPr>
  </w:style>
  <w:style w:type="paragraph" w:customStyle="1" w:styleId="67">
    <w:name w:val="标准文件_页眉奇数页"/>
    <w:next w:val="1"/>
    <w:autoRedefine/>
    <w:qFormat/>
    <w:uiPriority w:val="0"/>
    <w:pPr>
      <w:tabs>
        <w:tab w:val="center" w:pos="4154"/>
        <w:tab w:val="right" w:pos="8306"/>
      </w:tabs>
      <w:spacing w:after="120"/>
      <w:jc w:val="right"/>
    </w:pPr>
    <w:rPr>
      <w:rFonts w:ascii="黑体" w:hAnsi="黑体" w:eastAsia="黑体" w:cs="Times New Roman"/>
      <w:sz w:val="21"/>
      <w:lang w:val="en-US" w:eastAsia="zh-CN" w:bidi="ar-SA"/>
    </w:rPr>
  </w:style>
  <w:style w:type="paragraph" w:customStyle="1" w:styleId="68">
    <w:name w:val="标准文件_页眉偶数页"/>
    <w:basedOn w:val="67"/>
    <w:next w:val="1"/>
    <w:autoRedefine/>
    <w:qFormat/>
    <w:uiPriority w:val="0"/>
    <w:pPr>
      <w:spacing w:after="220"/>
      <w:jc w:val="left"/>
    </w:pPr>
  </w:style>
  <w:style w:type="paragraph" w:customStyle="1" w:styleId="69">
    <w:name w:val="标准文件_参考文献标题"/>
    <w:basedOn w:val="1"/>
    <w:next w:val="1"/>
    <w:autoRedefine/>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70">
    <w:name w:val="标准文件_参考文献条目"/>
    <w:autoRedefine/>
    <w:qFormat/>
    <w:uiPriority w:val="0"/>
    <w:pPr>
      <w:numPr>
        <w:ilvl w:val="0"/>
        <w:numId w:val="1"/>
      </w:numPr>
    </w:pPr>
    <w:rPr>
      <w:rFonts w:ascii="宋体" w:hAnsi="Times New Roman" w:eastAsia="宋体" w:cs="Times New Roman"/>
      <w:lang w:val="en-US" w:eastAsia="zh-CN" w:bidi="ar-SA"/>
    </w:rPr>
  </w:style>
  <w:style w:type="paragraph" w:customStyle="1" w:styleId="71">
    <w:name w:val="标准文件_二级条标题"/>
    <w:next w:val="62"/>
    <w:qFormat/>
    <w:uiPriority w:val="0"/>
    <w:pPr>
      <w:widowControl w:val="0"/>
      <w:numPr>
        <w:ilvl w:val="3"/>
        <w:numId w:val="2"/>
      </w:numPr>
      <w:spacing w:before="156" w:beforeLines="50" w:after="156" w:afterLines="50"/>
      <w:jc w:val="both"/>
      <w:outlineLvl w:val="2"/>
    </w:pPr>
    <w:rPr>
      <w:rFonts w:ascii="黑体" w:hAnsi="黑体" w:eastAsia="黑体" w:cs="Times New Roman"/>
      <w:sz w:val="21"/>
      <w:lang w:val="en-US" w:eastAsia="zh-CN" w:bidi="ar-SA"/>
    </w:rPr>
  </w:style>
  <w:style w:type="character" w:customStyle="1" w:styleId="72">
    <w:name w:val="标准文件_发布"/>
    <w:autoRedefine/>
    <w:qFormat/>
    <w:uiPriority w:val="0"/>
    <w:rPr>
      <w:rFonts w:ascii="黑体" w:eastAsia="黑体"/>
      <w:spacing w:val="0"/>
      <w:w w:val="100"/>
      <w:position w:val="3"/>
      <w:sz w:val="28"/>
    </w:rPr>
  </w:style>
  <w:style w:type="paragraph" w:customStyle="1" w:styleId="73">
    <w:name w:val="标准文件_方框数字列项"/>
    <w:basedOn w:val="62"/>
    <w:autoRedefine/>
    <w:qFormat/>
    <w:uiPriority w:val="0"/>
    <w:pPr>
      <w:numPr>
        <w:ilvl w:val="0"/>
        <w:numId w:val="3"/>
      </w:numPr>
      <w:ind w:firstLine="0" w:firstLineChars="0"/>
    </w:pPr>
  </w:style>
  <w:style w:type="paragraph" w:customStyle="1" w:styleId="74">
    <w:name w:val="标准文件_封面标准编号"/>
    <w:basedOn w:val="1"/>
    <w:next w:val="65"/>
    <w:autoRedefine/>
    <w:qFormat/>
    <w:uiPriority w:val="0"/>
    <w:pPr>
      <w:spacing w:line="310" w:lineRule="exact"/>
      <w:jc w:val="right"/>
    </w:pPr>
    <w:rPr>
      <w:rFonts w:ascii="黑体" w:eastAsia="黑体"/>
      <w:kern w:val="0"/>
      <w:sz w:val="28"/>
    </w:rPr>
  </w:style>
  <w:style w:type="paragraph" w:customStyle="1" w:styleId="75">
    <w:name w:val="标准文件_封面标准分类号"/>
    <w:basedOn w:val="1"/>
    <w:autoRedefine/>
    <w:qFormat/>
    <w:uiPriority w:val="0"/>
    <w:rPr>
      <w:rFonts w:ascii="黑体" w:eastAsia="黑体"/>
      <w:b/>
      <w:kern w:val="0"/>
      <w:sz w:val="28"/>
    </w:rPr>
  </w:style>
  <w:style w:type="paragraph" w:customStyle="1" w:styleId="76">
    <w:name w:val="标准文件_封面标准名称"/>
    <w:basedOn w:val="1"/>
    <w:autoRedefine/>
    <w:qFormat/>
    <w:uiPriority w:val="0"/>
    <w:pPr>
      <w:spacing w:line="240" w:lineRule="auto"/>
      <w:jc w:val="center"/>
    </w:pPr>
    <w:rPr>
      <w:rFonts w:ascii="黑体" w:eastAsia="黑体"/>
      <w:kern w:val="0"/>
      <w:sz w:val="52"/>
    </w:rPr>
  </w:style>
  <w:style w:type="paragraph" w:customStyle="1" w:styleId="77">
    <w:name w:val="标准文件_封面标准英文名称"/>
    <w:basedOn w:val="1"/>
    <w:autoRedefine/>
    <w:qFormat/>
    <w:uiPriority w:val="0"/>
    <w:pPr>
      <w:spacing w:line="240" w:lineRule="auto"/>
      <w:jc w:val="center"/>
    </w:pPr>
    <w:rPr>
      <w:rFonts w:ascii="黑体" w:eastAsia="黑体"/>
      <w:b/>
      <w:sz w:val="28"/>
    </w:rPr>
  </w:style>
  <w:style w:type="paragraph" w:customStyle="1" w:styleId="78">
    <w:name w:val="标准文件_封面发布日期"/>
    <w:basedOn w:val="1"/>
    <w:autoRedefine/>
    <w:qFormat/>
    <w:uiPriority w:val="0"/>
    <w:pPr>
      <w:spacing w:line="310" w:lineRule="exact"/>
    </w:pPr>
    <w:rPr>
      <w:rFonts w:ascii="黑体" w:eastAsia="黑体"/>
      <w:kern w:val="0"/>
      <w:sz w:val="28"/>
    </w:rPr>
  </w:style>
  <w:style w:type="paragraph" w:customStyle="1" w:styleId="79">
    <w:name w:val="标准文件_封面密级"/>
    <w:basedOn w:val="1"/>
    <w:autoRedefine/>
    <w:qFormat/>
    <w:uiPriority w:val="0"/>
    <w:rPr>
      <w:rFonts w:eastAsia="黑体"/>
      <w:sz w:val="32"/>
    </w:rPr>
  </w:style>
  <w:style w:type="paragraph" w:customStyle="1" w:styleId="80">
    <w:name w:val="标准文件_封面实施日期"/>
    <w:basedOn w:val="1"/>
    <w:autoRedefine/>
    <w:qFormat/>
    <w:uiPriority w:val="0"/>
    <w:pPr>
      <w:spacing w:line="310" w:lineRule="exact"/>
      <w:jc w:val="right"/>
    </w:pPr>
    <w:rPr>
      <w:rFonts w:ascii="黑体" w:eastAsia="黑体"/>
      <w:sz w:val="28"/>
    </w:rPr>
  </w:style>
  <w:style w:type="paragraph" w:customStyle="1" w:styleId="81">
    <w:name w:val="标准文件_封面抬头"/>
    <w:basedOn w:val="62"/>
    <w:autoRedefine/>
    <w:qFormat/>
    <w:uiPriority w:val="0"/>
    <w:pPr>
      <w:adjustRightInd w:val="0"/>
      <w:spacing w:line="800" w:lineRule="exact"/>
      <w:ind w:firstLine="0" w:firstLineChars="0"/>
      <w:jc w:val="distribute"/>
    </w:pPr>
    <w:rPr>
      <w:rFonts w:ascii="黑体" w:eastAsia="黑体"/>
      <w:b/>
      <w:sz w:val="64"/>
    </w:rPr>
  </w:style>
  <w:style w:type="paragraph" w:customStyle="1" w:styleId="82">
    <w:name w:val="标准文件_附录标识"/>
    <w:next w:val="62"/>
    <w:autoRedefine/>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83">
    <w:name w:val="标准文件_附录表标题"/>
    <w:next w:val="62"/>
    <w:autoRedefine/>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4">
    <w:name w:val="标准文件_附录一级条标题"/>
    <w:next w:val="62"/>
    <w:autoRedefine/>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5">
    <w:name w:val="标准文件_附录二级条标题"/>
    <w:basedOn w:val="84"/>
    <w:next w:val="62"/>
    <w:autoRedefine/>
    <w:qFormat/>
    <w:uiPriority w:val="0"/>
    <w:pPr>
      <w:widowControl/>
      <w:numPr>
        <w:ilvl w:val="2"/>
      </w:numPr>
      <w:wordWrap w:val="0"/>
      <w:overflowPunct w:val="0"/>
      <w:autoSpaceDE w:val="0"/>
      <w:autoSpaceDN w:val="0"/>
      <w:textAlignment w:val="baseline"/>
      <w:outlineLvl w:val="3"/>
    </w:pPr>
  </w:style>
  <w:style w:type="paragraph" w:customStyle="1" w:styleId="86">
    <w:name w:val="标准文件_附录公式"/>
    <w:basedOn w:val="61"/>
    <w:next w:val="61"/>
    <w:autoRedefine/>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7">
    <w:name w:val="标准文件_附录三级条标题"/>
    <w:next w:val="62"/>
    <w:autoRedefine/>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8">
    <w:name w:val="标准文件_附录四级条标题"/>
    <w:next w:val="62"/>
    <w:autoRedefine/>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9">
    <w:name w:val="标准文件_附录图标题"/>
    <w:next w:val="62"/>
    <w:autoRedefine/>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90">
    <w:name w:val="标准文件_附录五级条标题"/>
    <w:next w:val="62"/>
    <w:autoRedefine/>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91">
    <w:name w:val="标准文件_附录英文标识"/>
    <w:next w:val="14"/>
    <w:autoRedefine/>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92">
    <w:name w:val="正文文本 字符"/>
    <w:link w:val="14"/>
    <w:autoRedefine/>
    <w:qFormat/>
    <w:uiPriority w:val="0"/>
    <w:rPr>
      <w:kern w:val="2"/>
      <w:sz w:val="21"/>
      <w:szCs w:val="21"/>
    </w:rPr>
  </w:style>
  <w:style w:type="paragraph" w:customStyle="1" w:styleId="93">
    <w:name w:val="标准文件_附录章标题"/>
    <w:next w:val="62"/>
    <w:autoRedefine/>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4">
    <w:name w:val="标准文件_公式后的破折号"/>
    <w:basedOn w:val="62"/>
    <w:next w:val="62"/>
    <w:autoRedefine/>
    <w:qFormat/>
    <w:uiPriority w:val="0"/>
    <w:pPr>
      <w:ind w:left="488" w:leftChars="200" w:hanging="289" w:hangingChars="290"/>
    </w:pPr>
  </w:style>
  <w:style w:type="paragraph" w:customStyle="1" w:styleId="95">
    <w:name w:val="标准文件_前言、引言标题"/>
    <w:next w:val="1"/>
    <w:autoRedefine/>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6">
    <w:name w:val="标准文件_目次、标准名称标题"/>
    <w:basedOn w:val="95"/>
    <w:next w:val="62"/>
    <w:autoRedefine/>
    <w:qFormat/>
    <w:uiPriority w:val="0"/>
    <w:pPr>
      <w:spacing w:line="460" w:lineRule="exact"/>
      <w:ind w:left="0" w:firstLine="0"/>
    </w:pPr>
  </w:style>
  <w:style w:type="paragraph" w:customStyle="1" w:styleId="97">
    <w:name w:val="标准文件_目录标题"/>
    <w:basedOn w:val="1"/>
    <w:autoRedefine/>
    <w:qFormat/>
    <w:uiPriority w:val="0"/>
    <w:pPr>
      <w:spacing w:before="480" w:after="150" w:afterLines="150" w:line="240" w:lineRule="auto"/>
      <w:jc w:val="center"/>
    </w:pPr>
    <w:rPr>
      <w:rFonts w:ascii="黑体" w:eastAsia="黑体"/>
      <w:sz w:val="32"/>
    </w:rPr>
  </w:style>
  <w:style w:type="paragraph" w:customStyle="1" w:styleId="98">
    <w:name w:val="标准文件_破折号列项"/>
    <w:autoRedefine/>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9">
    <w:name w:val="标准文件_破折号列项（二级）"/>
    <w:basedOn w:val="98"/>
    <w:autoRedefine/>
    <w:qFormat/>
    <w:uiPriority w:val="0"/>
    <w:pPr>
      <w:numPr>
        <w:numId w:val="10"/>
      </w:numPr>
    </w:pPr>
  </w:style>
  <w:style w:type="paragraph" w:customStyle="1" w:styleId="100">
    <w:name w:val="标准文件_三级条标题"/>
    <w:basedOn w:val="71"/>
    <w:next w:val="62"/>
    <w:qFormat/>
    <w:uiPriority w:val="0"/>
    <w:pPr>
      <w:widowControl/>
      <w:numPr>
        <w:ilvl w:val="4"/>
      </w:numPr>
      <w:outlineLvl w:val="3"/>
    </w:pPr>
  </w:style>
  <w:style w:type="character" w:customStyle="1" w:styleId="101">
    <w:name w:val="不明显参考1"/>
    <w:autoRedefine/>
    <w:qFormat/>
    <w:uiPriority w:val="31"/>
    <w:rPr>
      <w:smallCaps/>
      <w:color w:val="C0504D"/>
      <w:u w:val="single"/>
    </w:rPr>
  </w:style>
  <w:style w:type="paragraph" w:customStyle="1" w:styleId="102">
    <w:name w:val="标准文件_示例后续"/>
    <w:basedOn w:val="1"/>
    <w:autoRedefine/>
    <w:qFormat/>
    <w:uiPriority w:val="0"/>
    <w:pPr>
      <w:adjustRightInd/>
      <w:spacing w:line="240" w:lineRule="auto"/>
      <w:ind w:firstLine="200" w:firstLineChars="200"/>
    </w:pPr>
    <w:rPr>
      <w:sz w:val="18"/>
      <w:szCs w:val="24"/>
    </w:rPr>
  </w:style>
  <w:style w:type="paragraph" w:customStyle="1" w:styleId="103">
    <w:name w:val="标准文件_数字编号列项"/>
    <w:autoRedefine/>
    <w:qFormat/>
    <w:uiPriority w:val="0"/>
    <w:pPr>
      <w:tabs>
        <w:tab w:val="left" w:pos="823"/>
      </w:tabs>
      <w:ind w:left="823" w:hanging="420"/>
      <w:jc w:val="both"/>
    </w:pPr>
    <w:rPr>
      <w:rFonts w:ascii="宋体" w:hAnsi="宋体" w:eastAsia="宋体" w:cs="Times New Roman"/>
      <w:sz w:val="21"/>
      <w:lang w:val="en-US" w:eastAsia="zh-CN" w:bidi="ar-SA"/>
    </w:rPr>
  </w:style>
  <w:style w:type="paragraph" w:customStyle="1" w:styleId="104">
    <w:name w:val="标准文件_四级条标题"/>
    <w:next w:val="62"/>
    <w:autoRedefine/>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5">
    <w:name w:val="脚注文本 字符"/>
    <w:link w:val="23"/>
    <w:autoRedefine/>
    <w:semiHidden/>
    <w:qFormat/>
    <w:uiPriority w:val="0"/>
    <w:rPr>
      <w:rFonts w:ascii="宋体"/>
      <w:kern w:val="2"/>
      <w:sz w:val="18"/>
      <w:szCs w:val="18"/>
    </w:rPr>
  </w:style>
  <w:style w:type="paragraph" w:customStyle="1" w:styleId="106">
    <w:name w:val="标准文件_条文脚注"/>
    <w:basedOn w:val="23"/>
    <w:autoRedefine/>
    <w:qFormat/>
    <w:uiPriority w:val="0"/>
    <w:pPr>
      <w:adjustRightInd w:val="0"/>
      <w:spacing w:line="240" w:lineRule="auto"/>
      <w:ind w:left="0" w:leftChars="0" w:firstLine="200" w:firstLineChars="200"/>
      <w:jc w:val="both"/>
    </w:pPr>
    <w:rPr>
      <w:rFonts w:hAnsi="宋体"/>
    </w:rPr>
  </w:style>
  <w:style w:type="paragraph" w:customStyle="1" w:styleId="107">
    <w:name w:val="标准文件_图表脚注"/>
    <w:basedOn w:val="1"/>
    <w:next w:val="62"/>
    <w:autoRedefine/>
    <w:qFormat/>
    <w:uiPriority w:val="0"/>
    <w:pPr>
      <w:numPr>
        <w:ilvl w:val="0"/>
        <w:numId w:val="11"/>
      </w:numPr>
      <w:spacing w:line="240" w:lineRule="auto"/>
      <w:jc w:val="left"/>
    </w:pPr>
    <w:rPr>
      <w:rFonts w:ascii="宋体" w:hAnsi="宋体"/>
      <w:sz w:val="18"/>
    </w:rPr>
  </w:style>
  <w:style w:type="character" w:customStyle="1" w:styleId="108">
    <w:name w:val="标准文件_图表脚注内容"/>
    <w:autoRedefine/>
    <w:qFormat/>
    <w:uiPriority w:val="0"/>
    <w:rPr>
      <w:rFonts w:ascii="宋体" w:hAnsi="宋体" w:eastAsia="宋体" w:cs="Times New Roman"/>
      <w:spacing w:val="0"/>
      <w:sz w:val="18"/>
      <w:vertAlign w:val="superscript"/>
    </w:rPr>
  </w:style>
  <w:style w:type="paragraph" w:customStyle="1" w:styleId="109">
    <w:name w:val="标准文件_五级条标题"/>
    <w:next w:val="62"/>
    <w:autoRedefine/>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10">
    <w:name w:val="标准文件_章标题"/>
    <w:next w:val="62"/>
    <w:autoRedefine/>
    <w:qFormat/>
    <w:uiPriority w:val="0"/>
    <w:pPr>
      <w:numPr>
        <w:ilvl w:val="1"/>
        <w:numId w:val="12"/>
      </w:numPr>
      <w:spacing w:before="312" w:beforeLines="100" w:after="312" w:afterLines="100"/>
      <w:jc w:val="both"/>
      <w:outlineLvl w:val="0"/>
    </w:pPr>
    <w:rPr>
      <w:rFonts w:ascii="黑体" w:hAnsi="Times New Roman" w:eastAsia="黑体" w:cs="Times New Roman"/>
      <w:sz w:val="21"/>
      <w:lang w:val="en-US" w:eastAsia="zh-CN" w:bidi="ar-SA"/>
    </w:rPr>
  </w:style>
  <w:style w:type="paragraph" w:customStyle="1" w:styleId="111">
    <w:name w:val="标准文件_一级条标题"/>
    <w:basedOn w:val="110"/>
    <w:next w:val="62"/>
    <w:qFormat/>
    <w:uiPriority w:val="0"/>
    <w:pPr>
      <w:numPr>
        <w:ilvl w:val="2"/>
        <w:numId w:val="2"/>
      </w:numPr>
      <w:spacing w:before="50" w:beforeLines="50" w:after="50" w:afterLines="50"/>
      <w:outlineLvl w:val="1"/>
    </w:pPr>
  </w:style>
  <w:style w:type="paragraph" w:customStyle="1" w:styleId="112">
    <w:name w:val="标准文件_一致程度"/>
    <w:basedOn w:val="1"/>
    <w:autoRedefine/>
    <w:qFormat/>
    <w:uiPriority w:val="0"/>
    <w:pPr>
      <w:spacing w:line="440" w:lineRule="exact"/>
      <w:jc w:val="center"/>
    </w:pPr>
    <w:rPr>
      <w:sz w:val="28"/>
    </w:rPr>
  </w:style>
  <w:style w:type="paragraph" w:customStyle="1" w:styleId="113">
    <w:name w:val="标准文件_引言标题"/>
    <w:next w:val="1"/>
    <w:autoRedefine/>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4">
    <w:name w:val="标准文件_英文图表脚注"/>
    <w:basedOn w:val="61"/>
    <w:autoRedefine/>
    <w:qFormat/>
    <w:uiPriority w:val="0"/>
    <w:pPr>
      <w:widowControl/>
      <w:adjustRightInd/>
      <w:snapToGrid/>
      <w:spacing w:line="240" w:lineRule="auto"/>
      <w:ind w:left="79" w:hanging="79" w:hangingChars="80"/>
    </w:pPr>
    <w:rPr>
      <w:rFonts w:ascii="宋体" w:hAnsi="宋体"/>
    </w:rPr>
  </w:style>
  <w:style w:type="paragraph" w:customStyle="1" w:styleId="115">
    <w:name w:val="标准文件_数字编号列项（二级）"/>
    <w:autoRedefine/>
    <w:qFormat/>
    <w:uiPriority w:val="0"/>
    <w:pPr>
      <w:tabs>
        <w:tab w:val="left" w:pos="851"/>
        <w:tab w:val="left" w:pos="1276"/>
      </w:tabs>
      <w:jc w:val="both"/>
    </w:pPr>
    <w:rPr>
      <w:rFonts w:ascii="宋体" w:hAnsi="Times New Roman" w:eastAsia="宋体" w:cs="Times New Roman"/>
      <w:sz w:val="21"/>
      <w:lang w:val="en-US" w:eastAsia="zh-CN" w:bidi="ar-SA"/>
    </w:rPr>
  </w:style>
  <w:style w:type="paragraph" w:customStyle="1" w:styleId="116">
    <w:name w:val="标准文件_英文注："/>
    <w:basedOn w:val="1"/>
    <w:next w:val="62"/>
    <w:autoRedefine/>
    <w:qFormat/>
    <w:uiPriority w:val="0"/>
    <w:pPr>
      <w:numPr>
        <w:ilvl w:val="0"/>
        <w:numId w:val="13"/>
      </w:numPr>
      <w:tabs>
        <w:tab w:val="left" w:pos="420"/>
      </w:tabs>
      <w:autoSpaceDE w:val="0"/>
      <w:autoSpaceDN w:val="0"/>
      <w:spacing w:line="240" w:lineRule="auto"/>
    </w:pPr>
    <w:rPr>
      <w:rFonts w:ascii="宋体" w:hAnsi="宋体"/>
      <w:kern w:val="0"/>
      <w:sz w:val="18"/>
      <w:szCs w:val="20"/>
    </w:rPr>
  </w:style>
  <w:style w:type="paragraph" w:customStyle="1" w:styleId="117">
    <w:name w:val="标准文件_英文注×："/>
    <w:basedOn w:val="1"/>
    <w:autoRedefine/>
    <w:qFormat/>
    <w:uiPriority w:val="0"/>
    <w:pPr>
      <w:numPr>
        <w:ilvl w:val="0"/>
        <w:numId w:val="14"/>
      </w:numPr>
      <w:tabs>
        <w:tab w:val="left" w:pos="210"/>
      </w:tabs>
      <w:autoSpaceDE w:val="0"/>
      <w:autoSpaceDN w:val="0"/>
      <w:spacing w:line="240" w:lineRule="auto"/>
    </w:pPr>
    <w:rPr>
      <w:rFonts w:ascii="宋体" w:hAnsi="宋体"/>
      <w:kern w:val="0"/>
      <w:szCs w:val="20"/>
    </w:rPr>
  </w:style>
  <w:style w:type="paragraph" w:customStyle="1" w:styleId="118">
    <w:name w:val="标准文件_正文表标题"/>
    <w:next w:val="62"/>
    <w:autoRedefine/>
    <w:qFormat/>
    <w:uiPriority w:val="0"/>
    <w:pPr>
      <w:numPr>
        <w:ilvl w:val="0"/>
        <w:numId w:val="15"/>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9">
    <w:name w:val="标准文件_正文公式"/>
    <w:basedOn w:val="1"/>
    <w:next w:val="61"/>
    <w:autoRedefine/>
    <w:qFormat/>
    <w:uiPriority w:val="0"/>
    <w:pPr>
      <w:tabs>
        <w:tab w:val="center" w:pos="4678"/>
        <w:tab w:val="right" w:leader="middleDot" w:pos="9356"/>
      </w:tabs>
      <w:spacing w:line="240" w:lineRule="auto"/>
    </w:pPr>
    <w:rPr>
      <w:rFonts w:ascii="宋体" w:hAnsi="宋体"/>
    </w:rPr>
  </w:style>
  <w:style w:type="paragraph" w:customStyle="1" w:styleId="120">
    <w:name w:val="标准文件_正文图标题"/>
    <w:next w:val="62"/>
    <w:autoRedefine/>
    <w:qFormat/>
    <w:uiPriority w:val="0"/>
    <w:pPr>
      <w:numPr>
        <w:ilvl w:val="0"/>
        <w:numId w:val="16"/>
      </w:numPr>
      <w:spacing w:before="50" w:beforeLines="50" w:after="50" w:afterLines="50"/>
      <w:jc w:val="center"/>
    </w:pPr>
    <w:rPr>
      <w:rFonts w:ascii="黑体" w:hAnsi="Times New Roman" w:eastAsia="黑体" w:cs="Times New Roman"/>
      <w:sz w:val="21"/>
      <w:lang w:val="en-US" w:eastAsia="zh-CN" w:bidi="ar-SA"/>
    </w:rPr>
  </w:style>
  <w:style w:type="paragraph" w:customStyle="1" w:styleId="121">
    <w:name w:val="标准文件_正文英文表标题"/>
    <w:next w:val="62"/>
    <w:autoRedefine/>
    <w:qFormat/>
    <w:uiPriority w:val="0"/>
    <w:pPr>
      <w:numPr>
        <w:ilvl w:val="0"/>
        <w:numId w:val="17"/>
      </w:numPr>
      <w:jc w:val="center"/>
    </w:pPr>
    <w:rPr>
      <w:rFonts w:ascii="黑体" w:hAnsi="Times New Roman" w:eastAsia="黑体" w:cs="Times New Roman"/>
      <w:sz w:val="21"/>
      <w:lang w:val="en-US" w:eastAsia="zh-CN" w:bidi="ar-SA"/>
    </w:rPr>
  </w:style>
  <w:style w:type="paragraph" w:customStyle="1" w:styleId="122">
    <w:name w:val="标准文件_正文英文图标题"/>
    <w:next w:val="62"/>
    <w:autoRedefine/>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23">
    <w:name w:val="标准文件_编号列项（三级）"/>
    <w:autoRedefine/>
    <w:qFormat/>
    <w:uiPriority w:val="0"/>
    <w:pPr>
      <w:tabs>
        <w:tab w:val="left" w:pos="851"/>
      </w:tabs>
    </w:pPr>
    <w:rPr>
      <w:rFonts w:ascii="宋体" w:hAnsi="Times New Roman" w:eastAsia="宋体" w:cs="Times New Roman"/>
      <w:sz w:val="21"/>
      <w:lang w:val="en-US" w:eastAsia="zh-CN" w:bidi="ar-SA"/>
    </w:rPr>
  </w:style>
  <w:style w:type="paragraph" w:customStyle="1" w:styleId="124">
    <w:name w:val="二级无标题条"/>
    <w:basedOn w:val="1"/>
    <w:autoRedefine/>
    <w:qFormat/>
    <w:uiPriority w:val="0"/>
    <w:pPr>
      <w:numPr>
        <w:ilvl w:val="3"/>
        <w:numId w:val="19"/>
      </w:numPr>
      <w:adjustRightInd/>
      <w:spacing w:line="240" w:lineRule="auto"/>
    </w:pPr>
    <w:rPr>
      <w:rFonts w:ascii="宋体" w:hAnsi="宋体"/>
      <w:szCs w:val="24"/>
    </w:rPr>
  </w:style>
  <w:style w:type="paragraph" w:customStyle="1" w:styleId="125">
    <w:name w:val="发布部门"/>
    <w:next w:val="62"/>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6">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7">
    <w:name w:val="封面标准代替信息"/>
    <w:basedOn w:val="1"/>
    <w:autoRedefine/>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8">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9">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30">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31">
    <w:name w:val="封面标准英文名称"/>
    <w:autoRedefine/>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32">
    <w:name w:val="封面一致性程度标识"/>
    <w:autoRedefine/>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3">
    <w:name w:val="封面正文"/>
    <w:autoRedefine/>
    <w:qFormat/>
    <w:uiPriority w:val="0"/>
    <w:pPr>
      <w:jc w:val="both"/>
    </w:pPr>
    <w:rPr>
      <w:rFonts w:ascii="Times New Roman" w:hAnsi="Times New Roman" w:eastAsia="宋体" w:cs="Times New Roman"/>
      <w:lang w:val="en-US" w:eastAsia="zh-CN" w:bidi="ar-SA"/>
    </w:rPr>
  </w:style>
  <w:style w:type="paragraph" w:customStyle="1" w:styleId="134">
    <w:name w:val="附录二级无标题条"/>
    <w:basedOn w:val="1"/>
    <w:next w:val="62"/>
    <w:autoRedefine/>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5">
    <w:name w:val="附录三级无标题条"/>
    <w:basedOn w:val="134"/>
    <w:next w:val="62"/>
    <w:autoRedefine/>
    <w:qFormat/>
    <w:uiPriority w:val="0"/>
    <w:pPr>
      <w:outlineLvl w:val="4"/>
    </w:pPr>
  </w:style>
  <w:style w:type="paragraph" w:customStyle="1" w:styleId="136">
    <w:name w:val="附录四级无标题条"/>
    <w:basedOn w:val="135"/>
    <w:next w:val="62"/>
    <w:autoRedefine/>
    <w:qFormat/>
    <w:uiPriority w:val="0"/>
    <w:pPr>
      <w:outlineLvl w:val="5"/>
    </w:pPr>
  </w:style>
  <w:style w:type="paragraph" w:customStyle="1" w:styleId="137">
    <w:name w:val="附录图"/>
    <w:next w:val="62"/>
    <w:autoRedefine/>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8">
    <w:name w:val="标准文件_一级项"/>
    <w:autoRedefine/>
    <w:qFormat/>
    <w:uiPriority w:val="0"/>
    <w:pPr>
      <w:numPr>
        <w:ilvl w:val="0"/>
        <w:numId w:val="20"/>
      </w:numPr>
    </w:pPr>
    <w:rPr>
      <w:rFonts w:ascii="宋体" w:hAnsi="Times New Roman" w:eastAsia="宋体" w:cs="Times New Roman"/>
      <w:sz w:val="21"/>
      <w:lang w:val="en-US" w:eastAsia="zh-CN" w:bidi="ar-SA"/>
    </w:rPr>
  </w:style>
  <w:style w:type="paragraph" w:customStyle="1" w:styleId="139">
    <w:name w:val="附录五级无标题条"/>
    <w:basedOn w:val="136"/>
    <w:next w:val="62"/>
    <w:autoRedefine/>
    <w:qFormat/>
    <w:uiPriority w:val="0"/>
    <w:pPr>
      <w:outlineLvl w:val="6"/>
    </w:pPr>
  </w:style>
  <w:style w:type="paragraph" w:customStyle="1" w:styleId="140">
    <w:name w:val="附录性质"/>
    <w:basedOn w:val="1"/>
    <w:autoRedefine/>
    <w:qFormat/>
    <w:uiPriority w:val="0"/>
    <w:pPr>
      <w:widowControl/>
      <w:adjustRightInd/>
      <w:jc w:val="center"/>
    </w:pPr>
    <w:rPr>
      <w:rFonts w:ascii="黑体" w:eastAsia="黑体"/>
    </w:rPr>
  </w:style>
  <w:style w:type="paragraph" w:customStyle="1" w:styleId="141">
    <w:name w:val="附录一级无标题条"/>
    <w:basedOn w:val="93"/>
    <w:next w:val="62"/>
    <w:autoRedefine/>
    <w:qFormat/>
    <w:uiPriority w:val="0"/>
    <w:pPr>
      <w:autoSpaceDN w:val="0"/>
      <w:outlineLvl w:val="2"/>
    </w:pPr>
    <w:rPr>
      <w:rFonts w:ascii="宋体" w:hAnsi="宋体" w:eastAsia="宋体"/>
    </w:rPr>
  </w:style>
  <w:style w:type="character" w:customStyle="1" w:styleId="142">
    <w:name w:val="个人答复风格"/>
    <w:autoRedefine/>
    <w:qFormat/>
    <w:uiPriority w:val="0"/>
    <w:rPr>
      <w:rFonts w:ascii="Arial" w:hAnsi="Arial" w:eastAsia="宋体" w:cs="Arial"/>
      <w:color w:val="auto"/>
      <w:spacing w:val="0"/>
      <w:sz w:val="20"/>
    </w:rPr>
  </w:style>
  <w:style w:type="character" w:customStyle="1" w:styleId="143">
    <w:name w:val="个人撰写风格"/>
    <w:autoRedefine/>
    <w:qFormat/>
    <w:uiPriority w:val="0"/>
    <w:rPr>
      <w:rFonts w:ascii="Arial" w:hAnsi="Arial" w:eastAsia="宋体" w:cs="Arial"/>
      <w:color w:val="auto"/>
      <w:spacing w:val="0"/>
      <w:sz w:val="20"/>
    </w:rPr>
  </w:style>
  <w:style w:type="paragraph" w:customStyle="1" w:styleId="144">
    <w:name w:val="脚注后续"/>
    <w:autoRedefine/>
    <w:qFormat/>
    <w:uiPriority w:val="0"/>
    <w:pPr>
      <w:ind w:left="350" w:leftChars="350"/>
      <w:jc w:val="both"/>
    </w:pPr>
    <w:rPr>
      <w:rFonts w:ascii="宋体" w:hAnsi="Times New Roman" w:eastAsia="宋体" w:cs="Times New Roman"/>
      <w:sz w:val="18"/>
      <w:lang w:val="en-US" w:eastAsia="zh-CN" w:bidi="ar-SA"/>
    </w:rPr>
  </w:style>
  <w:style w:type="paragraph" w:customStyle="1" w:styleId="145">
    <w:name w:val="列项——"/>
    <w:autoRedefine/>
    <w:qFormat/>
    <w:uiPriority w:val="0"/>
    <w:pPr>
      <w:widowControl w:val="0"/>
      <w:numPr>
        <w:ilvl w:val="0"/>
        <w:numId w:val="21"/>
      </w:numPr>
      <w:jc w:val="both"/>
    </w:pPr>
    <w:rPr>
      <w:rFonts w:ascii="宋体" w:hAnsi="宋体" w:eastAsia="宋体" w:cs="Times New Roman"/>
      <w:sz w:val="21"/>
      <w:lang w:val="en-US" w:eastAsia="zh-CN" w:bidi="ar-SA"/>
    </w:rPr>
  </w:style>
  <w:style w:type="paragraph" w:customStyle="1" w:styleId="146">
    <w:name w:val="列项·"/>
    <w:basedOn w:val="62"/>
    <w:autoRedefine/>
    <w:qFormat/>
    <w:uiPriority w:val="0"/>
    <w:pPr>
      <w:tabs>
        <w:tab w:val="left" w:pos="840"/>
      </w:tabs>
    </w:pPr>
  </w:style>
  <w:style w:type="paragraph" w:customStyle="1" w:styleId="147">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48">
    <w:name w:val="目录 21"/>
    <w:basedOn w:val="1"/>
    <w:next w:val="1"/>
    <w:autoRedefine/>
    <w:semiHidden/>
    <w:qFormat/>
    <w:uiPriority w:val="0"/>
    <w:pPr>
      <w:adjustRightInd/>
      <w:spacing w:line="240" w:lineRule="auto"/>
      <w:jc w:val="left"/>
    </w:pPr>
    <w:rPr>
      <w:bCs/>
      <w:iCs/>
    </w:rPr>
  </w:style>
  <w:style w:type="paragraph" w:customStyle="1" w:styleId="149">
    <w:name w:val="目录 31"/>
    <w:basedOn w:val="1"/>
    <w:next w:val="1"/>
    <w:autoRedefine/>
    <w:semiHidden/>
    <w:qFormat/>
    <w:uiPriority w:val="0"/>
    <w:pPr>
      <w:spacing w:line="240" w:lineRule="auto"/>
    </w:pPr>
    <w:rPr>
      <w:rFonts w:ascii="宋体" w:hAnsi="宋体"/>
      <w:iCs/>
    </w:rPr>
  </w:style>
  <w:style w:type="paragraph" w:customStyle="1" w:styleId="150">
    <w:name w:val="目录 41"/>
    <w:basedOn w:val="1"/>
    <w:next w:val="1"/>
    <w:autoRedefine/>
    <w:semiHidden/>
    <w:qFormat/>
    <w:uiPriority w:val="0"/>
    <w:pPr>
      <w:adjustRightInd/>
      <w:spacing w:line="240" w:lineRule="auto"/>
      <w:jc w:val="left"/>
    </w:pPr>
  </w:style>
  <w:style w:type="paragraph" w:customStyle="1" w:styleId="151">
    <w:name w:val="目录 51"/>
    <w:basedOn w:val="1"/>
    <w:next w:val="1"/>
    <w:autoRedefine/>
    <w:semiHidden/>
    <w:qFormat/>
    <w:uiPriority w:val="0"/>
    <w:pPr>
      <w:spacing w:line="240" w:lineRule="auto"/>
    </w:pPr>
    <w:rPr>
      <w:rFonts w:ascii="宋体" w:hAnsi="宋体"/>
    </w:rPr>
  </w:style>
  <w:style w:type="paragraph" w:customStyle="1" w:styleId="152">
    <w:name w:val="目录 61"/>
    <w:basedOn w:val="1"/>
    <w:next w:val="1"/>
    <w:autoRedefine/>
    <w:semiHidden/>
    <w:qFormat/>
    <w:uiPriority w:val="0"/>
    <w:pPr>
      <w:adjustRightInd/>
      <w:spacing w:line="240" w:lineRule="auto"/>
      <w:jc w:val="left"/>
    </w:pPr>
  </w:style>
  <w:style w:type="paragraph" w:customStyle="1" w:styleId="153">
    <w:name w:val="目录 71"/>
    <w:basedOn w:val="152"/>
    <w:autoRedefine/>
    <w:semiHidden/>
    <w:qFormat/>
    <w:uiPriority w:val="0"/>
    <w:pPr>
      <w:ind w:left="1260"/>
    </w:pPr>
  </w:style>
  <w:style w:type="paragraph" w:customStyle="1" w:styleId="154">
    <w:name w:val="目录 81"/>
    <w:basedOn w:val="153"/>
    <w:autoRedefine/>
    <w:semiHidden/>
    <w:qFormat/>
    <w:uiPriority w:val="0"/>
    <w:pPr>
      <w:ind w:left="1470"/>
    </w:pPr>
  </w:style>
  <w:style w:type="paragraph" w:customStyle="1" w:styleId="155">
    <w:name w:val="目录 91"/>
    <w:basedOn w:val="154"/>
    <w:autoRedefine/>
    <w:semiHidden/>
    <w:qFormat/>
    <w:uiPriority w:val="0"/>
    <w:pPr>
      <w:ind w:left="1680"/>
    </w:pPr>
  </w:style>
  <w:style w:type="paragraph" w:customStyle="1" w:styleId="156">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157">
    <w:name w:val="其他发布部门"/>
    <w:basedOn w:val="125"/>
    <w:autoRedefine/>
    <w:qFormat/>
    <w:uiPriority w:val="0"/>
    <w:pPr>
      <w:framePr w:wrap="around"/>
      <w:spacing w:line="0" w:lineRule="atLeast"/>
    </w:pPr>
    <w:rPr>
      <w:rFonts w:ascii="黑体" w:eastAsia="黑体"/>
      <w:b w:val="0"/>
    </w:rPr>
  </w:style>
  <w:style w:type="paragraph" w:customStyle="1" w:styleId="158">
    <w:name w:val="前言标题"/>
    <w:next w:val="1"/>
    <w:autoRedefine/>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9">
    <w:name w:val="三级无标题条"/>
    <w:basedOn w:val="1"/>
    <w:autoRedefine/>
    <w:qFormat/>
    <w:uiPriority w:val="0"/>
    <w:pPr>
      <w:numPr>
        <w:ilvl w:val="4"/>
        <w:numId w:val="19"/>
      </w:numPr>
      <w:adjustRightInd/>
      <w:spacing w:line="240" w:lineRule="auto"/>
    </w:pPr>
    <w:rPr>
      <w:rFonts w:ascii="宋体" w:hAnsi="宋体"/>
      <w:szCs w:val="24"/>
    </w:rPr>
  </w:style>
  <w:style w:type="paragraph" w:customStyle="1" w:styleId="160">
    <w:name w:val="实施日期"/>
    <w:basedOn w:val="126"/>
    <w:autoRedefine/>
    <w:qFormat/>
    <w:uiPriority w:val="0"/>
    <w:pPr>
      <w:framePr w:hSpace="0" w:wrap="around" w:xAlign="right"/>
      <w:jc w:val="right"/>
    </w:pPr>
  </w:style>
  <w:style w:type="paragraph" w:customStyle="1" w:styleId="161">
    <w:name w:val="四级无标题条"/>
    <w:basedOn w:val="1"/>
    <w:autoRedefine/>
    <w:qFormat/>
    <w:uiPriority w:val="0"/>
    <w:pPr>
      <w:numPr>
        <w:ilvl w:val="5"/>
        <w:numId w:val="19"/>
      </w:numPr>
      <w:adjustRightInd/>
      <w:spacing w:line="240" w:lineRule="auto"/>
    </w:pPr>
    <w:rPr>
      <w:rFonts w:ascii="宋体" w:hAnsi="宋体"/>
      <w:szCs w:val="24"/>
    </w:rPr>
  </w:style>
  <w:style w:type="paragraph" w:customStyle="1" w:styleId="162">
    <w:name w:val="文献分类号"/>
    <w:autoRedefine/>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3">
    <w:name w:val="无标题条"/>
    <w:next w:val="62"/>
    <w:autoRedefine/>
    <w:qFormat/>
    <w:uiPriority w:val="0"/>
    <w:pPr>
      <w:jc w:val="both"/>
    </w:pPr>
    <w:rPr>
      <w:rFonts w:ascii="宋体" w:hAnsi="宋体" w:eastAsia="宋体" w:cs="Times New Roman"/>
      <w:sz w:val="21"/>
      <w:lang w:val="en-US" w:eastAsia="zh-CN" w:bidi="ar-SA"/>
    </w:rPr>
  </w:style>
  <w:style w:type="paragraph" w:customStyle="1" w:styleId="164">
    <w:name w:val="五级无标题条"/>
    <w:basedOn w:val="1"/>
    <w:autoRedefine/>
    <w:qFormat/>
    <w:uiPriority w:val="0"/>
    <w:pPr>
      <w:numPr>
        <w:ilvl w:val="6"/>
        <w:numId w:val="19"/>
      </w:numPr>
      <w:adjustRightInd/>
    </w:pPr>
    <w:rPr>
      <w:szCs w:val="24"/>
    </w:rPr>
  </w:style>
  <w:style w:type="paragraph" w:customStyle="1" w:styleId="165">
    <w:name w:val="一级无标题条"/>
    <w:basedOn w:val="1"/>
    <w:autoRedefine/>
    <w:qFormat/>
    <w:uiPriority w:val="0"/>
    <w:pPr>
      <w:numPr>
        <w:ilvl w:val="2"/>
        <w:numId w:val="19"/>
      </w:numPr>
      <w:adjustRightInd/>
      <w:spacing w:before="10" w:after="10" w:line="240" w:lineRule="auto"/>
    </w:pPr>
    <w:rPr>
      <w:rFonts w:ascii="宋体" w:hAnsi="宋体"/>
      <w:szCs w:val="24"/>
    </w:rPr>
  </w:style>
  <w:style w:type="paragraph" w:customStyle="1" w:styleId="166">
    <w:name w:val="注:后续"/>
    <w:autoRedefine/>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7">
    <w:name w:val="注×:后续"/>
    <w:basedOn w:val="166"/>
    <w:autoRedefine/>
    <w:qFormat/>
    <w:uiPriority w:val="0"/>
    <w:pPr>
      <w:ind w:left="1406" w:leftChars="0" w:hanging="499" w:firstLineChars="0"/>
    </w:pPr>
  </w:style>
  <w:style w:type="paragraph" w:customStyle="1" w:styleId="168">
    <w:name w:val="标准文件_一级无标题"/>
    <w:basedOn w:val="111"/>
    <w:autoRedefine/>
    <w:qFormat/>
    <w:uiPriority w:val="0"/>
    <w:pPr>
      <w:spacing w:before="0" w:beforeLines="0" w:after="0" w:afterLines="0"/>
      <w:outlineLvl w:val="9"/>
    </w:pPr>
    <w:rPr>
      <w:rFonts w:ascii="宋体" w:eastAsia="宋体"/>
    </w:rPr>
  </w:style>
  <w:style w:type="paragraph" w:customStyle="1" w:styleId="169">
    <w:name w:val="标准文件_五级无标题"/>
    <w:basedOn w:val="109"/>
    <w:autoRedefine/>
    <w:qFormat/>
    <w:uiPriority w:val="0"/>
    <w:pPr>
      <w:spacing w:before="0" w:beforeLines="0" w:after="0" w:afterLines="0"/>
      <w:outlineLvl w:val="9"/>
    </w:pPr>
    <w:rPr>
      <w:rFonts w:ascii="宋体" w:eastAsia="宋体"/>
    </w:rPr>
  </w:style>
  <w:style w:type="paragraph" w:customStyle="1" w:styleId="170">
    <w:name w:val="标准文件_三级无标题"/>
    <w:basedOn w:val="100"/>
    <w:autoRedefine/>
    <w:qFormat/>
    <w:uiPriority w:val="0"/>
    <w:pPr>
      <w:spacing w:before="0" w:beforeLines="0" w:after="0" w:afterLines="0"/>
      <w:outlineLvl w:val="9"/>
    </w:pPr>
    <w:rPr>
      <w:rFonts w:ascii="宋体" w:eastAsia="宋体"/>
    </w:rPr>
  </w:style>
  <w:style w:type="paragraph" w:customStyle="1" w:styleId="171">
    <w:name w:val="标准文件_二级无标题"/>
    <w:basedOn w:val="71"/>
    <w:autoRedefine/>
    <w:qFormat/>
    <w:uiPriority w:val="0"/>
    <w:pPr>
      <w:spacing w:before="0" w:beforeLines="0" w:after="0" w:afterLines="0"/>
      <w:outlineLvl w:val="9"/>
    </w:pPr>
    <w:rPr>
      <w:rFonts w:ascii="宋体" w:eastAsia="宋体"/>
    </w:rPr>
  </w:style>
  <w:style w:type="paragraph" w:customStyle="1" w:styleId="172">
    <w:name w:val="标准_四级无标题"/>
    <w:basedOn w:val="104"/>
    <w:next w:val="62"/>
    <w:autoRedefine/>
    <w:qFormat/>
    <w:uiPriority w:val="0"/>
    <w:rPr>
      <w:rFonts w:eastAsia="宋体"/>
    </w:rPr>
  </w:style>
  <w:style w:type="paragraph" w:customStyle="1" w:styleId="173">
    <w:name w:val="标准文件_四级无标题"/>
    <w:basedOn w:val="104"/>
    <w:autoRedefine/>
    <w:qFormat/>
    <w:uiPriority w:val="0"/>
    <w:pPr>
      <w:spacing w:before="0" w:beforeLines="0" w:after="0" w:afterLines="0"/>
      <w:outlineLvl w:val="9"/>
    </w:pPr>
    <w:rPr>
      <w:rFonts w:ascii="宋体" w:hAnsi="黑体" w:eastAsia="宋体"/>
      <w:szCs w:val="52"/>
    </w:rPr>
  </w:style>
  <w:style w:type="paragraph" w:customStyle="1" w:styleId="174">
    <w:name w:val="标准文件_大写罗马数字编号列项"/>
    <w:basedOn w:val="62"/>
    <w:autoRedefine/>
    <w:qFormat/>
    <w:uiPriority w:val="0"/>
    <w:pPr>
      <w:numPr>
        <w:ilvl w:val="0"/>
        <w:numId w:val="22"/>
      </w:numPr>
      <w:ind w:firstLine="0" w:firstLineChars="0"/>
    </w:pPr>
    <w:rPr>
      <w:rFonts w:ascii="Times New Roman" w:cs="Arial"/>
      <w:szCs w:val="28"/>
    </w:rPr>
  </w:style>
  <w:style w:type="paragraph" w:customStyle="1" w:styleId="175">
    <w:name w:val="标准文件_小写罗马数字编号列项"/>
    <w:basedOn w:val="62"/>
    <w:autoRedefine/>
    <w:qFormat/>
    <w:uiPriority w:val="0"/>
    <w:pPr>
      <w:numPr>
        <w:ilvl w:val="0"/>
        <w:numId w:val="23"/>
      </w:numPr>
      <w:ind w:firstLine="0" w:firstLineChars="0"/>
    </w:pPr>
    <w:rPr>
      <w:rFonts w:cs="Arial"/>
      <w:szCs w:val="28"/>
    </w:rPr>
  </w:style>
  <w:style w:type="paragraph" w:customStyle="1" w:styleId="176">
    <w:name w:val="标准文件_附录标题"/>
    <w:basedOn w:val="82"/>
    <w:autoRedefine/>
    <w:qFormat/>
    <w:uiPriority w:val="0"/>
    <w:pPr>
      <w:numPr>
        <w:numId w:val="0"/>
      </w:numPr>
      <w:spacing w:after="280"/>
      <w:outlineLvl w:val="9"/>
    </w:pPr>
  </w:style>
  <w:style w:type="paragraph" w:customStyle="1" w:styleId="177">
    <w:name w:val="标准文件_二级项"/>
    <w:autoRedefine/>
    <w:qFormat/>
    <w:uiPriority w:val="0"/>
    <w:rPr>
      <w:rFonts w:ascii="宋体" w:hAnsi="Times New Roman" w:eastAsia="宋体" w:cs="Times New Roman"/>
      <w:sz w:val="21"/>
      <w:lang w:val="en-US" w:eastAsia="zh-CN" w:bidi="ar-SA"/>
    </w:rPr>
  </w:style>
  <w:style w:type="paragraph" w:customStyle="1" w:styleId="178">
    <w:name w:val="标准文件_三级项"/>
    <w:basedOn w:val="1"/>
    <w:autoRedefine/>
    <w:qFormat/>
    <w:uiPriority w:val="0"/>
    <w:pPr>
      <w:numPr>
        <w:ilvl w:val="2"/>
        <w:numId w:val="20"/>
      </w:numPr>
      <w:spacing w:line="536870612" w:lineRule="auto"/>
    </w:pPr>
    <w:rPr>
      <w:rFonts w:ascii="Times New Roman" w:hAnsi="Times New Roman"/>
    </w:rPr>
  </w:style>
  <w:style w:type="paragraph" w:customStyle="1" w:styleId="179">
    <w:name w:val="图表脚注说明"/>
    <w:basedOn w:val="1"/>
    <w:next w:val="62"/>
    <w:autoRedefine/>
    <w:qFormat/>
    <w:uiPriority w:val="0"/>
    <w:pPr>
      <w:numPr>
        <w:ilvl w:val="0"/>
        <w:numId w:val="24"/>
      </w:numPr>
      <w:adjustRightInd/>
      <w:spacing w:line="240" w:lineRule="auto"/>
    </w:pPr>
    <w:rPr>
      <w:rFonts w:ascii="宋体" w:hAnsi="Times New Roman"/>
      <w:sz w:val="18"/>
      <w:szCs w:val="18"/>
    </w:rPr>
  </w:style>
  <w:style w:type="paragraph" w:customStyle="1" w:styleId="180">
    <w:name w:val="标准文件_字母编号列项（一级）"/>
    <w:autoRedefine/>
    <w:qFormat/>
    <w:uiPriority w:val="0"/>
    <w:pPr>
      <w:tabs>
        <w:tab w:val="left" w:pos="851"/>
      </w:tabs>
      <w:jc w:val="both"/>
    </w:pPr>
    <w:rPr>
      <w:rFonts w:ascii="宋体" w:hAnsi="Times New Roman" w:eastAsia="宋体" w:cs="Times New Roman"/>
      <w:sz w:val="21"/>
      <w:lang w:val="en-US" w:eastAsia="zh-CN" w:bidi="ar-SA"/>
    </w:rPr>
  </w:style>
  <w:style w:type="paragraph" w:customStyle="1" w:styleId="181">
    <w:name w:val="标准文件_索引字母"/>
    <w:next w:val="62"/>
    <w:autoRedefine/>
    <w:qFormat/>
    <w:uiPriority w:val="0"/>
    <w:pPr>
      <w:jc w:val="center"/>
    </w:pPr>
    <w:rPr>
      <w:rFonts w:ascii="宋体" w:hAnsi="宋体" w:eastAsia="Times New Roman" w:cs="Times New Roman"/>
      <w:b/>
      <w:kern w:val="2"/>
      <w:sz w:val="21"/>
      <w:lang w:val="en-US" w:eastAsia="zh-CN" w:bidi="ar-SA"/>
    </w:rPr>
  </w:style>
  <w:style w:type="paragraph" w:customStyle="1" w:styleId="182">
    <w:name w:val="标准文件_附录前"/>
    <w:next w:val="62"/>
    <w:autoRedefine/>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3">
    <w:name w:val="标准文件_正文标准名称"/>
    <w:autoRedefine/>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4">
    <w:name w:val="标准文件_表格"/>
    <w:basedOn w:val="62"/>
    <w:autoRedefine/>
    <w:qFormat/>
    <w:uiPriority w:val="0"/>
    <w:pPr>
      <w:ind w:firstLine="0" w:firstLineChars="0"/>
      <w:jc w:val="center"/>
    </w:pPr>
    <w:rPr>
      <w:sz w:val="18"/>
    </w:rPr>
  </w:style>
  <w:style w:type="paragraph" w:customStyle="1" w:styleId="185">
    <w:name w:val="标准文件_注："/>
    <w:next w:val="62"/>
    <w:autoRedefine/>
    <w:qFormat/>
    <w:uiPriority w:val="0"/>
    <w:pPr>
      <w:widowControl w:val="0"/>
      <w:numPr>
        <w:ilvl w:val="0"/>
        <w:numId w:val="25"/>
      </w:numPr>
      <w:autoSpaceDE w:val="0"/>
      <w:autoSpaceDN w:val="0"/>
      <w:jc w:val="both"/>
    </w:pPr>
    <w:rPr>
      <w:rFonts w:ascii="宋体" w:hAnsi="Times New Roman" w:eastAsia="宋体" w:cs="Times New Roman"/>
      <w:sz w:val="18"/>
      <w:szCs w:val="18"/>
      <w:lang w:val="en-US" w:eastAsia="zh-CN" w:bidi="ar-SA"/>
    </w:rPr>
  </w:style>
  <w:style w:type="paragraph" w:customStyle="1" w:styleId="186">
    <w:name w:val="标准文件_注×："/>
    <w:autoRedefine/>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7">
    <w:name w:val="标准文件_示例："/>
    <w:next w:val="188"/>
    <w:autoRedefine/>
    <w:qFormat/>
    <w:uiPriority w:val="0"/>
    <w:pPr>
      <w:widowControl w:val="0"/>
      <w:numPr>
        <w:ilvl w:val="0"/>
        <w:numId w:val="27"/>
      </w:numPr>
      <w:jc w:val="both"/>
    </w:pPr>
    <w:rPr>
      <w:rFonts w:ascii="宋体" w:hAnsi="Times New Roman" w:eastAsia="宋体" w:cs="Times New Roman"/>
      <w:sz w:val="18"/>
      <w:szCs w:val="18"/>
      <w:lang w:val="en-US" w:eastAsia="zh-CN" w:bidi="ar-SA"/>
    </w:rPr>
  </w:style>
  <w:style w:type="paragraph" w:customStyle="1" w:styleId="188">
    <w:name w:val="标准文件_示例内容"/>
    <w:basedOn w:val="62"/>
    <w:autoRedefine/>
    <w:qFormat/>
    <w:uiPriority w:val="0"/>
    <w:pPr>
      <w:ind w:firstLine="420"/>
    </w:pPr>
    <w:rPr>
      <w:sz w:val="18"/>
    </w:rPr>
  </w:style>
  <w:style w:type="paragraph" w:customStyle="1" w:styleId="189">
    <w:name w:val="标准文件_示例×："/>
    <w:basedOn w:val="1"/>
    <w:next w:val="188"/>
    <w:autoRedefine/>
    <w:qFormat/>
    <w:uiPriority w:val="0"/>
    <w:pPr>
      <w:widowControl/>
      <w:numPr>
        <w:ilvl w:val="0"/>
        <w:numId w:val="28"/>
      </w:numPr>
      <w:adjustRightInd/>
      <w:spacing w:line="240" w:lineRule="auto"/>
    </w:pPr>
    <w:rPr>
      <w:rFonts w:ascii="宋体" w:hAnsi="Times New Roman"/>
      <w:kern w:val="0"/>
      <w:sz w:val="18"/>
      <w:szCs w:val="18"/>
    </w:rPr>
  </w:style>
  <w:style w:type="character" w:customStyle="1" w:styleId="190">
    <w:name w:val="标准文件_段 Char"/>
    <w:link w:val="62"/>
    <w:autoRedefine/>
    <w:qFormat/>
    <w:uiPriority w:val="0"/>
    <w:rPr>
      <w:rFonts w:ascii="宋体" w:hAnsi="Times New Roman"/>
      <w:sz w:val="21"/>
    </w:rPr>
  </w:style>
  <w:style w:type="paragraph" w:customStyle="1" w:styleId="191">
    <w:name w:val="标准文件_表格续"/>
    <w:basedOn w:val="62"/>
    <w:next w:val="62"/>
    <w:autoRedefine/>
    <w:qFormat/>
    <w:uiPriority w:val="0"/>
    <w:pPr>
      <w:jc w:val="center"/>
    </w:pPr>
    <w:rPr>
      <w:rFonts w:ascii="黑体" w:hAnsi="黑体" w:eastAsia="黑体"/>
    </w:rPr>
  </w:style>
  <w:style w:type="character" w:styleId="192">
    <w:name w:val="Placeholder Text"/>
    <w:basedOn w:val="33"/>
    <w:autoRedefine/>
    <w:semiHidden/>
    <w:qFormat/>
    <w:uiPriority w:val="99"/>
    <w:rPr>
      <w:color w:val="808080"/>
    </w:rPr>
  </w:style>
  <w:style w:type="paragraph" w:customStyle="1" w:styleId="193">
    <w:name w:val="标准文件_二级项2"/>
    <w:basedOn w:val="62"/>
    <w:autoRedefine/>
    <w:qFormat/>
    <w:uiPriority w:val="0"/>
    <w:pPr>
      <w:numPr>
        <w:ilvl w:val="1"/>
        <w:numId w:val="20"/>
      </w:numPr>
      <w:ind w:firstLine="0" w:firstLineChars="0"/>
    </w:pPr>
  </w:style>
  <w:style w:type="paragraph" w:customStyle="1" w:styleId="194">
    <w:name w:val="标准文件_三级项2"/>
    <w:basedOn w:val="62"/>
    <w:autoRedefine/>
    <w:qFormat/>
    <w:uiPriority w:val="0"/>
    <w:pPr>
      <w:numPr>
        <w:ilvl w:val="0"/>
        <w:numId w:val="29"/>
      </w:numPr>
      <w:spacing w:line="300" w:lineRule="exact"/>
      <w:ind w:firstLineChars="0"/>
    </w:pPr>
    <w:rPr>
      <w:rFonts w:ascii="Times New Roman"/>
    </w:rPr>
  </w:style>
  <w:style w:type="paragraph" w:customStyle="1" w:styleId="195">
    <w:name w:val="标准文件_一级项2"/>
    <w:basedOn w:val="62"/>
    <w:autoRedefine/>
    <w:qFormat/>
    <w:uiPriority w:val="0"/>
    <w:pPr>
      <w:numPr>
        <w:ilvl w:val="0"/>
        <w:numId w:val="30"/>
      </w:numPr>
      <w:spacing w:line="300" w:lineRule="exact"/>
      <w:ind w:firstLineChars="0"/>
    </w:pPr>
    <w:rPr>
      <w:rFonts w:ascii="Times New Roman"/>
    </w:rPr>
  </w:style>
  <w:style w:type="paragraph" w:customStyle="1" w:styleId="196">
    <w:name w:val="标准文件_提示"/>
    <w:basedOn w:val="62"/>
    <w:next w:val="62"/>
    <w:autoRedefine/>
    <w:qFormat/>
    <w:uiPriority w:val="0"/>
    <w:pPr>
      <w:ind w:firstLine="420"/>
    </w:pPr>
    <w:rPr>
      <w:rFonts w:ascii="黑体" w:eastAsia="黑体"/>
    </w:rPr>
  </w:style>
  <w:style w:type="character" w:customStyle="1" w:styleId="197">
    <w:name w:val="标准文件_来源"/>
    <w:basedOn w:val="33"/>
    <w:autoRedefine/>
    <w:qFormat/>
    <w:uiPriority w:val="1"/>
    <w:rPr>
      <w:rFonts w:eastAsia="宋体"/>
      <w:sz w:val="21"/>
    </w:rPr>
  </w:style>
  <w:style w:type="paragraph" w:customStyle="1" w:styleId="198">
    <w:name w:val="标准文件_图表说明"/>
    <w:autoRedefine/>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9">
    <w:name w:val="其他发布日期"/>
    <w:basedOn w:val="126"/>
    <w:autoRedefine/>
    <w:qFormat/>
    <w:uiPriority w:val="0"/>
    <w:pPr>
      <w:framePr w:w="3997" w:h="471" w:hRule="exact" w:hSpace="0" w:vSpace="181" w:wrap="around" w:vAnchor="page" w:hAnchor="page" w:x="1419" w:y="14097"/>
    </w:pPr>
  </w:style>
  <w:style w:type="paragraph" w:customStyle="1" w:styleId="200">
    <w:name w:val="其他实施日期"/>
    <w:basedOn w:val="160"/>
    <w:autoRedefine/>
    <w:qFormat/>
    <w:uiPriority w:val="0"/>
    <w:pPr>
      <w:framePr w:w="3997" w:h="471" w:hRule="exact" w:vSpace="181" w:wrap="around" w:vAnchor="page" w:hAnchor="page" w:x="7089" w:y="14097"/>
    </w:pPr>
  </w:style>
  <w:style w:type="paragraph" w:customStyle="1" w:styleId="201">
    <w:name w:val="标准文件_文件编号"/>
    <w:basedOn w:val="62"/>
    <w:autoRedefine/>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202">
    <w:name w:val="标准文件_替换文件编号"/>
    <w:basedOn w:val="201"/>
    <w:autoRedefine/>
    <w:qFormat/>
    <w:uiPriority w:val="0"/>
    <w:pPr>
      <w:spacing w:before="57"/>
    </w:pPr>
    <w:rPr>
      <w:sz w:val="21"/>
    </w:rPr>
  </w:style>
  <w:style w:type="paragraph" w:customStyle="1" w:styleId="203">
    <w:name w:val="标准文件_文件名称"/>
    <w:basedOn w:val="62"/>
    <w:next w:val="62"/>
    <w:autoRedefine/>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4">
    <w:name w:val="标准文件_附录图标号"/>
    <w:basedOn w:val="62"/>
    <w:next w:val="62"/>
    <w:autoRedefine/>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5">
    <w:name w:val="标准文件_附录表标号"/>
    <w:basedOn w:val="62"/>
    <w:next w:val="62"/>
    <w:autoRedefine/>
    <w:qFormat/>
    <w:uiPriority w:val="0"/>
    <w:pPr>
      <w:spacing w:line="14" w:lineRule="exact"/>
      <w:ind w:left="425" w:firstLine="0" w:firstLineChars="0"/>
      <w:jc w:val="center"/>
    </w:pPr>
    <w:rPr>
      <w:rFonts w:eastAsia="黑体"/>
      <w:vanish/>
      <w:sz w:val="2"/>
    </w:rPr>
  </w:style>
  <w:style w:type="paragraph" w:customStyle="1" w:styleId="206">
    <w:name w:val="标准文件_引言一级条标题"/>
    <w:basedOn w:val="62"/>
    <w:next w:val="62"/>
    <w:autoRedefine/>
    <w:qFormat/>
    <w:uiPriority w:val="0"/>
    <w:pPr>
      <w:numPr>
        <w:ilvl w:val="1"/>
        <w:numId w:val="8"/>
      </w:numPr>
      <w:spacing w:before="50" w:beforeLines="50" w:after="50" w:afterLines="50"/>
      <w:ind w:firstLineChars="0"/>
    </w:pPr>
    <w:rPr>
      <w:rFonts w:ascii="黑体" w:eastAsia="黑体"/>
    </w:rPr>
  </w:style>
  <w:style w:type="paragraph" w:customStyle="1" w:styleId="207">
    <w:name w:val="标准文件_引言二级条标题"/>
    <w:basedOn w:val="62"/>
    <w:next w:val="62"/>
    <w:autoRedefine/>
    <w:qFormat/>
    <w:uiPriority w:val="0"/>
    <w:pPr>
      <w:numPr>
        <w:ilvl w:val="2"/>
        <w:numId w:val="8"/>
      </w:numPr>
      <w:spacing w:before="50" w:beforeLines="50" w:after="50" w:afterLines="50"/>
      <w:ind w:firstLineChars="0"/>
    </w:pPr>
    <w:rPr>
      <w:rFonts w:ascii="黑体" w:eastAsia="黑体"/>
    </w:rPr>
  </w:style>
  <w:style w:type="paragraph" w:customStyle="1" w:styleId="208">
    <w:name w:val="标准文件_引言三级条标题"/>
    <w:basedOn w:val="62"/>
    <w:next w:val="62"/>
    <w:autoRedefine/>
    <w:qFormat/>
    <w:uiPriority w:val="0"/>
    <w:pPr>
      <w:numPr>
        <w:ilvl w:val="3"/>
        <w:numId w:val="8"/>
      </w:numPr>
      <w:spacing w:before="50" w:beforeLines="50" w:after="50" w:afterLines="50"/>
      <w:ind w:firstLineChars="0"/>
    </w:pPr>
    <w:rPr>
      <w:rFonts w:ascii="黑体" w:eastAsia="黑体"/>
    </w:rPr>
  </w:style>
  <w:style w:type="paragraph" w:customStyle="1" w:styleId="209">
    <w:name w:val="标准文件_引言四级条标题"/>
    <w:basedOn w:val="62"/>
    <w:next w:val="62"/>
    <w:autoRedefine/>
    <w:qFormat/>
    <w:uiPriority w:val="0"/>
    <w:pPr>
      <w:numPr>
        <w:ilvl w:val="4"/>
        <w:numId w:val="8"/>
      </w:numPr>
      <w:spacing w:before="50" w:beforeLines="50" w:after="50" w:afterLines="50"/>
      <w:ind w:firstLineChars="0"/>
    </w:pPr>
    <w:rPr>
      <w:rFonts w:ascii="黑体" w:eastAsia="黑体"/>
    </w:rPr>
  </w:style>
  <w:style w:type="paragraph" w:customStyle="1" w:styleId="210">
    <w:name w:val="标准文件_引言五级条标题"/>
    <w:basedOn w:val="62"/>
    <w:next w:val="62"/>
    <w:autoRedefine/>
    <w:qFormat/>
    <w:uiPriority w:val="0"/>
    <w:pPr>
      <w:numPr>
        <w:ilvl w:val="5"/>
        <w:numId w:val="8"/>
      </w:numPr>
      <w:spacing w:before="50" w:beforeLines="50" w:after="50" w:afterLines="50"/>
      <w:ind w:firstLineChars="0"/>
    </w:pPr>
    <w:rPr>
      <w:rFonts w:ascii="黑体" w:eastAsia="黑体"/>
    </w:rPr>
  </w:style>
  <w:style w:type="paragraph" w:customStyle="1" w:styleId="211">
    <w:name w:val="标准文件_注后"/>
    <w:basedOn w:val="62"/>
    <w:autoRedefine/>
    <w:qFormat/>
    <w:uiPriority w:val="0"/>
    <w:pPr>
      <w:ind w:left="811" w:firstLine="0" w:firstLineChars="0"/>
    </w:pPr>
    <w:rPr>
      <w:sz w:val="18"/>
    </w:rPr>
  </w:style>
  <w:style w:type="paragraph" w:customStyle="1" w:styleId="212">
    <w:name w:val="标准文件_注X后"/>
    <w:basedOn w:val="62"/>
    <w:autoRedefine/>
    <w:qFormat/>
    <w:uiPriority w:val="0"/>
    <w:pPr>
      <w:ind w:left="811" w:firstLine="0" w:firstLineChars="0"/>
    </w:pPr>
    <w:rPr>
      <w:sz w:val="18"/>
    </w:rPr>
  </w:style>
  <w:style w:type="paragraph" w:customStyle="1" w:styleId="213">
    <w:name w:val="标准文件_示例后"/>
    <w:basedOn w:val="62"/>
    <w:autoRedefine/>
    <w:qFormat/>
    <w:uiPriority w:val="0"/>
    <w:pPr>
      <w:ind w:left="964" w:firstLine="0" w:firstLineChars="0"/>
    </w:pPr>
    <w:rPr>
      <w:sz w:val="18"/>
    </w:rPr>
  </w:style>
  <w:style w:type="paragraph" w:customStyle="1" w:styleId="214">
    <w:name w:val="标准文件_示例X后"/>
    <w:basedOn w:val="62"/>
    <w:link w:val="215"/>
    <w:autoRedefine/>
    <w:qFormat/>
    <w:uiPriority w:val="0"/>
    <w:pPr>
      <w:ind w:left="1049" w:firstLine="0" w:firstLineChars="0"/>
    </w:pPr>
    <w:rPr>
      <w:sz w:val="18"/>
    </w:rPr>
  </w:style>
  <w:style w:type="character" w:customStyle="1" w:styleId="215">
    <w:name w:val="标准文件_示例X后 字符"/>
    <w:basedOn w:val="190"/>
    <w:link w:val="214"/>
    <w:autoRedefine/>
    <w:qFormat/>
    <w:uiPriority w:val="0"/>
    <w:rPr>
      <w:rFonts w:ascii="宋体" w:hAnsi="Times New Roman"/>
      <w:sz w:val="18"/>
    </w:rPr>
  </w:style>
  <w:style w:type="paragraph" w:customStyle="1" w:styleId="216">
    <w:name w:val="标准文件_索引项"/>
    <w:basedOn w:val="62"/>
    <w:next w:val="62"/>
    <w:autoRedefine/>
    <w:qFormat/>
    <w:uiPriority w:val="0"/>
    <w:pPr>
      <w:tabs>
        <w:tab w:val="right" w:leader="dot" w:pos="9356"/>
      </w:tabs>
      <w:ind w:left="210" w:hanging="210" w:firstLineChars="0"/>
      <w:jc w:val="left"/>
    </w:pPr>
  </w:style>
  <w:style w:type="paragraph" w:customStyle="1" w:styleId="217">
    <w:name w:val="标准文件_附录一级无标题"/>
    <w:basedOn w:val="84"/>
    <w:autoRedefine/>
    <w:qFormat/>
    <w:uiPriority w:val="0"/>
    <w:pPr>
      <w:spacing w:before="0" w:beforeLines="0" w:after="0" w:afterLines="0" w:line="276" w:lineRule="auto"/>
      <w:outlineLvl w:val="9"/>
    </w:pPr>
    <w:rPr>
      <w:rFonts w:ascii="宋体" w:eastAsia="宋体"/>
    </w:rPr>
  </w:style>
  <w:style w:type="paragraph" w:customStyle="1" w:styleId="218">
    <w:name w:val="标准文件_附录二级无标题"/>
    <w:basedOn w:val="85"/>
    <w:autoRedefine/>
    <w:qFormat/>
    <w:uiPriority w:val="0"/>
    <w:pPr>
      <w:spacing w:before="0" w:beforeLines="0" w:after="0" w:afterLines="0" w:line="276" w:lineRule="auto"/>
      <w:outlineLvl w:val="9"/>
    </w:pPr>
    <w:rPr>
      <w:rFonts w:ascii="宋体" w:eastAsia="宋体"/>
    </w:rPr>
  </w:style>
  <w:style w:type="paragraph" w:customStyle="1" w:styleId="219">
    <w:name w:val="标准文件_附录三级无标题"/>
    <w:basedOn w:val="87"/>
    <w:autoRedefine/>
    <w:qFormat/>
    <w:uiPriority w:val="0"/>
    <w:pPr>
      <w:spacing w:before="0" w:beforeLines="0" w:after="0" w:afterLines="0" w:line="276" w:lineRule="auto"/>
      <w:outlineLvl w:val="9"/>
    </w:pPr>
    <w:rPr>
      <w:rFonts w:ascii="宋体" w:eastAsia="宋体"/>
    </w:rPr>
  </w:style>
  <w:style w:type="paragraph" w:customStyle="1" w:styleId="220">
    <w:name w:val="标准文件_附录四级无标题"/>
    <w:basedOn w:val="88"/>
    <w:autoRedefine/>
    <w:qFormat/>
    <w:uiPriority w:val="0"/>
    <w:pPr>
      <w:spacing w:before="0" w:beforeLines="0" w:after="0" w:afterLines="0" w:line="276" w:lineRule="auto"/>
      <w:outlineLvl w:val="9"/>
    </w:pPr>
    <w:rPr>
      <w:rFonts w:ascii="宋体" w:eastAsia="宋体"/>
    </w:rPr>
  </w:style>
  <w:style w:type="paragraph" w:customStyle="1" w:styleId="221">
    <w:name w:val="标准文件_附录五级无标题"/>
    <w:basedOn w:val="90"/>
    <w:autoRedefine/>
    <w:qFormat/>
    <w:uiPriority w:val="0"/>
    <w:pPr>
      <w:spacing w:before="0" w:beforeLines="0" w:after="0" w:afterLines="0" w:line="276" w:lineRule="auto"/>
      <w:outlineLvl w:val="9"/>
    </w:pPr>
    <w:rPr>
      <w:rFonts w:ascii="宋体" w:eastAsia="宋体"/>
    </w:rPr>
  </w:style>
  <w:style w:type="paragraph" w:customStyle="1" w:styleId="222">
    <w:name w:val="标准文件_引言一级无标题"/>
    <w:basedOn w:val="206"/>
    <w:next w:val="62"/>
    <w:autoRedefine/>
    <w:qFormat/>
    <w:uiPriority w:val="0"/>
    <w:pPr>
      <w:spacing w:before="0" w:beforeLines="0" w:after="0" w:afterLines="0" w:line="276" w:lineRule="auto"/>
    </w:pPr>
    <w:rPr>
      <w:rFonts w:ascii="宋体" w:eastAsia="宋体"/>
    </w:rPr>
  </w:style>
  <w:style w:type="paragraph" w:customStyle="1" w:styleId="223">
    <w:name w:val="标准文件_引言二级无标题"/>
    <w:basedOn w:val="207"/>
    <w:next w:val="62"/>
    <w:autoRedefine/>
    <w:qFormat/>
    <w:uiPriority w:val="0"/>
    <w:pPr>
      <w:spacing w:before="0" w:beforeLines="0" w:after="0" w:afterLines="0" w:line="276" w:lineRule="auto"/>
    </w:pPr>
    <w:rPr>
      <w:rFonts w:ascii="宋体" w:eastAsia="宋体"/>
    </w:rPr>
  </w:style>
  <w:style w:type="paragraph" w:customStyle="1" w:styleId="224">
    <w:name w:val="标准文件_引言三级无标题"/>
    <w:basedOn w:val="208"/>
    <w:autoRedefine/>
    <w:qFormat/>
    <w:uiPriority w:val="0"/>
    <w:pPr>
      <w:spacing w:before="0" w:beforeLines="0" w:after="0" w:afterLines="0" w:line="276" w:lineRule="auto"/>
    </w:pPr>
    <w:rPr>
      <w:rFonts w:ascii="宋体" w:eastAsia="宋体"/>
    </w:rPr>
  </w:style>
  <w:style w:type="paragraph" w:customStyle="1" w:styleId="225">
    <w:name w:val="标准文件_引言四级无标题"/>
    <w:basedOn w:val="209"/>
    <w:next w:val="62"/>
    <w:autoRedefine/>
    <w:qFormat/>
    <w:uiPriority w:val="0"/>
    <w:pPr>
      <w:spacing w:before="0" w:beforeLines="0" w:after="0" w:afterLines="0" w:line="276" w:lineRule="auto"/>
    </w:pPr>
    <w:rPr>
      <w:rFonts w:ascii="宋体" w:eastAsia="宋体"/>
    </w:rPr>
  </w:style>
  <w:style w:type="paragraph" w:customStyle="1" w:styleId="226">
    <w:name w:val="标准文件_引言五级无标题"/>
    <w:basedOn w:val="210"/>
    <w:next w:val="62"/>
    <w:autoRedefine/>
    <w:qFormat/>
    <w:uiPriority w:val="0"/>
    <w:pPr>
      <w:spacing w:before="0" w:beforeLines="0" w:after="0" w:afterLines="0" w:line="276" w:lineRule="auto"/>
    </w:pPr>
    <w:rPr>
      <w:rFonts w:ascii="宋体" w:eastAsia="宋体"/>
    </w:rPr>
  </w:style>
  <w:style w:type="paragraph" w:customStyle="1" w:styleId="227">
    <w:name w:val="标准文件_索引标题"/>
    <w:basedOn w:val="69"/>
    <w:next w:val="62"/>
    <w:autoRedefine/>
    <w:qFormat/>
    <w:uiPriority w:val="0"/>
    <w:rPr>
      <w:rFonts w:hAnsi="黑体"/>
    </w:rPr>
  </w:style>
  <w:style w:type="paragraph" w:customStyle="1" w:styleId="228">
    <w:name w:val="标准文件_脚注内容"/>
    <w:basedOn w:val="62"/>
    <w:autoRedefine/>
    <w:qFormat/>
    <w:uiPriority w:val="0"/>
    <w:pPr>
      <w:ind w:left="400" w:leftChars="200" w:hanging="200" w:hangingChars="200"/>
    </w:pPr>
    <w:rPr>
      <w:sz w:val="15"/>
    </w:rPr>
  </w:style>
  <w:style w:type="paragraph" w:customStyle="1" w:styleId="229">
    <w:name w:val="标准文件_术语条一"/>
    <w:basedOn w:val="168"/>
    <w:next w:val="62"/>
    <w:autoRedefine/>
    <w:qFormat/>
    <w:uiPriority w:val="0"/>
  </w:style>
  <w:style w:type="paragraph" w:customStyle="1" w:styleId="230">
    <w:name w:val="标准文件_术语条二"/>
    <w:basedOn w:val="171"/>
    <w:next w:val="62"/>
    <w:autoRedefine/>
    <w:qFormat/>
    <w:uiPriority w:val="0"/>
  </w:style>
  <w:style w:type="paragraph" w:customStyle="1" w:styleId="231">
    <w:name w:val="标准文件_术语条三"/>
    <w:basedOn w:val="170"/>
    <w:next w:val="62"/>
    <w:autoRedefine/>
    <w:qFormat/>
    <w:uiPriority w:val="0"/>
  </w:style>
  <w:style w:type="paragraph" w:customStyle="1" w:styleId="232">
    <w:name w:val="标准文件_术语条四"/>
    <w:basedOn w:val="173"/>
    <w:next w:val="62"/>
    <w:autoRedefine/>
    <w:qFormat/>
    <w:uiPriority w:val="0"/>
  </w:style>
  <w:style w:type="paragraph" w:customStyle="1" w:styleId="233">
    <w:name w:val="标准文件_术语条五"/>
    <w:basedOn w:val="169"/>
    <w:next w:val="62"/>
    <w:autoRedefine/>
    <w:qFormat/>
    <w:uiPriority w:val="0"/>
  </w:style>
  <w:style w:type="paragraph" w:customStyle="1" w:styleId="234">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5">
    <w:name w:val="发布"/>
    <w:basedOn w:val="33"/>
    <w:autoRedefine/>
    <w:qFormat/>
    <w:uiPriority w:val="0"/>
    <w:rPr>
      <w:rFonts w:ascii="黑体" w:eastAsia="黑体"/>
      <w:spacing w:val="85"/>
      <w:w w:val="100"/>
      <w:position w:val="3"/>
      <w:sz w:val="28"/>
      <w:szCs w:val="28"/>
    </w:rPr>
  </w:style>
  <w:style w:type="paragraph" w:customStyle="1" w:styleId="236">
    <w:name w:val="修订1"/>
    <w:autoRedefine/>
    <w:hidden/>
    <w:semiHidden/>
    <w:qFormat/>
    <w:uiPriority w:val="99"/>
    <w:rPr>
      <w:rFonts w:ascii="Calibri" w:hAnsi="Calibri" w:eastAsia="宋体" w:cs="Times New Roman"/>
      <w:kern w:val="2"/>
      <w:sz w:val="21"/>
      <w:szCs w:val="21"/>
      <w:lang w:val="en-US" w:eastAsia="zh-CN" w:bidi="ar-SA"/>
    </w:rPr>
  </w:style>
  <w:style w:type="character" w:customStyle="1" w:styleId="237">
    <w:name w:val="日期 字符"/>
    <w:basedOn w:val="33"/>
    <w:link w:val="17"/>
    <w:autoRedefine/>
    <w:semiHidden/>
    <w:qFormat/>
    <w:uiPriority w:val="99"/>
    <w:rPr>
      <w:rFonts w:ascii="Calibri" w:hAnsi="Calibri"/>
      <w:kern w:val="2"/>
      <w:sz w:val="21"/>
      <w:szCs w:val="21"/>
    </w:rPr>
  </w:style>
  <w:style w:type="paragraph" w:customStyle="1" w:styleId="238">
    <w:name w:val="二级条标题"/>
    <w:basedOn w:val="239"/>
    <w:next w:val="240"/>
    <w:link w:val="244"/>
    <w:autoRedefine/>
    <w:qFormat/>
    <w:uiPriority w:val="0"/>
    <w:pPr>
      <w:widowControl/>
      <w:numPr>
        <w:ilvl w:val="2"/>
        <w:numId w:val="31"/>
      </w:numPr>
      <w:adjustRightInd/>
      <w:spacing w:before="50" w:beforeLines="50" w:after="50" w:afterLines="50" w:line="240" w:lineRule="auto"/>
      <w:jc w:val="left"/>
      <w:outlineLvl w:val="3"/>
    </w:pPr>
    <w:rPr>
      <w:rFonts w:ascii="黑体" w:hAnsi="Times New Roman" w:eastAsia="黑体"/>
      <w:kern w:val="0"/>
    </w:rPr>
  </w:style>
  <w:style w:type="paragraph" w:customStyle="1" w:styleId="239">
    <w:name w:val="一级条标题"/>
    <w:next w:val="240"/>
    <w:qFormat/>
    <w:uiPriority w:val="0"/>
    <w:p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240">
    <w:name w:val="段"/>
    <w:link w:val="245"/>
    <w:qFormat/>
    <w:uiPriority w:val="0"/>
    <w:pPr>
      <w:tabs>
        <w:tab w:val="center" w:pos="4201"/>
        <w:tab w:val="right" w:leader="dot" w:pos="9298"/>
      </w:tabs>
      <w:autoSpaceDE w:val="0"/>
      <w:autoSpaceDN w:val="0"/>
      <w:ind w:firstLine="360" w:firstLineChars="200"/>
      <w:jc w:val="both"/>
    </w:pPr>
    <w:rPr>
      <w:rFonts w:ascii="黑体" w:hAnsi="黑体" w:eastAsia="黑体" w:cs="黑体"/>
      <w:sz w:val="18"/>
      <w:szCs w:val="18"/>
      <w:lang w:val="en-US" w:eastAsia="zh-CN" w:bidi="ar-SA"/>
    </w:rPr>
  </w:style>
  <w:style w:type="paragraph" w:styleId="241">
    <w:name w:val="List Paragraph"/>
    <w:basedOn w:val="1"/>
    <w:qFormat/>
    <w:uiPriority w:val="34"/>
    <w:pPr>
      <w:ind w:firstLine="420" w:firstLineChars="200"/>
    </w:pPr>
  </w:style>
  <w:style w:type="paragraph" w:customStyle="1" w:styleId="242">
    <w:name w:val="ql-align-left"/>
    <w:basedOn w:val="1"/>
    <w:autoRedefine/>
    <w:qFormat/>
    <w:uiPriority w:val="0"/>
    <w:pPr>
      <w:widowControl/>
      <w:adjustRightInd/>
      <w:spacing w:before="100" w:beforeAutospacing="1" w:after="100" w:afterAutospacing="1" w:line="240" w:lineRule="auto"/>
      <w:jc w:val="left"/>
    </w:pPr>
    <w:rPr>
      <w:rFonts w:ascii="宋体" w:hAnsi="宋体" w:cs="宋体"/>
      <w:kern w:val="0"/>
      <w:sz w:val="24"/>
      <w:szCs w:val="24"/>
    </w:rPr>
  </w:style>
  <w:style w:type="character" w:customStyle="1" w:styleId="243">
    <w:name w:val="ql-font-songti"/>
    <w:basedOn w:val="33"/>
    <w:autoRedefine/>
    <w:qFormat/>
    <w:uiPriority w:val="0"/>
  </w:style>
  <w:style w:type="character" w:customStyle="1" w:styleId="244">
    <w:name w:val="二级条标题 Char"/>
    <w:link w:val="238"/>
    <w:autoRedefine/>
    <w:qFormat/>
    <w:uiPriority w:val="0"/>
    <w:rPr>
      <w:rFonts w:ascii="黑体" w:eastAsia="黑体"/>
      <w:sz w:val="21"/>
      <w:szCs w:val="21"/>
    </w:rPr>
  </w:style>
  <w:style w:type="character" w:customStyle="1" w:styleId="245">
    <w:name w:val="段 Char"/>
    <w:link w:val="240"/>
    <w:autoRedefine/>
    <w:qFormat/>
    <w:uiPriority w:val="0"/>
    <w:rPr>
      <w:rFonts w:ascii="黑体" w:hAnsi="黑体" w:eastAsia="黑体" w:cs="黑体"/>
      <w:sz w:val="18"/>
      <w:szCs w:val="18"/>
    </w:rPr>
  </w:style>
  <w:style w:type="paragraph" w:customStyle="1" w:styleId="246">
    <w:name w:val="标准书脚_奇数页"/>
    <w:autoRedefine/>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247">
    <w:name w:val="标准书眉_奇数页"/>
    <w:next w:val="1"/>
    <w:autoRedefine/>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248">
    <w:name w:val="四级条标题"/>
    <w:basedOn w:val="1"/>
    <w:next w:val="240"/>
    <w:autoRedefine/>
    <w:qFormat/>
    <w:uiPriority w:val="0"/>
    <w:pPr>
      <w:widowControl/>
      <w:adjustRightInd/>
      <w:spacing w:before="50" w:beforeLines="50" w:after="50" w:afterLines="50" w:line="240" w:lineRule="auto"/>
      <w:jc w:val="left"/>
      <w:outlineLvl w:val="5"/>
    </w:pPr>
    <w:rPr>
      <w:rFonts w:ascii="黑体" w:hAnsi="Times New Roman" w:eastAsia="黑体"/>
      <w:kern w:val="0"/>
    </w:rPr>
  </w:style>
  <w:style w:type="paragraph" w:customStyle="1" w:styleId="249">
    <w:name w:val="附录标识"/>
    <w:basedOn w:val="1"/>
    <w:next w:val="240"/>
    <w:autoRedefine/>
    <w:qFormat/>
    <w:uiPriority w:val="0"/>
    <w:pPr>
      <w:keepNext/>
      <w:widowControl/>
      <w:numPr>
        <w:ilvl w:val="0"/>
        <w:numId w:val="32"/>
      </w:numPr>
      <w:shd w:val="clear" w:color="FFFFFF" w:fill="FFFFFF"/>
      <w:tabs>
        <w:tab w:val="left" w:pos="6405"/>
      </w:tabs>
      <w:adjustRightInd/>
      <w:spacing w:before="640" w:after="280" w:line="240" w:lineRule="auto"/>
      <w:jc w:val="center"/>
      <w:outlineLvl w:val="0"/>
    </w:pPr>
    <w:rPr>
      <w:rFonts w:ascii="黑体" w:hAnsi="Times New Roman" w:eastAsia="黑体"/>
      <w:kern w:val="0"/>
      <w:szCs w:val="20"/>
    </w:rPr>
  </w:style>
  <w:style w:type="paragraph" w:customStyle="1" w:styleId="250">
    <w:name w:val="章标题"/>
    <w:next w:val="240"/>
    <w:link w:val="251"/>
    <w:qFormat/>
    <w:uiPriority w:val="0"/>
    <w:pPr>
      <w:spacing w:before="312" w:beforeLines="100" w:after="312" w:afterLines="100"/>
      <w:jc w:val="both"/>
      <w:outlineLvl w:val="1"/>
    </w:pPr>
    <w:rPr>
      <w:rFonts w:ascii="黑体" w:hAnsi="Times New Roman" w:eastAsia="黑体" w:cs="Times New Roman"/>
      <w:sz w:val="21"/>
      <w:lang w:val="en-US" w:eastAsia="zh-CN" w:bidi="ar-SA"/>
    </w:rPr>
  </w:style>
  <w:style w:type="character" w:customStyle="1" w:styleId="251">
    <w:name w:val="章标题 Char"/>
    <w:link w:val="250"/>
    <w:qFormat/>
    <w:uiPriority w:val="0"/>
    <w:rPr>
      <w:rFonts w:ascii="黑体" w:eastAsia="黑体"/>
      <w:sz w:val="21"/>
    </w:rPr>
  </w:style>
  <w:style w:type="paragraph" w:customStyle="1" w:styleId="252">
    <w:name w:val="字母编号列项（一级）"/>
    <w:qFormat/>
    <w:uiPriority w:val="0"/>
    <w:pPr>
      <w:numPr>
        <w:ilvl w:val="0"/>
        <w:numId w:val="5"/>
      </w:numPr>
      <w:tabs>
        <w:tab w:val="left" w:pos="845"/>
      </w:tabs>
      <w:jc w:val="both"/>
    </w:pPr>
    <w:rPr>
      <w:rFonts w:ascii="宋体" w:hAnsi="Times New Roman" w:eastAsia="宋体" w:cs="Times New Roman"/>
      <w:sz w:val="21"/>
      <w:lang w:val="en-US" w:eastAsia="zh-CN" w:bidi="ar-SA"/>
    </w:rPr>
  </w:style>
  <w:style w:type="character" w:customStyle="1" w:styleId="253">
    <w:name w:val="页脚 字符1"/>
    <w:qFormat/>
    <w:uiPriority w:val="99"/>
    <w:rPr>
      <w:kern w:val="2"/>
      <w:sz w:val="18"/>
      <w:szCs w:val="18"/>
    </w:rPr>
  </w:style>
  <w:style w:type="paragraph" w:customStyle="1" w:styleId="254">
    <w:name w:val="终结线"/>
    <w:basedOn w:val="1"/>
    <w:qFormat/>
    <w:uiPriority w:val="0"/>
    <w:pPr>
      <w:framePr w:hSpace="181" w:vSpace="181" w:wrap="around" w:vAnchor="text" w:hAnchor="margin" w:xAlign="center" w:y="285"/>
      <w:adjustRightInd/>
      <w:spacing w:line="240" w:lineRule="auto"/>
    </w:pPr>
    <w:rPr>
      <w:rFonts w:ascii="Times New Roman" w:hAnsi="Times New Roman"/>
      <w:szCs w:val="24"/>
    </w:rPr>
  </w:style>
  <w:style w:type="paragraph" w:customStyle="1" w:styleId="255">
    <w:name w:val="修订2"/>
    <w:hidden/>
    <w:unhideWhenUsed/>
    <w:qFormat/>
    <w:uiPriority w:val="99"/>
    <w:rPr>
      <w:rFonts w:ascii="Calibri" w:hAnsi="Calibri" w:eastAsia="宋体" w:cs="Times New Roman"/>
      <w:kern w:val="2"/>
      <w:sz w:val="21"/>
      <w:szCs w:val="21"/>
      <w:lang w:val="en-US" w:eastAsia="zh-CN" w:bidi="ar-SA"/>
    </w:rPr>
  </w:style>
  <w:style w:type="character" w:customStyle="1" w:styleId="256">
    <w:name w:val="批注文字 字符"/>
    <w:basedOn w:val="33"/>
    <w:link w:val="13"/>
    <w:semiHidden/>
    <w:qFormat/>
    <w:uiPriority w:val="99"/>
    <w:rPr>
      <w:rFonts w:ascii="Calibri" w:hAnsi="Calibri"/>
      <w:kern w:val="2"/>
      <w:sz w:val="21"/>
      <w:szCs w:val="21"/>
    </w:rPr>
  </w:style>
  <w:style w:type="character" w:customStyle="1" w:styleId="257">
    <w:name w:val="批注主题 字符"/>
    <w:basedOn w:val="256"/>
    <w:link w:val="30"/>
    <w:semiHidden/>
    <w:qFormat/>
    <w:uiPriority w:val="99"/>
    <w:rPr>
      <w:rFonts w:ascii="Calibri" w:hAnsi="Calibri"/>
      <w:b/>
      <w:bCs/>
      <w:kern w:val="2"/>
      <w:sz w:val="21"/>
      <w:szCs w:val="21"/>
    </w:rPr>
  </w:style>
  <w:style w:type="paragraph" w:customStyle="1" w:styleId="258">
    <w:name w:val="修订3"/>
    <w:hidden/>
    <w:unhideWhenUsed/>
    <w:qFormat/>
    <w:uiPriority w:val="99"/>
    <w:rPr>
      <w:rFonts w:ascii="Calibri" w:hAnsi="Calibri" w:eastAsia="宋体" w:cs="Times New Roman"/>
      <w:kern w:val="2"/>
      <w:sz w:val="21"/>
      <w:szCs w:val="21"/>
      <w:lang w:val="en-US" w:eastAsia="zh-CN" w:bidi="ar-SA"/>
    </w:rPr>
  </w:style>
  <w:style w:type="paragraph" w:customStyle="1" w:styleId="259">
    <w:name w:val="Revision"/>
    <w:hidden/>
    <w:unhideWhenUsed/>
    <w:qFormat/>
    <w:uiPriority w:val="99"/>
    <w:rPr>
      <w:rFonts w:ascii="Calibri" w:hAnsi="Calibri" w:eastAsia="宋体" w:cs="Times New Roman"/>
      <w:kern w:val="2"/>
      <w:sz w:val="21"/>
      <w:szCs w:val="21"/>
      <w:lang w:val="en-US" w:eastAsia="zh-CN" w:bidi="ar-SA"/>
    </w:rPr>
  </w:style>
  <w:style w:type="paragraph" w:customStyle="1" w:styleId="260">
    <w:name w:val="标准书眉_偶数页"/>
    <w:basedOn w:val="247"/>
    <w:next w:val="1"/>
    <w:qFormat/>
    <w:uiPriority w:val="0"/>
    <w:pPr>
      <w:jc w:val="left"/>
    </w:pPr>
    <w:rPr>
      <w:rFonts w:ascii="黑体" w:eastAsia="黑体"/>
    </w:rPr>
  </w:style>
  <w:style w:type="paragraph" w:customStyle="1" w:styleId="261">
    <w:name w:val="标准书脚_偶数页"/>
    <w:qFormat/>
    <w:uiPriority w:val="0"/>
    <w:pPr>
      <w:spacing w:before="120"/>
      <w:ind w:left="221"/>
    </w:pPr>
    <w:rPr>
      <w:rFonts w:ascii="宋体" w:hAnsi="Times New Roman" w:eastAsia="宋体" w:cs="Times New Roman"/>
      <w:sz w:val="18"/>
      <w:szCs w:val="18"/>
      <w:lang w:val="en-US" w:eastAsia="zh-CN" w:bidi="ar-SA"/>
    </w:rPr>
  </w:style>
  <w:style w:type="paragraph" w:customStyle="1" w:styleId="262">
    <w:name w:val="Table Text"/>
    <w:semiHidden/>
    <w:qFormat/>
    <w:uiPriority w:val="0"/>
    <w:pPr>
      <w:kinsoku w:val="0"/>
      <w:autoSpaceDE w:val="0"/>
      <w:autoSpaceDN w:val="0"/>
      <w:adjustRightInd w:val="0"/>
      <w:snapToGrid w:val="0"/>
      <w:spacing w:line="240" w:lineRule="auto"/>
      <w:jc w:val="left"/>
      <w:textAlignment w:val="baseline"/>
    </w:pPr>
    <w:rPr>
      <w:rFonts w:ascii="微软雅黑" w:hAnsi="微软雅黑" w:eastAsia="微软雅黑" w:cs="微软雅黑"/>
      <w:snapToGrid w:val="0"/>
      <w:color w:val="000000"/>
      <w:kern w:val="0"/>
      <w:sz w:val="18"/>
      <w:szCs w:val="18"/>
      <w:lang w:val="en-US" w:eastAsia="en-US" w:bidi="ar-SA"/>
    </w:rPr>
  </w:style>
  <w:style w:type="table" w:customStyle="1" w:styleId="263">
    <w:name w:val="Table Normal"/>
    <w:unhideWhenUsed/>
    <w:qFormat/>
    <w:uiPriority w:val="0"/>
    <w:tblPr>
      <w:tblCellMar>
        <w:top w:w="0" w:type="dxa"/>
        <w:left w:w="0" w:type="dxa"/>
        <w:bottom w:w="0" w:type="dxa"/>
        <w:right w:w="0" w:type="dxa"/>
      </w:tblCellMar>
    </w:tblPr>
  </w:style>
  <w:style w:type="character" w:customStyle="1" w:styleId="264">
    <w:name w:val="15"/>
    <w:basedOn w:val="33"/>
    <w:qFormat/>
    <w:uiPriority w:val="0"/>
    <w:rPr>
      <w:rFonts w:hint="default" w:ascii="Times New Roman" w:hAnsi="Times New Roman" w:cs="Times New Roman"/>
      <w:i/>
    </w:rPr>
  </w:style>
  <w:style w:type="character" w:customStyle="1" w:styleId="265">
    <w:name w:val="10"/>
    <w:basedOn w:val="33"/>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0" Type="http://schemas.openxmlformats.org/officeDocument/2006/relationships/glossaryDocument" Target="glossary/document.xml"/><Relationship Id="rId3" Type="http://schemas.openxmlformats.org/officeDocument/2006/relationships/footnotes" Target="footnotes.xml"/><Relationship Id="rId29" Type="http://schemas.openxmlformats.org/officeDocument/2006/relationships/fontTable" Target="fontTable.xml"/><Relationship Id="rId28" Type="http://schemas.openxmlformats.org/officeDocument/2006/relationships/customXml" Target="../customXml/item2.xml"/><Relationship Id="rId27" Type="http://schemas.openxmlformats.org/officeDocument/2006/relationships/numbering" Target="numbering.xml"/><Relationship Id="rId26" Type="http://schemas.openxmlformats.org/officeDocument/2006/relationships/customXml" Target="../customXml/item1.xml"/><Relationship Id="rId25" Type="http://schemas.openxmlformats.org/officeDocument/2006/relationships/image" Target="media/image3.jpeg"/><Relationship Id="rId24" Type="http://schemas.openxmlformats.org/officeDocument/2006/relationships/image" Target="media/image2.emf"/><Relationship Id="rId23" Type="http://schemas.openxmlformats.org/officeDocument/2006/relationships/oleObject" Target="embeddings/oleObject1.bin"/><Relationship Id="rId22" Type="http://schemas.openxmlformats.org/officeDocument/2006/relationships/image" Target="media/image1.tiff"/><Relationship Id="rId21" Type="http://schemas.openxmlformats.org/officeDocument/2006/relationships/theme" Target="theme/theme1.xml"/><Relationship Id="rId20" Type="http://schemas.openxmlformats.org/officeDocument/2006/relationships/footer" Target="footer8.xml"/><Relationship Id="rId2" Type="http://schemas.openxmlformats.org/officeDocument/2006/relationships/settings" Target="settings.xml"/><Relationship Id="rId19" Type="http://schemas.openxmlformats.org/officeDocument/2006/relationships/footer" Target="footer7.xml"/><Relationship Id="rId18" Type="http://schemas.openxmlformats.org/officeDocument/2006/relationships/header" Target="header8.xml"/><Relationship Id="rId17" Type="http://schemas.openxmlformats.org/officeDocument/2006/relationships/header" Target="header7.xml"/><Relationship Id="rId16" Type="http://schemas.openxmlformats.org/officeDocument/2006/relationships/footer" Target="footer6.xml"/><Relationship Id="rId15" Type="http://schemas.openxmlformats.org/officeDocument/2006/relationships/footer" Target="footer5.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0AF6EB12892743C8BF68922404A23389"/>
        <w:style w:val=""/>
        <w:category>
          <w:name w:val="常规"/>
          <w:gallery w:val="placeholder"/>
        </w:category>
        <w:types>
          <w:type w:val="bbPlcHdr"/>
        </w:types>
        <w:behaviors>
          <w:behavior w:val="content"/>
        </w:behaviors>
        <w:description w:val=""/>
        <w:guid w:val="{735AA5CE-2278-4965-A298-44352221A94A}"/>
      </w:docPartPr>
      <w:docPartBody>
        <w:p w14:paraId="7001C0C5">
          <w:pPr>
            <w:pStyle w:val="5"/>
          </w:pPr>
          <w:r>
            <w:rPr>
              <w:rStyle w:val="4"/>
              <w:rFonts w:hint="eastAsia"/>
            </w:rPr>
            <w:t>单击或点击此处输入文字。</w:t>
          </w:r>
        </w:p>
      </w:docPartBody>
    </w:docPart>
    <w:docPart>
      <w:docPartPr>
        <w:name w:val="4210118AE05043DE8C8D674C47E06156"/>
        <w:style w:val=""/>
        <w:category>
          <w:name w:val="常规"/>
          <w:gallery w:val="placeholder"/>
        </w:category>
        <w:types>
          <w:type w:val="bbPlcHdr"/>
        </w:types>
        <w:behaviors>
          <w:behavior w:val="content"/>
        </w:behaviors>
        <w:description w:val=""/>
        <w:guid w:val="{3D603B8B-3D98-43E4-99BF-58A88A1860E9}"/>
      </w:docPartPr>
      <w:docPartBody>
        <w:p w14:paraId="6A78C956">
          <w:pPr>
            <w:pStyle w:val="6"/>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7337"/>
    <w:rsid w:val="00046C06"/>
    <w:rsid w:val="0006589C"/>
    <w:rsid w:val="00083ACF"/>
    <w:rsid w:val="00087E78"/>
    <w:rsid w:val="000B1938"/>
    <w:rsid w:val="000B2AE1"/>
    <w:rsid w:val="000E284F"/>
    <w:rsid w:val="000E79D3"/>
    <w:rsid w:val="000F24BB"/>
    <w:rsid w:val="00124368"/>
    <w:rsid w:val="001571BC"/>
    <w:rsid w:val="001F79D3"/>
    <w:rsid w:val="00221F46"/>
    <w:rsid w:val="002A1C62"/>
    <w:rsid w:val="002C183D"/>
    <w:rsid w:val="002D73FD"/>
    <w:rsid w:val="002F1E36"/>
    <w:rsid w:val="00304CB6"/>
    <w:rsid w:val="00395855"/>
    <w:rsid w:val="00414415"/>
    <w:rsid w:val="00433428"/>
    <w:rsid w:val="00452BE5"/>
    <w:rsid w:val="004558B2"/>
    <w:rsid w:val="00455F2B"/>
    <w:rsid w:val="004A4205"/>
    <w:rsid w:val="004A6F54"/>
    <w:rsid w:val="004C6AAC"/>
    <w:rsid w:val="005006EA"/>
    <w:rsid w:val="0053665F"/>
    <w:rsid w:val="005434D3"/>
    <w:rsid w:val="00584552"/>
    <w:rsid w:val="00590BA4"/>
    <w:rsid w:val="005A29F0"/>
    <w:rsid w:val="005C059A"/>
    <w:rsid w:val="00625448"/>
    <w:rsid w:val="00644D08"/>
    <w:rsid w:val="006843D0"/>
    <w:rsid w:val="0069169B"/>
    <w:rsid w:val="00697405"/>
    <w:rsid w:val="007148BE"/>
    <w:rsid w:val="007D2B70"/>
    <w:rsid w:val="007F19C0"/>
    <w:rsid w:val="007F5B22"/>
    <w:rsid w:val="008076D0"/>
    <w:rsid w:val="0083019D"/>
    <w:rsid w:val="00873DE4"/>
    <w:rsid w:val="008C383E"/>
    <w:rsid w:val="00903E99"/>
    <w:rsid w:val="00922F63"/>
    <w:rsid w:val="00943A42"/>
    <w:rsid w:val="00952485"/>
    <w:rsid w:val="00956253"/>
    <w:rsid w:val="00987BA3"/>
    <w:rsid w:val="009952EB"/>
    <w:rsid w:val="009C13DB"/>
    <w:rsid w:val="009C58B7"/>
    <w:rsid w:val="009D5653"/>
    <w:rsid w:val="00A224B9"/>
    <w:rsid w:val="00A3434B"/>
    <w:rsid w:val="00AA73E5"/>
    <w:rsid w:val="00AB58B4"/>
    <w:rsid w:val="00B03DE8"/>
    <w:rsid w:val="00B26D9F"/>
    <w:rsid w:val="00B30C27"/>
    <w:rsid w:val="00B45DE5"/>
    <w:rsid w:val="00B66681"/>
    <w:rsid w:val="00B672B5"/>
    <w:rsid w:val="00B93DE0"/>
    <w:rsid w:val="00BA714C"/>
    <w:rsid w:val="00C0724D"/>
    <w:rsid w:val="00C34670"/>
    <w:rsid w:val="00C735A0"/>
    <w:rsid w:val="00C81779"/>
    <w:rsid w:val="00CA3B3C"/>
    <w:rsid w:val="00CC155D"/>
    <w:rsid w:val="00D1328F"/>
    <w:rsid w:val="00D21C08"/>
    <w:rsid w:val="00D40DFF"/>
    <w:rsid w:val="00D47A90"/>
    <w:rsid w:val="00D556FA"/>
    <w:rsid w:val="00DC47DD"/>
    <w:rsid w:val="00DC50D7"/>
    <w:rsid w:val="00DD25A7"/>
    <w:rsid w:val="00DE43EB"/>
    <w:rsid w:val="00E22984"/>
    <w:rsid w:val="00E30026"/>
    <w:rsid w:val="00E5269D"/>
    <w:rsid w:val="00E63852"/>
    <w:rsid w:val="00EB0537"/>
    <w:rsid w:val="00EB558B"/>
    <w:rsid w:val="00EB7337"/>
    <w:rsid w:val="00EC3D6A"/>
    <w:rsid w:val="00EF5DE6"/>
    <w:rsid w:val="00F001E4"/>
    <w:rsid w:val="00F2726F"/>
    <w:rsid w:val="00F55DB5"/>
    <w:rsid w:val="00F6309E"/>
    <w:rsid w:val="00F7095A"/>
    <w:rsid w:val="00F91ACC"/>
    <w:rsid w:val="00FD68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autoRedefine/>
    <w:semiHidden/>
    <w:qFormat/>
    <w:uiPriority w:val="99"/>
    <w:rPr>
      <w:color w:val="808080"/>
    </w:rPr>
  </w:style>
  <w:style w:type="paragraph" w:customStyle="1" w:styleId="5">
    <w:name w:val="0AF6EB12892743C8BF68922404A23389"/>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4210118AE05043DE8C8D674C47E06156"/>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tyleName="APA" SelectedStyle="\APASixthEditionOfficeOnline.xsl"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010A129-B136-4816-9EE6-D0AE39EF42FE}">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17</Pages>
  <Words>4309</Words>
  <Characters>4660</Characters>
  <Lines>1</Lines>
  <Paragraphs>1</Paragraphs>
  <TotalTime>14</TotalTime>
  <ScaleCrop>false</ScaleCrop>
  <LinksUpToDate>false</LinksUpToDate>
  <CharactersWithSpaces>4744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2024-05-28T09:29:00Z</dcterms:created>
  <dc:creator>BZH-XXZX-ZUOWJ</dc:creator>
  <dc:description>&lt;config cover="true" show_menu="true" version="1.0.0" doctype="SDKXY"&gt;_x000d_
&lt;/config&gt;</dc:description>
  <cp:lastModifiedBy>修订（何）</cp:lastModifiedBy>
  <cp:lastPrinted>2024-12-17T17:24:00Z</cp:lastPrinted>
  <dcterms:modified xsi:type="dcterms:W3CDTF">2025-12-23T06:08:31Z</dcterms:modified>
  <dc:title>地方标准</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2052-12.1.0.24034</vt:lpwstr>
  </property>
  <property fmtid="{D5CDD505-2E9C-101B-9397-08002B2CF9AE}" pid="16" name="ICV">
    <vt:lpwstr>8F66F84CFA264C64850DDB50EF1CE0A9_13</vt:lpwstr>
  </property>
  <property fmtid="{D5CDD505-2E9C-101B-9397-08002B2CF9AE}" pid="17" name="KSOTemplateDocerSaveRecord">
    <vt:lpwstr>eyJoZGlkIjoiYTY0OWYwNzNhZWU0Y2Q2ODM4MTExMDYyOWY5NzRhZjQiLCJ1c2VySWQiOiI5MzIzODk3NzkifQ==</vt:lpwstr>
  </property>
</Properties>
</file>