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50C42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2461CCF">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6CC256A">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68C27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F77333E">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6AF58A2B">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F75527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07C58469">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5104</w:t>
            </w:r>
            <w:r>
              <w:fldChar w:fldCharType="end"/>
            </w:r>
            <w:bookmarkEnd w:id="3"/>
          </w:p>
        </w:tc>
      </w:tr>
    </w:tbl>
    <w:p w14:paraId="12E95A0D">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四川省（攀枝花市）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1D306EC1">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5104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2024</w:t>
      </w:r>
      <w:r>
        <w:fldChar w:fldCharType="end"/>
      </w:r>
      <w:bookmarkEnd w:id="7"/>
    </w:p>
    <w:p w14:paraId="6615A745">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67BEF501">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3CA19A2">
      <w:pPr>
        <w:pStyle w:val="50"/>
        <w:framePr w:w="9639" w:h="6976" w:hRule="exact" w:hSpace="0" w:vSpace="0" w:wrap="around" w:hAnchor="page" w:y="6408"/>
        <w:jc w:val="center"/>
        <w:rPr>
          <w:rFonts w:ascii="黑体" w:hAnsi="黑体" w:eastAsia="黑体"/>
          <w:b w:val="0"/>
          <w:bCs w:val="0"/>
          <w:w w:val="100"/>
        </w:rPr>
      </w:pPr>
    </w:p>
    <w:p w14:paraId="1B460F68">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桑椹绿色种植技术规程</w:t>
      </w:r>
      <w:r>
        <w:fldChar w:fldCharType="end"/>
      </w:r>
      <w:bookmarkEnd w:id="9"/>
    </w:p>
    <w:p w14:paraId="69C9BB0E">
      <w:pPr>
        <w:framePr w:w="9639" w:h="6974" w:hRule="exact" w:wrap="around" w:vAnchor="page" w:hAnchor="page" w:x="1419" w:y="6408" w:anchorLock="1"/>
        <w:ind w:left="-1418"/>
      </w:pPr>
    </w:p>
    <w:p w14:paraId="7B1A03B7">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点击此处添加标准名称的英文译名</w:t>
      </w:r>
      <w:r>
        <w:rPr>
          <w:rFonts w:ascii="黑体" w:hAnsi="黑体" w:eastAsia="黑体"/>
          <w:szCs w:val="28"/>
        </w:rPr>
        <w:fldChar w:fldCharType="end"/>
      </w:r>
      <w:bookmarkEnd w:id="10"/>
    </w:p>
    <w:p w14:paraId="300D7872">
      <w:pPr>
        <w:framePr w:w="9639" w:h="6974" w:hRule="exact" w:wrap="around" w:vAnchor="page" w:hAnchor="page" w:x="1419" w:y="6408" w:anchorLock="1"/>
        <w:spacing w:line="760" w:lineRule="exact"/>
        <w:ind w:left="-1418"/>
      </w:pPr>
    </w:p>
    <w:p w14:paraId="0FD275B9">
      <w:pPr>
        <w:pStyle w:val="125"/>
        <w:framePr w:w="9639" w:h="6974" w:hRule="exact" w:wrap="around" w:vAnchor="page" w:hAnchor="page" w:x="1419" w:y="6408" w:anchorLock="1"/>
        <w:textAlignment w:val="bottom"/>
        <w:rPr>
          <w:rFonts w:eastAsia="黑体"/>
          <w:szCs w:val="28"/>
        </w:rPr>
      </w:pPr>
    </w:p>
    <w:p w14:paraId="17FAF88D">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121DF17F">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1C6586D">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513B056B">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604BC012">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5146973">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攀枝花市市场监督管理局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2064F0CF">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9253913">
      <w:pPr>
        <w:pStyle w:val="91"/>
        <w:spacing w:after="468"/>
      </w:pPr>
      <w:bookmarkStart w:id="21" w:name="BookMark1"/>
      <w:r>
        <w:rPr>
          <w:spacing w:val="320"/>
        </w:rPr>
        <w:t>目</w:t>
      </w:r>
      <w:r>
        <w:t>次</w:t>
      </w:r>
    </w:p>
    <w:p w14:paraId="45F34DAA">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"_Toc186796236" </w:instrText>
      </w:r>
      <w:r>
        <w:fldChar w:fldCharType="separate"/>
      </w:r>
      <w:r>
        <w:rPr>
          <w:rStyle w:val="32"/>
        </w:rPr>
        <w:t>1  范围</w:t>
      </w:r>
      <w:r>
        <w:tab/>
      </w:r>
      <w:r>
        <w:fldChar w:fldCharType="begin"/>
      </w:r>
      <w:r>
        <w:instrText xml:space="preserve"> PAGEREF _Toc186796236 \h </w:instrText>
      </w:r>
      <w:r>
        <w:fldChar w:fldCharType="separate"/>
      </w:r>
      <w:r>
        <w:t>1</w:t>
      </w:r>
      <w:r>
        <w:fldChar w:fldCharType="end"/>
      </w:r>
      <w:r>
        <w:fldChar w:fldCharType="end"/>
      </w:r>
    </w:p>
    <w:p w14:paraId="21F74CE6">
      <w:pPr>
        <w:pStyle w:val="19"/>
        <w:tabs>
          <w:tab w:val="right" w:leader="dot" w:pos="9344"/>
        </w:tabs>
        <w:rPr>
          <w:rFonts w:asciiTheme="minorHAnsi" w:hAnsiTheme="minorHAnsi" w:eastAsiaTheme="minorEastAsia" w:cstheme="minorBidi"/>
          <w:szCs w:val="22"/>
        </w:rPr>
      </w:pPr>
      <w:r>
        <w:fldChar w:fldCharType="begin"/>
      </w:r>
      <w:r>
        <w:instrText xml:space="preserve"> HYPERLINK \l "_Toc186796237" </w:instrText>
      </w:r>
      <w:r>
        <w:fldChar w:fldCharType="separate"/>
      </w:r>
      <w:r>
        <w:rPr>
          <w:rStyle w:val="32"/>
        </w:rPr>
        <w:t>2  规范性引用文件</w:t>
      </w:r>
      <w:r>
        <w:tab/>
      </w:r>
      <w:r>
        <w:fldChar w:fldCharType="begin"/>
      </w:r>
      <w:r>
        <w:instrText xml:space="preserve"> PAGEREF _Toc186796237 \h </w:instrText>
      </w:r>
      <w:r>
        <w:fldChar w:fldCharType="separate"/>
      </w:r>
      <w:r>
        <w:t>1</w:t>
      </w:r>
      <w:r>
        <w:fldChar w:fldCharType="end"/>
      </w:r>
      <w:r>
        <w:fldChar w:fldCharType="end"/>
      </w:r>
    </w:p>
    <w:p w14:paraId="274DDABD">
      <w:pPr>
        <w:pStyle w:val="19"/>
        <w:tabs>
          <w:tab w:val="right" w:leader="dot" w:pos="9344"/>
        </w:tabs>
        <w:rPr>
          <w:rFonts w:asciiTheme="minorHAnsi" w:hAnsiTheme="minorHAnsi" w:eastAsiaTheme="minorEastAsia" w:cstheme="minorBidi"/>
          <w:szCs w:val="22"/>
        </w:rPr>
      </w:pPr>
      <w:r>
        <w:fldChar w:fldCharType="begin"/>
      </w:r>
      <w:r>
        <w:instrText xml:space="preserve"> HYPERLINK \l "_Toc186796238" </w:instrText>
      </w:r>
      <w:r>
        <w:fldChar w:fldCharType="separate"/>
      </w:r>
      <w:r>
        <w:rPr>
          <w:rStyle w:val="32"/>
        </w:rPr>
        <w:t>3  术语和定义</w:t>
      </w:r>
      <w:r>
        <w:tab/>
      </w:r>
      <w:r>
        <w:fldChar w:fldCharType="begin"/>
      </w:r>
      <w:r>
        <w:instrText xml:space="preserve"> PAGEREF _Toc186796238 \h </w:instrText>
      </w:r>
      <w:r>
        <w:fldChar w:fldCharType="separate"/>
      </w:r>
      <w:r>
        <w:t>1</w:t>
      </w:r>
      <w:r>
        <w:fldChar w:fldCharType="end"/>
      </w:r>
      <w:r>
        <w:fldChar w:fldCharType="end"/>
      </w:r>
    </w:p>
    <w:p w14:paraId="70CD4D90">
      <w:pPr>
        <w:pStyle w:val="19"/>
        <w:tabs>
          <w:tab w:val="right" w:leader="dot" w:pos="9344"/>
        </w:tabs>
        <w:rPr>
          <w:rFonts w:asciiTheme="minorHAnsi" w:hAnsiTheme="minorHAnsi" w:eastAsiaTheme="minorEastAsia" w:cstheme="minorBidi"/>
          <w:szCs w:val="22"/>
        </w:rPr>
      </w:pPr>
      <w:r>
        <w:fldChar w:fldCharType="begin"/>
      </w:r>
      <w:r>
        <w:instrText xml:space="preserve"> HYPERLINK \l "_Toc186796239" </w:instrText>
      </w:r>
      <w:r>
        <w:fldChar w:fldCharType="separate"/>
      </w:r>
      <w:r>
        <w:rPr>
          <w:rStyle w:val="32"/>
        </w:rPr>
        <w:t>4  桑园地选择和规划</w:t>
      </w:r>
      <w:r>
        <w:tab/>
      </w:r>
      <w:r>
        <w:fldChar w:fldCharType="begin"/>
      </w:r>
      <w:r>
        <w:instrText xml:space="preserve"> PAGEREF _Toc186796239 \h </w:instrText>
      </w:r>
      <w:r>
        <w:fldChar w:fldCharType="separate"/>
      </w:r>
      <w:r>
        <w:t>1</w:t>
      </w:r>
      <w:r>
        <w:fldChar w:fldCharType="end"/>
      </w:r>
      <w:r>
        <w:fldChar w:fldCharType="end"/>
      </w:r>
    </w:p>
    <w:p w14:paraId="0F258367">
      <w:pPr>
        <w:pStyle w:val="24"/>
        <w:rPr>
          <w:rFonts w:asciiTheme="minorHAnsi" w:hAnsiTheme="minorHAnsi" w:eastAsiaTheme="minorEastAsia" w:cstheme="minorBidi"/>
          <w:szCs w:val="22"/>
        </w:rPr>
      </w:pPr>
      <w:r>
        <w:fldChar w:fldCharType="begin"/>
      </w:r>
      <w:r>
        <w:instrText xml:space="preserve"> HYPERLINK \l "_Toc186796240" </w:instrText>
      </w:r>
      <w:r>
        <w:fldChar w:fldCharType="separate"/>
      </w:r>
      <w:r>
        <w:rPr>
          <w:rStyle w:val="32"/>
          <w14:scene3d>
            <w14:lightRig w14:rig="threePt" w14:dir="t">
              <w14:rot w14:lat="0" w14:lon="0" w14:rev="0"/>
            </w14:lightRig>
          </w14:scene3d>
        </w:rPr>
        <w:t xml:space="preserve">4.1 </w:t>
      </w:r>
      <w:r>
        <w:rPr>
          <w:rStyle w:val="32"/>
        </w:rPr>
        <w:t xml:space="preserve"> 桑园地选择</w:t>
      </w:r>
      <w:r>
        <w:tab/>
      </w:r>
      <w:r>
        <w:fldChar w:fldCharType="begin"/>
      </w:r>
      <w:r>
        <w:instrText xml:space="preserve"> PAGEREF _Toc186796240 \h </w:instrText>
      </w:r>
      <w:r>
        <w:fldChar w:fldCharType="separate"/>
      </w:r>
      <w:r>
        <w:t>1</w:t>
      </w:r>
      <w:r>
        <w:fldChar w:fldCharType="end"/>
      </w:r>
      <w:r>
        <w:fldChar w:fldCharType="end"/>
      </w:r>
    </w:p>
    <w:p w14:paraId="2D2EC416">
      <w:pPr>
        <w:pStyle w:val="24"/>
        <w:rPr>
          <w:rFonts w:asciiTheme="minorHAnsi" w:hAnsiTheme="minorHAnsi" w:eastAsiaTheme="minorEastAsia" w:cstheme="minorBidi"/>
          <w:szCs w:val="22"/>
        </w:rPr>
      </w:pPr>
      <w:r>
        <w:fldChar w:fldCharType="begin"/>
      </w:r>
      <w:r>
        <w:instrText xml:space="preserve"> HYPERLINK \l "_Toc186796241" </w:instrText>
      </w:r>
      <w:r>
        <w:fldChar w:fldCharType="separate"/>
      </w:r>
      <w:r>
        <w:rPr>
          <w:rStyle w:val="32"/>
          <w14:scene3d>
            <w14:lightRig w14:rig="threePt" w14:dir="t">
              <w14:rot w14:lat="0" w14:lon="0" w14:rev="0"/>
            </w14:lightRig>
          </w14:scene3d>
        </w:rPr>
        <w:t xml:space="preserve">4.2 </w:t>
      </w:r>
      <w:r>
        <w:rPr>
          <w:rStyle w:val="32"/>
        </w:rPr>
        <w:t xml:space="preserve"> 桑</w:t>
      </w:r>
      <w:r>
        <w:rPr>
          <w:rStyle w:val="32"/>
          <w:rFonts w:hAnsi="宋体" w:cs="黑体"/>
        </w:rPr>
        <w:t>园地规划</w:t>
      </w:r>
      <w:r>
        <w:tab/>
      </w:r>
      <w:r>
        <w:fldChar w:fldCharType="begin"/>
      </w:r>
      <w:r>
        <w:instrText xml:space="preserve"> PAGEREF _Toc186796241 \h </w:instrText>
      </w:r>
      <w:r>
        <w:fldChar w:fldCharType="separate"/>
      </w:r>
      <w:r>
        <w:t>2</w:t>
      </w:r>
      <w:r>
        <w:fldChar w:fldCharType="end"/>
      </w:r>
      <w:r>
        <w:fldChar w:fldCharType="end"/>
      </w:r>
    </w:p>
    <w:p w14:paraId="76254646">
      <w:pPr>
        <w:pStyle w:val="19"/>
        <w:tabs>
          <w:tab w:val="right" w:leader="dot" w:pos="9344"/>
        </w:tabs>
        <w:rPr>
          <w:rFonts w:asciiTheme="minorHAnsi" w:hAnsiTheme="minorHAnsi" w:eastAsiaTheme="minorEastAsia" w:cstheme="minorBidi"/>
          <w:szCs w:val="22"/>
        </w:rPr>
      </w:pPr>
      <w:r>
        <w:fldChar w:fldCharType="begin"/>
      </w:r>
      <w:r>
        <w:instrText xml:space="preserve"> HYPERLINK \l "_Toc186796242" </w:instrText>
      </w:r>
      <w:r>
        <w:fldChar w:fldCharType="separate"/>
      </w:r>
      <w:r>
        <w:rPr>
          <w:rStyle w:val="32"/>
        </w:rPr>
        <w:t>5  桑树栽植</w:t>
      </w:r>
      <w:r>
        <w:tab/>
      </w:r>
      <w:r>
        <w:fldChar w:fldCharType="begin"/>
      </w:r>
      <w:r>
        <w:instrText xml:space="preserve"> PAGEREF _Toc186796242 \h </w:instrText>
      </w:r>
      <w:r>
        <w:fldChar w:fldCharType="separate"/>
      </w:r>
      <w:r>
        <w:t>2</w:t>
      </w:r>
      <w:r>
        <w:fldChar w:fldCharType="end"/>
      </w:r>
      <w:r>
        <w:fldChar w:fldCharType="end"/>
      </w:r>
    </w:p>
    <w:p w14:paraId="0F05D3CF">
      <w:pPr>
        <w:pStyle w:val="24"/>
        <w:rPr>
          <w:rFonts w:asciiTheme="minorHAnsi" w:hAnsiTheme="minorHAnsi" w:eastAsiaTheme="minorEastAsia" w:cstheme="minorBidi"/>
          <w:szCs w:val="22"/>
        </w:rPr>
      </w:pPr>
      <w:r>
        <w:fldChar w:fldCharType="begin"/>
      </w:r>
      <w:r>
        <w:instrText xml:space="preserve"> HYPERLINK \l "_Toc186796243" </w:instrText>
      </w:r>
      <w:r>
        <w:fldChar w:fldCharType="separate"/>
      </w:r>
      <w:r>
        <w:rPr>
          <w:rStyle w:val="32"/>
          <w14:scene3d>
            <w14:lightRig w14:rig="threePt" w14:dir="t">
              <w14:rot w14:lat="0" w14:lon="0" w14:rev="0"/>
            </w14:lightRig>
          </w14:scene3d>
        </w:rPr>
        <w:t xml:space="preserve">5.1 </w:t>
      </w:r>
      <w:r>
        <w:rPr>
          <w:rStyle w:val="32"/>
        </w:rPr>
        <w:t xml:space="preserve"> 栽桑准备</w:t>
      </w:r>
      <w:r>
        <w:tab/>
      </w:r>
      <w:r>
        <w:fldChar w:fldCharType="begin"/>
      </w:r>
      <w:r>
        <w:instrText xml:space="preserve"> PAGEREF _Toc186796243 \h </w:instrText>
      </w:r>
      <w:r>
        <w:fldChar w:fldCharType="separate"/>
      </w:r>
      <w:r>
        <w:t>2</w:t>
      </w:r>
      <w:r>
        <w:fldChar w:fldCharType="end"/>
      </w:r>
      <w:r>
        <w:fldChar w:fldCharType="end"/>
      </w:r>
    </w:p>
    <w:p w14:paraId="6D9B60B9">
      <w:pPr>
        <w:pStyle w:val="24"/>
        <w:rPr>
          <w:rFonts w:asciiTheme="minorHAnsi" w:hAnsiTheme="minorHAnsi" w:eastAsiaTheme="minorEastAsia" w:cstheme="minorBidi"/>
          <w:szCs w:val="22"/>
        </w:rPr>
      </w:pPr>
      <w:r>
        <w:fldChar w:fldCharType="begin"/>
      </w:r>
      <w:r>
        <w:instrText xml:space="preserve"> HYPERLINK \l "_Toc186796244" </w:instrText>
      </w:r>
      <w:r>
        <w:fldChar w:fldCharType="separate"/>
      </w:r>
      <w:r>
        <w:rPr>
          <w:rStyle w:val="32"/>
          <w14:scene3d>
            <w14:lightRig w14:rig="threePt" w14:dir="t">
              <w14:rot w14:lat="0" w14:lon="0" w14:rev="0"/>
            </w14:lightRig>
          </w14:scene3d>
        </w:rPr>
        <w:t xml:space="preserve">5.2 </w:t>
      </w:r>
      <w:r>
        <w:rPr>
          <w:rStyle w:val="32"/>
        </w:rPr>
        <w:t xml:space="preserve"> 栽植时间</w:t>
      </w:r>
      <w:r>
        <w:tab/>
      </w:r>
      <w:r>
        <w:fldChar w:fldCharType="begin"/>
      </w:r>
      <w:r>
        <w:instrText xml:space="preserve"> PAGEREF _Toc186796244 \h </w:instrText>
      </w:r>
      <w:r>
        <w:fldChar w:fldCharType="separate"/>
      </w:r>
      <w:r>
        <w:t>2</w:t>
      </w:r>
      <w:r>
        <w:fldChar w:fldCharType="end"/>
      </w:r>
      <w:r>
        <w:fldChar w:fldCharType="end"/>
      </w:r>
    </w:p>
    <w:p w14:paraId="7CDA7FB5">
      <w:pPr>
        <w:pStyle w:val="24"/>
        <w:rPr>
          <w:rFonts w:asciiTheme="minorHAnsi" w:hAnsiTheme="minorHAnsi" w:eastAsiaTheme="minorEastAsia" w:cstheme="minorBidi"/>
          <w:szCs w:val="22"/>
        </w:rPr>
      </w:pPr>
      <w:r>
        <w:fldChar w:fldCharType="begin"/>
      </w:r>
      <w:r>
        <w:instrText xml:space="preserve"> HYPERLINK \l "_Toc186796245" </w:instrText>
      </w:r>
      <w:r>
        <w:fldChar w:fldCharType="separate"/>
      </w:r>
      <w:r>
        <w:rPr>
          <w:rStyle w:val="32"/>
          <w14:scene3d>
            <w14:lightRig w14:rig="threePt" w14:dir="t">
              <w14:rot w14:lat="0" w14:lon="0" w14:rev="0"/>
            </w14:lightRig>
          </w14:scene3d>
        </w:rPr>
        <w:t xml:space="preserve">5.3 </w:t>
      </w:r>
      <w:r>
        <w:rPr>
          <w:rStyle w:val="32"/>
        </w:rPr>
        <w:t xml:space="preserve"> 栽植密度</w:t>
      </w:r>
      <w:r>
        <w:tab/>
      </w:r>
      <w:r>
        <w:fldChar w:fldCharType="begin"/>
      </w:r>
      <w:r>
        <w:instrText xml:space="preserve"> PAGEREF _Toc186796245 \h </w:instrText>
      </w:r>
      <w:r>
        <w:fldChar w:fldCharType="separate"/>
      </w:r>
      <w:r>
        <w:t>2</w:t>
      </w:r>
      <w:r>
        <w:fldChar w:fldCharType="end"/>
      </w:r>
      <w:r>
        <w:fldChar w:fldCharType="end"/>
      </w:r>
    </w:p>
    <w:p w14:paraId="65622F2C">
      <w:pPr>
        <w:pStyle w:val="24"/>
        <w:rPr>
          <w:rFonts w:asciiTheme="minorHAnsi" w:hAnsiTheme="minorHAnsi" w:eastAsiaTheme="minorEastAsia" w:cstheme="minorBidi"/>
          <w:szCs w:val="22"/>
        </w:rPr>
      </w:pPr>
      <w:r>
        <w:fldChar w:fldCharType="begin"/>
      </w:r>
      <w:r>
        <w:instrText xml:space="preserve"> HYPERLINK \l "_Toc186796246" </w:instrText>
      </w:r>
      <w:r>
        <w:fldChar w:fldCharType="separate"/>
      </w:r>
      <w:r>
        <w:rPr>
          <w:rStyle w:val="32"/>
          <w14:scene3d>
            <w14:lightRig w14:rig="threePt" w14:dir="t">
              <w14:rot w14:lat="0" w14:lon="0" w14:rev="0"/>
            </w14:lightRig>
          </w14:scene3d>
        </w:rPr>
        <w:t xml:space="preserve">5.4 </w:t>
      </w:r>
      <w:r>
        <w:rPr>
          <w:rStyle w:val="32"/>
        </w:rPr>
        <w:t xml:space="preserve"> 定植方法</w:t>
      </w:r>
      <w:r>
        <w:tab/>
      </w:r>
      <w:r>
        <w:fldChar w:fldCharType="begin"/>
      </w:r>
      <w:r>
        <w:instrText xml:space="preserve"> PAGEREF _Toc186796246 \h </w:instrText>
      </w:r>
      <w:r>
        <w:fldChar w:fldCharType="separate"/>
      </w:r>
      <w:r>
        <w:t>2</w:t>
      </w:r>
      <w:r>
        <w:fldChar w:fldCharType="end"/>
      </w:r>
      <w:r>
        <w:fldChar w:fldCharType="end"/>
      </w:r>
    </w:p>
    <w:p w14:paraId="02B8A4E6">
      <w:pPr>
        <w:pStyle w:val="24"/>
        <w:rPr>
          <w:rFonts w:asciiTheme="minorHAnsi" w:hAnsiTheme="minorHAnsi" w:eastAsiaTheme="minorEastAsia" w:cstheme="minorBidi"/>
          <w:szCs w:val="22"/>
        </w:rPr>
      </w:pPr>
      <w:r>
        <w:fldChar w:fldCharType="begin"/>
      </w:r>
      <w:r>
        <w:instrText xml:space="preserve"> HYPERLINK \l "_Toc186796247" </w:instrText>
      </w:r>
      <w:r>
        <w:fldChar w:fldCharType="separate"/>
      </w:r>
      <w:r>
        <w:rPr>
          <w:rStyle w:val="32"/>
          <w14:scene3d>
            <w14:lightRig w14:rig="threePt" w14:dir="t">
              <w14:rot w14:lat="0" w14:lon="0" w14:rev="0"/>
            </w14:lightRig>
          </w14:scene3d>
        </w:rPr>
        <w:t xml:space="preserve">5.5 </w:t>
      </w:r>
      <w:r>
        <w:rPr>
          <w:rStyle w:val="32"/>
        </w:rPr>
        <w:t xml:space="preserve"> 栽后管理</w:t>
      </w:r>
      <w:r>
        <w:tab/>
      </w:r>
      <w:r>
        <w:fldChar w:fldCharType="begin"/>
      </w:r>
      <w:r>
        <w:instrText xml:space="preserve"> PAGEREF _Toc186796247 \h </w:instrText>
      </w:r>
      <w:r>
        <w:fldChar w:fldCharType="separate"/>
      </w:r>
      <w:r>
        <w:t>2</w:t>
      </w:r>
      <w:r>
        <w:fldChar w:fldCharType="end"/>
      </w:r>
      <w:r>
        <w:fldChar w:fldCharType="end"/>
      </w:r>
    </w:p>
    <w:p w14:paraId="009AACFA">
      <w:pPr>
        <w:pStyle w:val="19"/>
        <w:tabs>
          <w:tab w:val="right" w:leader="dot" w:pos="9344"/>
        </w:tabs>
        <w:rPr>
          <w:rFonts w:asciiTheme="minorHAnsi" w:hAnsiTheme="minorHAnsi" w:eastAsiaTheme="minorEastAsia" w:cstheme="minorBidi"/>
          <w:szCs w:val="22"/>
        </w:rPr>
      </w:pPr>
      <w:r>
        <w:fldChar w:fldCharType="begin"/>
      </w:r>
      <w:r>
        <w:instrText xml:space="preserve"> HYPERLINK \l "_Toc186796248" </w:instrText>
      </w:r>
      <w:r>
        <w:fldChar w:fldCharType="separate"/>
      </w:r>
      <w:r>
        <w:rPr>
          <w:rStyle w:val="32"/>
        </w:rPr>
        <w:t>6  桑树嫁接及养型</w:t>
      </w:r>
      <w:r>
        <w:tab/>
      </w:r>
      <w:r>
        <w:fldChar w:fldCharType="begin"/>
      </w:r>
      <w:r>
        <w:instrText xml:space="preserve"> PAGEREF _Toc186796248 \h </w:instrText>
      </w:r>
      <w:r>
        <w:fldChar w:fldCharType="separate"/>
      </w:r>
      <w:r>
        <w:t>3</w:t>
      </w:r>
      <w:r>
        <w:fldChar w:fldCharType="end"/>
      </w:r>
      <w:r>
        <w:fldChar w:fldCharType="end"/>
      </w:r>
    </w:p>
    <w:p w14:paraId="48EAA6BF">
      <w:pPr>
        <w:pStyle w:val="24"/>
        <w:rPr>
          <w:rFonts w:asciiTheme="minorHAnsi" w:hAnsiTheme="minorHAnsi" w:eastAsiaTheme="minorEastAsia" w:cstheme="minorBidi"/>
          <w:szCs w:val="22"/>
        </w:rPr>
      </w:pPr>
      <w:r>
        <w:fldChar w:fldCharType="begin"/>
      </w:r>
      <w:r>
        <w:instrText xml:space="preserve"> HYPERLINK \l "_Toc186796249" </w:instrText>
      </w:r>
      <w:r>
        <w:fldChar w:fldCharType="separate"/>
      </w:r>
      <w:r>
        <w:rPr>
          <w:rStyle w:val="32"/>
          <w14:scene3d>
            <w14:lightRig w14:rig="threePt" w14:dir="t">
              <w14:rot w14:lat="0" w14:lon="0" w14:rev="0"/>
            </w14:lightRig>
          </w14:scene3d>
        </w:rPr>
        <w:t xml:space="preserve">6.1 </w:t>
      </w:r>
      <w:r>
        <w:rPr>
          <w:rStyle w:val="32"/>
        </w:rPr>
        <w:t xml:space="preserve"> 桑树嫁接</w:t>
      </w:r>
      <w:r>
        <w:tab/>
      </w:r>
      <w:r>
        <w:fldChar w:fldCharType="begin"/>
      </w:r>
      <w:r>
        <w:instrText xml:space="preserve"> PAGEREF _Toc186796249 \h </w:instrText>
      </w:r>
      <w:r>
        <w:fldChar w:fldCharType="separate"/>
      </w:r>
      <w:r>
        <w:t>3</w:t>
      </w:r>
      <w:r>
        <w:fldChar w:fldCharType="end"/>
      </w:r>
      <w:r>
        <w:fldChar w:fldCharType="end"/>
      </w:r>
    </w:p>
    <w:p w14:paraId="6D0BD980">
      <w:pPr>
        <w:pStyle w:val="24"/>
        <w:rPr>
          <w:rFonts w:asciiTheme="minorHAnsi" w:hAnsiTheme="minorHAnsi" w:eastAsiaTheme="minorEastAsia" w:cstheme="minorBidi"/>
          <w:szCs w:val="22"/>
        </w:rPr>
      </w:pPr>
      <w:r>
        <w:fldChar w:fldCharType="begin"/>
      </w:r>
      <w:r>
        <w:instrText xml:space="preserve"> HYPERLINK \l "_Toc186796250" </w:instrText>
      </w:r>
      <w:r>
        <w:fldChar w:fldCharType="separate"/>
      </w:r>
      <w:r>
        <w:rPr>
          <w:rStyle w:val="32"/>
          <w14:scene3d>
            <w14:lightRig w14:rig="threePt" w14:dir="t">
              <w14:rot w14:lat="0" w14:lon="0" w14:rev="0"/>
            </w14:lightRig>
          </w14:scene3d>
        </w:rPr>
        <w:t xml:space="preserve">6.2 </w:t>
      </w:r>
      <w:r>
        <w:rPr>
          <w:rStyle w:val="32"/>
        </w:rPr>
        <w:t xml:space="preserve"> 树</w:t>
      </w:r>
      <w:r>
        <w:rPr>
          <w:rStyle w:val="32"/>
          <w:rFonts w:hAnsi="宋体" w:cs="黑体"/>
        </w:rPr>
        <w:t>型养成</w:t>
      </w:r>
      <w:r>
        <w:tab/>
      </w:r>
      <w:r>
        <w:fldChar w:fldCharType="begin"/>
      </w:r>
      <w:r>
        <w:instrText xml:space="preserve"> PAGEREF _Toc186796250 \h </w:instrText>
      </w:r>
      <w:r>
        <w:fldChar w:fldCharType="separate"/>
      </w:r>
      <w:r>
        <w:t>3</w:t>
      </w:r>
      <w:r>
        <w:fldChar w:fldCharType="end"/>
      </w:r>
      <w:r>
        <w:fldChar w:fldCharType="end"/>
      </w:r>
    </w:p>
    <w:p w14:paraId="7AA3F4B7">
      <w:pPr>
        <w:pStyle w:val="24"/>
        <w:rPr>
          <w:rFonts w:asciiTheme="minorHAnsi" w:hAnsiTheme="minorHAnsi" w:eastAsiaTheme="minorEastAsia" w:cstheme="minorBidi"/>
          <w:szCs w:val="22"/>
        </w:rPr>
      </w:pPr>
      <w:r>
        <w:fldChar w:fldCharType="begin"/>
      </w:r>
      <w:r>
        <w:instrText xml:space="preserve"> HYPERLINK \l "_Toc186796251" </w:instrText>
      </w:r>
      <w:r>
        <w:fldChar w:fldCharType="separate"/>
      </w:r>
      <w:r>
        <w:rPr>
          <w:rStyle w:val="32"/>
          <w14:scene3d>
            <w14:lightRig w14:rig="threePt" w14:dir="t">
              <w14:rot w14:lat="0" w14:lon="0" w14:rev="0"/>
            </w14:lightRig>
          </w14:scene3d>
        </w:rPr>
        <w:t xml:space="preserve">6.3 </w:t>
      </w:r>
      <w:r>
        <w:rPr>
          <w:rStyle w:val="32"/>
        </w:rPr>
        <w:t xml:space="preserve"> 夏伐</w:t>
      </w:r>
      <w:r>
        <w:tab/>
      </w:r>
      <w:r>
        <w:fldChar w:fldCharType="begin"/>
      </w:r>
      <w:r>
        <w:instrText xml:space="preserve"> PAGEREF _Toc186796251 \h </w:instrText>
      </w:r>
      <w:r>
        <w:fldChar w:fldCharType="separate"/>
      </w:r>
      <w:r>
        <w:t>4</w:t>
      </w:r>
      <w:r>
        <w:fldChar w:fldCharType="end"/>
      </w:r>
      <w:r>
        <w:fldChar w:fldCharType="end"/>
      </w:r>
    </w:p>
    <w:p w14:paraId="7EEFFC00">
      <w:pPr>
        <w:pStyle w:val="24"/>
        <w:rPr>
          <w:rFonts w:asciiTheme="minorHAnsi" w:hAnsiTheme="minorHAnsi" w:eastAsiaTheme="minorEastAsia" w:cstheme="minorBidi"/>
          <w:szCs w:val="22"/>
        </w:rPr>
      </w:pPr>
      <w:r>
        <w:fldChar w:fldCharType="begin"/>
      </w:r>
      <w:r>
        <w:instrText xml:space="preserve"> HYPERLINK \l "_Toc186796252" </w:instrText>
      </w:r>
      <w:r>
        <w:fldChar w:fldCharType="separate"/>
      </w:r>
      <w:r>
        <w:rPr>
          <w:rStyle w:val="32"/>
          <w14:scene3d>
            <w14:lightRig w14:rig="threePt" w14:dir="t">
              <w14:rot w14:lat="0" w14:lon="0" w14:rev="0"/>
            </w14:lightRig>
          </w14:scene3d>
        </w:rPr>
        <w:t xml:space="preserve">6.4 </w:t>
      </w:r>
      <w:r>
        <w:rPr>
          <w:rStyle w:val="32"/>
        </w:rPr>
        <w:t xml:space="preserve"> 冬季修剪</w:t>
      </w:r>
      <w:r>
        <w:tab/>
      </w:r>
      <w:r>
        <w:fldChar w:fldCharType="begin"/>
      </w:r>
      <w:r>
        <w:instrText xml:space="preserve"> PAGEREF _Toc186796252 \h </w:instrText>
      </w:r>
      <w:r>
        <w:fldChar w:fldCharType="separate"/>
      </w:r>
      <w:r>
        <w:t>4</w:t>
      </w:r>
      <w:r>
        <w:fldChar w:fldCharType="end"/>
      </w:r>
      <w:r>
        <w:fldChar w:fldCharType="end"/>
      </w:r>
    </w:p>
    <w:p w14:paraId="57A37F04">
      <w:pPr>
        <w:pStyle w:val="19"/>
        <w:tabs>
          <w:tab w:val="right" w:leader="dot" w:pos="9344"/>
        </w:tabs>
        <w:rPr>
          <w:rFonts w:asciiTheme="minorHAnsi" w:hAnsiTheme="minorHAnsi" w:eastAsiaTheme="minorEastAsia" w:cstheme="minorBidi"/>
          <w:szCs w:val="22"/>
        </w:rPr>
      </w:pPr>
      <w:r>
        <w:fldChar w:fldCharType="begin"/>
      </w:r>
      <w:r>
        <w:instrText xml:space="preserve"> HYPERLINK \l "_Toc186796253" </w:instrText>
      </w:r>
      <w:r>
        <w:fldChar w:fldCharType="separate"/>
      </w:r>
      <w:r>
        <w:rPr>
          <w:rStyle w:val="32"/>
        </w:rPr>
        <w:t>7  田间管理</w:t>
      </w:r>
      <w:r>
        <w:tab/>
      </w:r>
      <w:r>
        <w:fldChar w:fldCharType="begin"/>
      </w:r>
      <w:r>
        <w:instrText xml:space="preserve"> PAGEREF _Toc186796253 \h </w:instrText>
      </w:r>
      <w:r>
        <w:fldChar w:fldCharType="separate"/>
      </w:r>
      <w:r>
        <w:t>4</w:t>
      </w:r>
      <w:r>
        <w:fldChar w:fldCharType="end"/>
      </w:r>
      <w:r>
        <w:fldChar w:fldCharType="end"/>
      </w:r>
    </w:p>
    <w:p w14:paraId="364C8F66">
      <w:pPr>
        <w:pStyle w:val="24"/>
        <w:rPr>
          <w:rFonts w:asciiTheme="minorHAnsi" w:hAnsiTheme="minorHAnsi" w:eastAsiaTheme="minorEastAsia" w:cstheme="minorBidi"/>
          <w:szCs w:val="22"/>
        </w:rPr>
      </w:pPr>
      <w:r>
        <w:fldChar w:fldCharType="begin"/>
      </w:r>
      <w:r>
        <w:instrText xml:space="preserve"> HYPERLINK \l "_Toc186796254" </w:instrText>
      </w:r>
      <w:r>
        <w:fldChar w:fldCharType="separate"/>
      </w:r>
      <w:r>
        <w:rPr>
          <w:rStyle w:val="32"/>
          <w14:scene3d>
            <w14:lightRig w14:rig="threePt" w14:dir="t">
              <w14:rot w14:lat="0" w14:lon="0" w14:rev="0"/>
            </w14:lightRig>
          </w14:scene3d>
        </w:rPr>
        <w:t xml:space="preserve">7.1 </w:t>
      </w:r>
      <w:r>
        <w:rPr>
          <w:rStyle w:val="32"/>
        </w:rPr>
        <w:t xml:space="preserve"> 施肥</w:t>
      </w:r>
      <w:r>
        <w:rPr>
          <w:rStyle w:val="32"/>
          <w:rFonts w:hAnsi="宋体" w:cs="黑体"/>
        </w:rPr>
        <w:t>管理</w:t>
      </w:r>
      <w:r>
        <w:tab/>
      </w:r>
      <w:r>
        <w:fldChar w:fldCharType="begin"/>
      </w:r>
      <w:r>
        <w:instrText xml:space="preserve"> PAGEREF _Toc186796254 \h </w:instrText>
      </w:r>
      <w:r>
        <w:fldChar w:fldCharType="separate"/>
      </w:r>
      <w:r>
        <w:t>4</w:t>
      </w:r>
      <w:r>
        <w:fldChar w:fldCharType="end"/>
      </w:r>
      <w:r>
        <w:fldChar w:fldCharType="end"/>
      </w:r>
    </w:p>
    <w:p w14:paraId="322618D1">
      <w:pPr>
        <w:pStyle w:val="24"/>
        <w:rPr>
          <w:rFonts w:asciiTheme="minorHAnsi" w:hAnsiTheme="minorHAnsi" w:eastAsiaTheme="minorEastAsia" w:cstheme="minorBidi"/>
          <w:szCs w:val="22"/>
        </w:rPr>
      </w:pPr>
      <w:r>
        <w:fldChar w:fldCharType="begin"/>
      </w:r>
      <w:r>
        <w:instrText xml:space="preserve"> HYPERLINK \l "_Toc186796255" </w:instrText>
      </w:r>
      <w:r>
        <w:fldChar w:fldCharType="separate"/>
      </w:r>
      <w:r>
        <w:rPr>
          <w:rStyle w:val="32"/>
          <w14:scene3d>
            <w14:lightRig w14:rig="threePt" w14:dir="t">
              <w14:rot w14:lat="0" w14:lon="0" w14:rev="0"/>
            </w14:lightRig>
          </w14:scene3d>
        </w:rPr>
        <w:t xml:space="preserve">7.2 </w:t>
      </w:r>
      <w:r>
        <w:rPr>
          <w:rStyle w:val="32"/>
        </w:rPr>
        <w:t xml:space="preserve"> 水分管理</w:t>
      </w:r>
      <w:r>
        <w:tab/>
      </w:r>
      <w:r>
        <w:fldChar w:fldCharType="begin"/>
      </w:r>
      <w:r>
        <w:instrText xml:space="preserve"> PAGEREF _Toc186796255 \h </w:instrText>
      </w:r>
      <w:r>
        <w:fldChar w:fldCharType="separate"/>
      </w:r>
      <w:r>
        <w:t>5</w:t>
      </w:r>
      <w:r>
        <w:fldChar w:fldCharType="end"/>
      </w:r>
      <w:r>
        <w:fldChar w:fldCharType="end"/>
      </w:r>
    </w:p>
    <w:p w14:paraId="7A92DED1">
      <w:pPr>
        <w:pStyle w:val="24"/>
        <w:rPr>
          <w:rFonts w:asciiTheme="minorHAnsi" w:hAnsiTheme="minorHAnsi" w:eastAsiaTheme="minorEastAsia" w:cstheme="minorBidi"/>
          <w:szCs w:val="22"/>
        </w:rPr>
      </w:pPr>
      <w:r>
        <w:fldChar w:fldCharType="begin"/>
      </w:r>
      <w:r>
        <w:instrText xml:space="preserve"> HYPERLINK \l "_Toc186796256" </w:instrText>
      </w:r>
      <w:r>
        <w:fldChar w:fldCharType="separate"/>
      </w:r>
      <w:r>
        <w:rPr>
          <w:rStyle w:val="32"/>
          <w14:scene3d>
            <w14:lightRig w14:rig="threePt" w14:dir="t">
              <w14:rot w14:lat="0" w14:lon="0" w14:rev="0"/>
            </w14:lightRig>
          </w14:scene3d>
        </w:rPr>
        <w:t xml:space="preserve">7.3 </w:t>
      </w:r>
      <w:r>
        <w:rPr>
          <w:rStyle w:val="32"/>
        </w:rPr>
        <w:t xml:space="preserve"> 病虫</w:t>
      </w:r>
      <w:r>
        <w:rPr>
          <w:rStyle w:val="32"/>
          <w:rFonts w:hAnsi="宋体" w:cs="黑体"/>
        </w:rPr>
        <w:t>害防治</w:t>
      </w:r>
      <w:r>
        <w:tab/>
      </w:r>
      <w:r>
        <w:fldChar w:fldCharType="begin"/>
      </w:r>
      <w:r>
        <w:instrText xml:space="preserve"> PAGEREF _Toc186796256 \h </w:instrText>
      </w:r>
      <w:r>
        <w:fldChar w:fldCharType="separate"/>
      </w:r>
      <w:r>
        <w:t>5</w:t>
      </w:r>
      <w:r>
        <w:fldChar w:fldCharType="end"/>
      </w:r>
      <w:r>
        <w:fldChar w:fldCharType="end"/>
      </w:r>
    </w:p>
    <w:p w14:paraId="6F7AF068">
      <w:pPr>
        <w:pStyle w:val="19"/>
        <w:tabs>
          <w:tab w:val="right" w:leader="dot" w:pos="9344"/>
        </w:tabs>
        <w:rPr>
          <w:rFonts w:asciiTheme="minorHAnsi" w:hAnsiTheme="minorHAnsi" w:eastAsiaTheme="minorEastAsia" w:cstheme="minorBidi"/>
          <w:szCs w:val="22"/>
        </w:rPr>
      </w:pPr>
      <w:r>
        <w:fldChar w:fldCharType="begin"/>
      </w:r>
      <w:r>
        <w:instrText xml:space="preserve"> HYPERLINK \l "_Toc186796257" </w:instrText>
      </w:r>
      <w:r>
        <w:fldChar w:fldCharType="separate"/>
      </w:r>
      <w:r>
        <w:rPr>
          <w:rStyle w:val="32"/>
        </w:rPr>
        <w:t>8  桑椹采收</w:t>
      </w:r>
      <w:r>
        <w:tab/>
      </w:r>
      <w:r>
        <w:fldChar w:fldCharType="begin"/>
      </w:r>
      <w:r>
        <w:instrText xml:space="preserve"> PAGEREF _Toc186796257 \h </w:instrText>
      </w:r>
      <w:r>
        <w:fldChar w:fldCharType="separate"/>
      </w:r>
      <w:r>
        <w:t>5</w:t>
      </w:r>
      <w:r>
        <w:fldChar w:fldCharType="end"/>
      </w:r>
      <w:r>
        <w:fldChar w:fldCharType="end"/>
      </w:r>
    </w:p>
    <w:p w14:paraId="5A65C8FB">
      <w:pPr>
        <w:pStyle w:val="24"/>
        <w:rPr>
          <w:rFonts w:asciiTheme="minorHAnsi" w:hAnsiTheme="minorHAnsi" w:eastAsiaTheme="minorEastAsia" w:cstheme="minorBidi"/>
          <w:szCs w:val="22"/>
        </w:rPr>
      </w:pPr>
      <w:r>
        <w:fldChar w:fldCharType="begin"/>
      </w:r>
      <w:r>
        <w:instrText xml:space="preserve"> HYPERLINK \l "_Toc186796258" </w:instrText>
      </w:r>
      <w:r>
        <w:fldChar w:fldCharType="separate"/>
      </w:r>
      <w:r>
        <w:rPr>
          <w:rStyle w:val="32"/>
          <w14:scene3d>
            <w14:lightRig w14:rig="threePt" w14:dir="t">
              <w14:rot w14:lat="0" w14:lon="0" w14:rev="0"/>
            </w14:lightRig>
          </w14:scene3d>
        </w:rPr>
        <w:t xml:space="preserve">8.1 </w:t>
      </w:r>
      <w:r>
        <w:rPr>
          <w:rStyle w:val="32"/>
        </w:rPr>
        <w:t xml:space="preserve"> 采收标准</w:t>
      </w:r>
      <w:r>
        <w:tab/>
      </w:r>
      <w:r>
        <w:fldChar w:fldCharType="begin"/>
      </w:r>
      <w:r>
        <w:instrText xml:space="preserve"> PAGEREF _Toc186796258 \h </w:instrText>
      </w:r>
      <w:r>
        <w:fldChar w:fldCharType="separate"/>
      </w:r>
      <w:r>
        <w:t>5</w:t>
      </w:r>
      <w:r>
        <w:fldChar w:fldCharType="end"/>
      </w:r>
      <w:r>
        <w:fldChar w:fldCharType="end"/>
      </w:r>
    </w:p>
    <w:p w14:paraId="0DDC2120">
      <w:pPr>
        <w:pStyle w:val="24"/>
        <w:rPr>
          <w:rFonts w:asciiTheme="minorHAnsi" w:hAnsiTheme="minorHAnsi" w:eastAsiaTheme="minorEastAsia" w:cstheme="minorBidi"/>
          <w:szCs w:val="22"/>
        </w:rPr>
      </w:pPr>
      <w:r>
        <w:fldChar w:fldCharType="begin"/>
      </w:r>
      <w:r>
        <w:instrText xml:space="preserve"> HYPERLINK \l "_Toc186796259" </w:instrText>
      </w:r>
      <w:r>
        <w:fldChar w:fldCharType="separate"/>
      </w:r>
      <w:r>
        <w:rPr>
          <w:rStyle w:val="32"/>
          <w14:scene3d>
            <w14:lightRig w14:rig="threePt" w14:dir="t">
              <w14:rot w14:lat="0" w14:lon="0" w14:rev="0"/>
            </w14:lightRig>
          </w14:scene3d>
        </w:rPr>
        <w:t xml:space="preserve">8.2 </w:t>
      </w:r>
      <w:r>
        <w:rPr>
          <w:rStyle w:val="32"/>
        </w:rPr>
        <w:t xml:space="preserve"> 采收时间</w:t>
      </w:r>
      <w:r>
        <w:tab/>
      </w:r>
      <w:r>
        <w:fldChar w:fldCharType="begin"/>
      </w:r>
      <w:r>
        <w:instrText xml:space="preserve"> PAGEREF _Toc186796259 \h </w:instrText>
      </w:r>
      <w:r>
        <w:fldChar w:fldCharType="separate"/>
      </w:r>
      <w:r>
        <w:t>5</w:t>
      </w:r>
      <w:r>
        <w:fldChar w:fldCharType="end"/>
      </w:r>
      <w:r>
        <w:fldChar w:fldCharType="end"/>
      </w:r>
    </w:p>
    <w:p w14:paraId="50EF773B">
      <w:pPr>
        <w:pStyle w:val="24"/>
        <w:rPr>
          <w:rFonts w:asciiTheme="minorHAnsi" w:hAnsiTheme="minorHAnsi" w:eastAsiaTheme="minorEastAsia" w:cstheme="minorBidi"/>
          <w:szCs w:val="22"/>
        </w:rPr>
      </w:pPr>
      <w:r>
        <w:fldChar w:fldCharType="begin"/>
      </w:r>
      <w:r>
        <w:instrText xml:space="preserve"> HYPERLINK \l "_Toc186796260" </w:instrText>
      </w:r>
      <w:r>
        <w:fldChar w:fldCharType="separate"/>
      </w:r>
      <w:r>
        <w:rPr>
          <w:rStyle w:val="32"/>
          <w14:scene3d>
            <w14:lightRig w14:rig="threePt" w14:dir="t">
              <w14:rot w14:lat="0" w14:lon="0" w14:rev="0"/>
            </w14:lightRig>
          </w14:scene3d>
        </w:rPr>
        <w:t xml:space="preserve">8.3 </w:t>
      </w:r>
      <w:r>
        <w:rPr>
          <w:rStyle w:val="32"/>
        </w:rPr>
        <w:t xml:space="preserve"> 采收方法</w:t>
      </w:r>
      <w:r>
        <w:tab/>
      </w:r>
      <w:r>
        <w:fldChar w:fldCharType="begin"/>
      </w:r>
      <w:r>
        <w:instrText xml:space="preserve"> PAGEREF _Toc186796260 \h </w:instrText>
      </w:r>
      <w:r>
        <w:fldChar w:fldCharType="separate"/>
      </w:r>
      <w:r>
        <w:t>5</w:t>
      </w:r>
      <w:r>
        <w:fldChar w:fldCharType="end"/>
      </w:r>
      <w:r>
        <w:fldChar w:fldCharType="end"/>
      </w:r>
    </w:p>
    <w:p w14:paraId="0DBDEB87">
      <w:pPr>
        <w:pStyle w:val="19"/>
        <w:tabs>
          <w:tab w:val="right" w:leader="dot" w:pos="9344"/>
        </w:tabs>
        <w:rPr>
          <w:rFonts w:asciiTheme="minorHAnsi" w:hAnsiTheme="minorHAnsi" w:eastAsiaTheme="minorEastAsia" w:cstheme="minorBidi"/>
          <w:szCs w:val="22"/>
        </w:rPr>
      </w:pPr>
      <w:r>
        <w:fldChar w:fldCharType="begin"/>
      </w:r>
      <w:r>
        <w:instrText xml:space="preserve"> HYPERLINK \l "_Toc186796261" </w:instrText>
      </w:r>
      <w:r>
        <w:fldChar w:fldCharType="separate"/>
      </w:r>
      <w:r>
        <w:rPr>
          <w:rStyle w:val="32"/>
        </w:rPr>
        <w:t>附录A（资料性）  攀枝花市适宜栽植的主要果桑品种</w:t>
      </w:r>
      <w:r>
        <w:tab/>
      </w:r>
      <w:r>
        <w:fldChar w:fldCharType="begin"/>
      </w:r>
      <w:r>
        <w:instrText xml:space="preserve"> PAGEREF _Toc186796261 \h </w:instrText>
      </w:r>
      <w:r>
        <w:fldChar w:fldCharType="separate"/>
      </w:r>
      <w:r>
        <w:t>7</w:t>
      </w:r>
      <w:r>
        <w:fldChar w:fldCharType="end"/>
      </w:r>
      <w:r>
        <w:fldChar w:fldCharType="end"/>
      </w:r>
    </w:p>
    <w:p w14:paraId="4A014C65">
      <w:pPr>
        <w:pStyle w:val="19"/>
        <w:tabs>
          <w:tab w:val="right" w:leader="dot" w:pos="9344"/>
        </w:tabs>
        <w:rPr>
          <w:rFonts w:asciiTheme="minorHAnsi" w:hAnsiTheme="minorHAnsi" w:eastAsiaTheme="minorEastAsia" w:cstheme="minorBidi"/>
          <w:szCs w:val="22"/>
        </w:rPr>
      </w:pPr>
      <w:r>
        <w:fldChar w:fldCharType="begin"/>
      </w:r>
      <w:r>
        <w:instrText xml:space="preserve"> HYPERLINK \l "_Toc186796262" </w:instrText>
      </w:r>
      <w:r>
        <w:fldChar w:fldCharType="separate"/>
      </w:r>
      <w:r>
        <w:rPr>
          <w:rStyle w:val="32"/>
        </w:rPr>
        <w:t>附录B（资料性）  果桑主要病虫害症状和防治方法</w:t>
      </w:r>
      <w:r>
        <w:tab/>
      </w:r>
      <w:r>
        <w:fldChar w:fldCharType="begin"/>
      </w:r>
      <w:r>
        <w:instrText xml:space="preserve"> PAGEREF _Toc186796262 \h </w:instrText>
      </w:r>
      <w:r>
        <w:fldChar w:fldCharType="separate"/>
      </w:r>
      <w:r>
        <w:t>8</w:t>
      </w:r>
      <w:r>
        <w:fldChar w:fldCharType="end"/>
      </w:r>
      <w:r>
        <w:fldChar w:fldCharType="end"/>
      </w:r>
    </w:p>
    <w:p w14:paraId="7F13D99C">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7E822C0E">
      <w:pPr>
        <w:pStyle w:val="89"/>
        <w:spacing w:before="900" w:after="468"/>
      </w:pPr>
      <w:bookmarkStart w:id="22" w:name="BookMark2"/>
      <w:r>
        <w:rPr>
          <w:spacing w:val="320"/>
        </w:rPr>
        <w:t>前</w:t>
      </w:r>
      <w:r>
        <w:t>言</w:t>
      </w:r>
    </w:p>
    <w:p w14:paraId="36D3D8D4">
      <w:pPr>
        <w:pStyle w:val="56"/>
        <w:ind w:firstLine="420"/>
      </w:pPr>
      <w:r>
        <w:rPr>
          <w:rFonts w:hint="eastAsia"/>
        </w:rPr>
        <w:t>本文件按照GB/T 1.1—2020《标准化工作导则  第1部分：标准化文件的结构和起草规则》的规定起草。</w:t>
      </w:r>
    </w:p>
    <w:p w14:paraId="2997AD5C">
      <w:pPr>
        <w:pStyle w:val="56"/>
        <w:ind w:firstLine="420"/>
      </w:pPr>
      <w:r>
        <w:rPr>
          <w:rFonts w:hint="eastAsia"/>
        </w:rPr>
        <w:t>本文件由攀枝花市农业农村局提出并归口。</w:t>
      </w:r>
    </w:p>
    <w:p w14:paraId="1DA36991">
      <w:pPr>
        <w:pStyle w:val="56"/>
        <w:ind w:firstLine="420"/>
      </w:pPr>
      <w:r>
        <w:rPr>
          <w:rFonts w:hint="eastAsia"/>
        </w:rPr>
        <w:t>本文件由攀枝花市市场监督管理局发布。</w:t>
      </w:r>
    </w:p>
    <w:p w14:paraId="55533E79">
      <w:pPr>
        <w:pStyle w:val="56"/>
        <w:ind w:firstLine="420"/>
      </w:pPr>
      <w:r>
        <w:rPr>
          <w:rFonts w:hint="eastAsia"/>
        </w:rPr>
        <w:t>本文件起草单位：攀枝花市农业技术推广服务中心、四川省三台蚕种场、四川省农科院农业资源与环境研究所、</w:t>
      </w:r>
      <w:r>
        <w:rPr>
          <w:rFonts w:hint="eastAsia"/>
          <w:color w:val="000000"/>
          <w:szCs w:val="32"/>
        </w:rPr>
        <w:t>盐边县农业农村局、中丝天成（攀枝花）丝绸有限公司。</w:t>
      </w:r>
    </w:p>
    <w:p w14:paraId="70D68550">
      <w:pPr>
        <w:pStyle w:val="56"/>
        <w:ind w:left="2310" w:leftChars="200" w:hanging="1890" w:hangingChars="900"/>
        <w:sectPr>
          <w:pgSz w:w="11906" w:h="16838"/>
          <w:pgMar w:top="1928" w:right="1134" w:bottom="1134" w:left="1134" w:header="1418" w:footer="1134" w:gutter="284"/>
          <w:pgNumType w:fmt="upperRoman"/>
          <w:cols w:space="425" w:num="1"/>
          <w:formProt w:val="0"/>
          <w:docGrid w:type="lines" w:linePitch="312" w:charSpace="0"/>
        </w:sectPr>
      </w:pPr>
      <w:r>
        <w:rPr>
          <w:rFonts w:hint="eastAsia"/>
        </w:rPr>
        <w:t>本文件主要起草人：黄朝举</w:t>
      </w:r>
      <w:r>
        <w:rPr>
          <w:rFonts w:hint="eastAsia"/>
          <w:lang w:val="en-US" w:eastAsia="zh-CN"/>
        </w:rPr>
        <w:t xml:space="preserve"> </w:t>
      </w:r>
      <w:r>
        <w:rPr>
          <w:rFonts w:hint="eastAsia"/>
          <w:color w:val="000000"/>
          <w:szCs w:val="32"/>
        </w:rPr>
        <w:t>谢琳玲</w:t>
      </w:r>
      <w:r>
        <w:rPr>
          <w:rFonts w:hint="eastAsia"/>
          <w:color w:val="000000"/>
          <w:szCs w:val="32"/>
          <w:lang w:val="en-US" w:eastAsia="zh-CN"/>
        </w:rPr>
        <w:t xml:space="preserve"> </w:t>
      </w:r>
      <w:r>
        <w:rPr>
          <w:rFonts w:hint="eastAsia"/>
        </w:rPr>
        <w:t>胡</w:t>
      </w:r>
      <w:r>
        <w:rPr>
          <w:rFonts w:hint="eastAsia"/>
          <w:lang w:val="en-US" w:eastAsia="zh-CN"/>
        </w:rPr>
        <w:t xml:space="preserve"> </w:t>
      </w:r>
      <w:r>
        <w:rPr>
          <w:rFonts w:hint="eastAsia"/>
        </w:rPr>
        <w:t>涛</w:t>
      </w:r>
      <w:r>
        <w:rPr>
          <w:rFonts w:hint="eastAsia"/>
          <w:lang w:val="en-US" w:eastAsia="zh-CN"/>
        </w:rPr>
        <w:t xml:space="preserve"> </w:t>
      </w:r>
      <w:r>
        <w:rPr>
          <w:rFonts w:hint="eastAsia"/>
        </w:rPr>
        <w:t>王</w:t>
      </w:r>
      <w:r>
        <w:rPr>
          <w:rFonts w:hint="eastAsia"/>
          <w:lang w:val="en-US" w:eastAsia="zh-CN"/>
        </w:rPr>
        <w:t xml:space="preserve"> </w:t>
      </w:r>
      <w:r>
        <w:rPr>
          <w:rFonts w:hint="eastAsia"/>
        </w:rPr>
        <w:t>谢</w:t>
      </w:r>
      <w:r>
        <w:rPr>
          <w:rFonts w:hint="eastAsia"/>
          <w:lang w:val="en-US" w:eastAsia="zh-CN"/>
        </w:rPr>
        <w:t xml:space="preserve"> </w:t>
      </w:r>
      <w:r>
        <w:rPr>
          <w:rFonts w:hint="eastAsia"/>
        </w:rPr>
        <w:t>陈</w:t>
      </w:r>
      <w:r>
        <w:rPr>
          <w:rFonts w:hint="eastAsia"/>
          <w:lang w:val="en-US" w:eastAsia="zh-CN"/>
        </w:rPr>
        <w:t xml:space="preserve"> </w:t>
      </w:r>
      <w:r>
        <w:rPr>
          <w:rFonts w:hint="eastAsia"/>
        </w:rPr>
        <w:t>宏</w:t>
      </w:r>
      <w:r>
        <w:rPr>
          <w:rFonts w:hint="eastAsia"/>
          <w:lang w:val="en-US" w:eastAsia="zh-CN"/>
        </w:rPr>
        <w:t xml:space="preserve"> </w:t>
      </w:r>
      <w:r>
        <w:rPr>
          <w:rFonts w:hint="eastAsia"/>
          <w:lang w:eastAsia="zh-CN"/>
        </w:rPr>
        <w:t>潘媛琴</w:t>
      </w:r>
      <w:r>
        <w:rPr>
          <w:rFonts w:hint="eastAsia"/>
          <w:lang w:val="en-US" w:eastAsia="zh-CN"/>
        </w:rPr>
        <w:t xml:space="preserve"> </w:t>
      </w:r>
      <w:r>
        <w:rPr>
          <w:rFonts w:hint="eastAsia"/>
          <w:color w:val="000000"/>
          <w:szCs w:val="32"/>
        </w:rPr>
        <w:t>李衍颖</w:t>
      </w:r>
      <w:r>
        <w:rPr>
          <w:rFonts w:hint="eastAsia"/>
          <w:color w:val="000000"/>
          <w:szCs w:val="32"/>
          <w:lang w:val="en-US" w:eastAsia="zh-CN"/>
        </w:rPr>
        <w:t xml:space="preserve"> </w:t>
      </w:r>
      <w:r>
        <w:rPr>
          <w:rFonts w:hint="eastAsia"/>
          <w:color w:val="000000"/>
          <w:szCs w:val="32"/>
        </w:rPr>
        <w:t>罗红梅</w:t>
      </w:r>
      <w:r>
        <w:rPr>
          <w:rFonts w:hint="eastAsia"/>
          <w:color w:val="000000"/>
          <w:szCs w:val="32"/>
          <w:lang w:val="en-US" w:eastAsia="zh-CN"/>
        </w:rPr>
        <w:t xml:space="preserve"> </w:t>
      </w:r>
      <w:r>
        <w:rPr>
          <w:rFonts w:hint="eastAsia"/>
        </w:rPr>
        <w:t>胡启华</w:t>
      </w:r>
      <w:r>
        <w:rPr>
          <w:rFonts w:hint="eastAsia"/>
          <w:lang w:val="en-US" w:eastAsia="zh-CN"/>
        </w:rPr>
        <w:t xml:space="preserve"> </w:t>
      </w:r>
      <w:r>
        <w:rPr>
          <w:rFonts w:hint="eastAsia"/>
          <w:color w:val="000000"/>
          <w:szCs w:val="32"/>
        </w:rPr>
        <w:t>罗兴华</w:t>
      </w:r>
      <w:r>
        <w:rPr>
          <w:rFonts w:hint="eastAsia"/>
          <w:color w:val="000000"/>
          <w:szCs w:val="32"/>
          <w:lang w:val="en-US" w:eastAsia="zh-CN"/>
        </w:rPr>
        <w:t xml:space="preserve"> </w:t>
      </w:r>
      <w:r>
        <w:rPr>
          <w:rFonts w:hint="eastAsia"/>
          <w:color w:val="000000"/>
          <w:szCs w:val="32"/>
          <w:lang w:eastAsia="zh-CN"/>
        </w:rPr>
        <w:t>谢成德</w:t>
      </w:r>
      <w:r>
        <w:rPr>
          <w:rFonts w:hint="eastAsia"/>
          <w:color w:val="000000"/>
          <w:szCs w:val="32"/>
          <w:lang w:val="en-US" w:eastAsia="zh-CN"/>
        </w:rPr>
        <w:t xml:space="preserve"> 何杨平 </w:t>
      </w:r>
      <w:r>
        <w:rPr>
          <w:rFonts w:hint="eastAsia"/>
          <w:color w:val="000000"/>
          <w:szCs w:val="32"/>
        </w:rPr>
        <w:t>张建华</w:t>
      </w:r>
    </w:p>
    <w:bookmarkEnd w:id="22"/>
    <w:p w14:paraId="4B159A97">
      <w:pPr>
        <w:spacing w:line="20" w:lineRule="exact"/>
        <w:jc w:val="center"/>
        <w:rPr>
          <w:rFonts w:ascii="黑体" w:hAnsi="黑体" w:eastAsia="黑体"/>
          <w:sz w:val="32"/>
          <w:szCs w:val="32"/>
        </w:rPr>
      </w:pPr>
      <w:bookmarkStart w:id="23" w:name="BookMark4"/>
    </w:p>
    <w:p w14:paraId="16D866A1">
      <w:pPr>
        <w:spacing w:line="20" w:lineRule="exact"/>
        <w:jc w:val="center"/>
        <w:rPr>
          <w:rFonts w:ascii="黑体" w:hAnsi="黑体" w:eastAsia="黑体"/>
          <w:sz w:val="32"/>
          <w:szCs w:val="32"/>
        </w:rPr>
      </w:pPr>
    </w:p>
    <w:sdt>
      <w:sdtPr>
        <w:tag w:val="NEW_STAND_NAME"/>
        <w:id w:val="595910757"/>
        <w:lock w:val="sdtLocked"/>
        <w:placeholder>
          <w:docPart w:val="73722A555CC044B5A945D55696FDFD33"/>
        </w:placeholder>
      </w:sdtPr>
      <w:sdtContent>
        <w:p w14:paraId="06E5E4D1">
          <w:pPr>
            <w:pStyle w:val="177"/>
            <w:spacing w:before="3" w:beforeLines="1" w:after="686" w:afterLines="220"/>
          </w:pPr>
          <w:bookmarkStart w:id="24" w:name="NEW_STAND_NAME"/>
          <w:r>
            <w:rPr>
              <w:rFonts w:hint="eastAsia"/>
            </w:rPr>
            <w:t>桑椹绿色种植技术规程</w:t>
          </w:r>
        </w:p>
      </w:sdtContent>
    </w:sdt>
    <w:bookmarkEnd w:id="24"/>
    <w:p w14:paraId="3C87CD7D">
      <w:pPr>
        <w:pStyle w:val="104"/>
        <w:spacing w:before="312" w:after="312"/>
      </w:pPr>
      <w:bookmarkStart w:id="25" w:name="_Toc186796236"/>
      <w:bookmarkStart w:id="26" w:name="_Toc97191423"/>
      <w:bookmarkStart w:id="27" w:name="_Toc26986771"/>
      <w:bookmarkStart w:id="28" w:name="_Toc26718930"/>
      <w:bookmarkStart w:id="29" w:name="_Toc26986530"/>
      <w:bookmarkStart w:id="30" w:name="_Toc24884211"/>
      <w:bookmarkStart w:id="31" w:name="_Toc24884218"/>
      <w:bookmarkStart w:id="32" w:name="_Toc26648465"/>
      <w:bookmarkStart w:id="33" w:name="_Toc17233333"/>
      <w:bookmarkStart w:id="34" w:name="_Toc17233325"/>
      <w:r>
        <w:rPr>
          <w:rFonts w:hint="eastAsia"/>
        </w:rPr>
        <w:t>范围</w:t>
      </w:r>
      <w:bookmarkEnd w:id="25"/>
      <w:bookmarkEnd w:id="26"/>
      <w:bookmarkEnd w:id="27"/>
      <w:bookmarkEnd w:id="28"/>
      <w:bookmarkEnd w:id="29"/>
      <w:bookmarkEnd w:id="30"/>
      <w:bookmarkEnd w:id="31"/>
      <w:bookmarkEnd w:id="32"/>
      <w:bookmarkEnd w:id="33"/>
      <w:bookmarkEnd w:id="34"/>
    </w:p>
    <w:p w14:paraId="40E30AA7">
      <w:pPr>
        <w:pStyle w:val="56"/>
        <w:ind w:firstLine="420"/>
        <w:rPr>
          <w:rFonts w:hAnsi="宋体" w:cs="宋体"/>
          <w:color w:val="000000"/>
          <w:szCs w:val="21"/>
        </w:rPr>
      </w:pPr>
      <w:bookmarkStart w:id="35" w:name="_Toc24884212"/>
      <w:bookmarkStart w:id="36" w:name="_Toc17233334"/>
      <w:bookmarkStart w:id="37" w:name="_Toc26648466"/>
      <w:bookmarkStart w:id="38" w:name="_Toc17233326"/>
      <w:bookmarkStart w:id="39" w:name="_Toc24884219"/>
      <w:r>
        <w:rPr>
          <w:rFonts w:hint="eastAsia"/>
        </w:rPr>
        <w:t>本</w:t>
      </w:r>
      <w:bookmarkStart w:id="40" w:name="OLE_LINK1"/>
      <w:bookmarkStart w:id="41" w:name="OLE_LINK2"/>
      <w:r>
        <w:rPr>
          <w:rFonts w:hint="eastAsia"/>
        </w:rPr>
        <w:t>标准</w:t>
      </w:r>
      <w:bookmarkEnd w:id="40"/>
      <w:bookmarkEnd w:id="41"/>
      <w:r>
        <w:rPr>
          <w:rFonts w:hint="eastAsia" w:hAnsi="宋体" w:cs="宋体"/>
          <w:color w:val="000000"/>
          <w:szCs w:val="21"/>
        </w:rPr>
        <w:t>规定了桑椹绿色种植的园地选择规划、桑树栽植、桑树嫁接及养型、田间管理、桑椹采收的技术要求。</w:t>
      </w:r>
    </w:p>
    <w:p w14:paraId="611C8521">
      <w:pPr>
        <w:pStyle w:val="56"/>
        <w:ind w:firstLine="420"/>
      </w:pPr>
      <w:r>
        <w:rPr>
          <w:rFonts w:hint="eastAsia" w:hAnsi="宋体" w:cs="宋体"/>
          <w:color w:val="000000"/>
          <w:szCs w:val="21"/>
        </w:rPr>
        <w:t>本</w:t>
      </w:r>
      <w:r>
        <w:rPr>
          <w:rFonts w:hint="eastAsia"/>
        </w:rPr>
        <w:t>标准</w:t>
      </w:r>
      <w:r>
        <w:rPr>
          <w:rFonts w:hint="eastAsia" w:hAnsi="宋体" w:cs="宋体"/>
          <w:color w:val="000000"/>
          <w:szCs w:val="21"/>
        </w:rPr>
        <w:t>适用于攀枝花市桑椹绿色种植。</w:t>
      </w:r>
    </w:p>
    <w:p w14:paraId="1E2C2260">
      <w:pPr>
        <w:pStyle w:val="104"/>
        <w:spacing w:before="312" w:after="312"/>
      </w:pPr>
      <w:bookmarkStart w:id="42" w:name="_Toc186796237"/>
      <w:bookmarkStart w:id="43" w:name="_Toc26718931"/>
      <w:bookmarkStart w:id="44" w:name="_Toc26986531"/>
      <w:bookmarkStart w:id="45" w:name="_Toc97191424"/>
      <w:bookmarkStart w:id="46" w:name="_Toc26986772"/>
      <w:r>
        <w:rPr>
          <w:rFonts w:hint="eastAsia"/>
        </w:rPr>
        <w:t>规范性引用文件</w:t>
      </w:r>
      <w:bookmarkEnd w:id="35"/>
      <w:bookmarkEnd w:id="36"/>
      <w:bookmarkEnd w:id="37"/>
      <w:bookmarkEnd w:id="38"/>
      <w:bookmarkEnd w:id="39"/>
      <w:bookmarkEnd w:id="42"/>
      <w:bookmarkEnd w:id="43"/>
      <w:bookmarkEnd w:id="44"/>
      <w:bookmarkEnd w:id="45"/>
      <w:bookmarkEnd w:id="46"/>
    </w:p>
    <w:sdt>
      <w:sdtPr>
        <w:rPr>
          <w:rFonts w:hint="eastAsia"/>
        </w:rPr>
        <w:id w:val="715848253"/>
        <w:placeholder>
          <w:docPart w:val="A40558F49585489AAFB89D04B2E462E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1E2F791F">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E464F3D">
      <w:pPr>
        <w:pStyle w:val="56"/>
        <w:ind w:firstLine="420"/>
        <w:rPr>
          <w:rFonts w:ascii="Times New Roman"/>
          <w:color w:val="000000" w:themeColor="text1"/>
          <w14:textFill>
            <w14:solidFill>
              <w14:schemeClr w14:val="tx1"/>
            </w14:solidFill>
          </w14:textFill>
        </w:rPr>
      </w:pPr>
      <w:r>
        <w:rPr>
          <w:rFonts w:hint="eastAsia"/>
        </w:rPr>
        <w:t xml:space="preserve">GB </w:t>
      </w:r>
      <w:r>
        <w:rPr>
          <w:rFonts w:hint="eastAsia" w:hAnsi="宋体"/>
          <w:color w:val="000000" w:themeColor="text1"/>
          <w14:textFill>
            <w14:solidFill>
              <w14:schemeClr w14:val="tx1"/>
            </w14:solidFill>
          </w14:textFill>
        </w:rPr>
        <w:t>2763</w:t>
      </w:r>
      <w:r>
        <w:rPr>
          <w:rFonts w:hint="eastAsia" w:ascii="Times New Roman"/>
          <w:color w:val="000000" w:themeColor="text1"/>
          <w14:textFill>
            <w14:solidFill>
              <w14:schemeClr w14:val="tx1"/>
            </w14:solidFill>
          </w14:textFill>
        </w:rPr>
        <w:t>　食品安全国家标准食品中农药最大残留限量</w:t>
      </w:r>
    </w:p>
    <w:p w14:paraId="0A5A9AC0">
      <w:pPr>
        <w:pStyle w:val="56"/>
        <w:ind w:firstLine="42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G</w:t>
      </w:r>
      <w:r>
        <w:rPr>
          <w:rFonts w:hAnsi="宋体"/>
          <w:color w:val="000000" w:themeColor="text1"/>
          <w14:textFill>
            <w14:solidFill>
              <w14:schemeClr w14:val="tx1"/>
            </w14:solidFill>
          </w14:textFill>
        </w:rPr>
        <w:t xml:space="preserve">B </w:t>
      </w:r>
      <w:r>
        <w:rPr>
          <w:rFonts w:hint="eastAsia" w:hAnsi="宋体"/>
          <w:color w:val="000000" w:themeColor="text1"/>
          <w14:textFill>
            <w14:solidFill>
              <w14:schemeClr w14:val="tx1"/>
            </w14:solidFill>
          </w14:textFill>
        </w:rPr>
        <w:t>4285　</w:t>
      </w:r>
      <w:r>
        <w:rPr>
          <w:rFonts w:hint="eastAsia" w:ascii="Times New Roman"/>
          <w:color w:val="000000" w:themeColor="text1"/>
          <w14:textFill>
            <w14:solidFill>
              <w14:schemeClr w14:val="tx1"/>
            </w14:solidFill>
          </w14:textFill>
        </w:rPr>
        <w:t>农药安全使用标准</w:t>
      </w:r>
    </w:p>
    <w:p w14:paraId="50EF6515">
      <w:pPr>
        <w:pStyle w:val="56"/>
        <w:ind w:firstLine="420"/>
        <w:rPr>
          <w:rFonts w:ascii="Times New Roman"/>
          <w:color w:val="000000" w:themeColor="text1"/>
          <w14:textFill>
            <w14:solidFill>
              <w14:schemeClr w14:val="tx1"/>
            </w14:solidFill>
          </w14:textFill>
        </w:rPr>
      </w:pPr>
      <w:r>
        <w:rPr>
          <w:rFonts w:hint="eastAsia" w:hAnsi="宋体"/>
          <w:color w:val="000000" w:themeColor="text1"/>
          <w14:textFill>
            <w14:solidFill>
              <w14:schemeClr w14:val="tx1"/>
            </w14:solidFill>
          </w14:textFill>
        </w:rPr>
        <w:t>GB 19173　</w:t>
      </w:r>
      <w:r>
        <w:rPr>
          <w:rFonts w:hint="eastAsia" w:ascii="Times New Roman"/>
          <w:color w:val="000000" w:themeColor="text1"/>
          <w14:textFill>
            <w14:solidFill>
              <w14:schemeClr w14:val="tx1"/>
            </w14:solidFill>
          </w14:textFill>
        </w:rPr>
        <w:t>桑树种子和苗木</w:t>
      </w:r>
    </w:p>
    <w:p w14:paraId="0B05AC5A">
      <w:pPr>
        <w:pStyle w:val="56"/>
        <w:ind w:firstLine="420"/>
        <w:rPr>
          <w:rFonts w:ascii="Times New Roman"/>
          <w:color w:val="000000" w:themeColor="text1"/>
          <w14:textFill>
            <w14:solidFill>
              <w14:schemeClr w14:val="tx1"/>
            </w14:solidFill>
          </w14:textFill>
        </w:rPr>
      </w:pPr>
      <w:r>
        <w:rPr>
          <w:rFonts w:hint="eastAsia"/>
        </w:rPr>
        <w:t xml:space="preserve">GB/T </w:t>
      </w:r>
      <w:r>
        <w:rPr>
          <w:rFonts w:hint="eastAsia" w:hAnsi="宋体"/>
          <w:color w:val="000000" w:themeColor="text1"/>
          <w14:textFill>
            <w14:solidFill>
              <w14:schemeClr w14:val="tx1"/>
            </w14:solidFill>
          </w14:textFill>
        </w:rPr>
        <w:t>29572　</w:t>
      </w:r>
      <w:r>
        <w:rPr>
          <w:rFonts w:hint="eastAsia" w:ascii="Times New Roman"/>
          <w:color w:val="000000" w:themeColor="text1"/>
          <w14:textFill>
            <w14:solidFill>
              <w14:schemeClr w14:val="tx1"/>
            </w14:solidFill>
          </w14:textFill>
        </w:rPr>
        <w:t>桑椹（桑果）</w:t>
      </w:r>
    </w:p>
    <w:p w14:paraId="73B1A460">
      <w:pPr>
        <w:pStyle w:val="56"/>
        <w:ind w:firstLine="420"/>
        <w:rPr>
          <w:rFonts w:ascii="Times New Roman"/>
          <w:color w:val="000000" w:themeColor="text1"/>
          <w14:textFill>
            <w14:solidFill>
              <w14:schemeClr w14:val="tx1"/>
            </w14:solidFill>
          </w14:textFill>
        </w:rPr>
      </w:pPr>
      <w:r>
        <w:rPr>
          <w:rFonts w:hint="eastAsia" w:hAnsi="宋体"/>
          <w:color w:val="000000" w:themeColor="text1"/>
          <w14:textFill>
            <w14:solidFill>
              <w14:schemeClr w14:val="tx1"/>
            </w14:solidFill>
          </w14:textFill>
        </w:rPr>
        <w:t>NY/T 391　</w:t>
      </w:r>
      <w:r>
        <w:rPr>
          <w:rFonts w:hint="eastAsia" w:ascii="Times New Roman"/>
          <w:color w:val="000000" w:themeColor="text1"/>
          <w14:textFill>
            <w14:solidFill>
              <w14:schemeClr w14:val="tx1"/>
            </w14:solidFill>
          </w14:textFill>
        </w:rPr>
        <w:t>绿色食品产地环境质量</w:t>
      </w:r>
    </w:p>
    <w:p w14:paraId="00FBF31C">
      <w:pPr>
        <w:pStyle w:val="56"/>
        <w:ind w:firstLine="420"/>
        <w:rPr>
          <w:rFonts w:ascii="Times New Roman"/>
          <w:color w:val="000000" w:themeColor="text1"/>
          <w:kern w:val="2"/>
          <w14:textFill>
            <w14:solidFill>
              <w14:schemeClr w14:val="tx1"/>
            </w14:solidFill>
          </w14:textFill>
        </w:rPr>
      </w:pPr>
      <w:r>
        <w:rPr>
          <w:rFonts w:hint="eastAsia" w:hAnsi="宋体"/>
          <w:color w:val="000000" w:themeColor="text1"/>
          <w14:textFill>
            <w14:solidFill>
              <w14:schemeClr w14:val="tx1"/>
            </w14:solidFill>
          </w14:textFill>
        </w:rPr>
        <w:t>NY/T 394　</w:t>
      </w:r>
      <w:r>
        <w:rPr>
          <w:rFonts w:ascii="Times New Roman"/>
          <w:color w:val="000000" w:themeColor="text1"/>
          <w:kern w:val="2"/>
          <w14:textFill>
            <w14:solidFill>
              <w14:schemeClr w14:val="tx1"/>
            </w14:solidFill>
          </w14:textFill>
        </w:rPr>
        <w:t>绿色食品肥料使用准则</w:t>
      </w:r>
    </w:p>
    <w:p w14:paraId="5CAA32F1">
      <w:pPr>
        <w:pStyle w:val="56"/>
        <w:ind w:firstLine="420"/>
        <w:rPr>
          <w:rFonts w:ascii="Times New Roman"/>
          <w:color w:val="000000" w:themeColor="text1"/>
          <w14:textFill>
            <w14:solidFill>
              <w14:schemeClr w14:val="tx1"/>
            </w14:solidFill>
          </w14:textFill>
        </w:rPr>
      </w:pPr>
      <w:r>
        <w:rPr>
          <w:rFonts w:hint="eastAsia" w:hAnsi="宋体"/>
          <w:color w:val="000000" w:themeColor="text1"/>
          <w:kern w:val="2"/>
          <w14:textFill>
            <w14:solidFill>
              <w14:schemeClr w14:val="tx1"/>
            </w14:solidFill>
          </w14:textFill>
        </w:rPr>
        <w:t>NY/T 1027　</w:t>
      </w:r>
      <w:r>
        <w:rPr>
          <w:rFonts w:hint="eastAsia" w:ascii="Times New Roman"/>
          <w:color w:val="000000" w:themeColor="text1"/>
          <w14:textFill>
            <w14:solidFill>
              <w14:schemeClr w14:val="tx1"/>
            </w14:solidFill>
          </w14:textFill>
        </w:rPr>
        <w:t>桑园用药技术规程</w:t>
      </w:r>
    </w:p>
    <w:p w14:paraId="0871231E">
      <w:pPr>
        <w:pStyle w:val="56"/>
        <w:ind w:firstLine="420"/>
        <w:rPr>
          <w:rFonts w:ascii="Times New Roman"/>
          <w:color w:val="000000" w:themeColor="text1"/>
          <w14:textFill>
            <w14:solidFill>
              <w14:schemeClr w14:val="tx1"/>
            </w14:solidFill>
          </w14:textFill>
        </w:rPr>
      </w:pPr>
      <w:r>
        <w:rPr>
          <w:rFonts w:hint="eastAsia" w:hAnsi="宋体"/>
          <w:color w:val="000000" w:themeColor="text1"/>
          <w14:textFill>
            <w14:solidFill>
              <w14:schemeClr w14:val="tx1"/>
            </w14:solidFill>
          </w14:textFill>
        </w:rPr>
        <w:t>DB51/T 843　</w:t>
      </w:r>
      <w:r>
        <w:rPr>
          <w:rFonts w:hint="eastAsia" w:ascii="Times New Roman"/>
          <w:color w:val="000000" w:themeColor="text1"/>
          <w14:textFill>
            <w14:solidFill>
              <w14:schemeClr w14:val="tx1"/>
            </w14:solidFill>
          </w14:textFill>
        </w:rPr>
        <w:t>桑园肥培管理技术规程</w:t>
      </w:r>
    </w:p>
    <w:p w14:paraId="775CF37D">
      <w:pPr>
        <w:pStyle w:val="56"/>
        <w:ind w:firstLine="42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D</w:t>
      </w:r>
      <w:r>
        <w:rPr>
          <w:rFonts w:hAnsi="宋体"/>
          <w:color w:val="000000" w:themeColor="text1"/>
          <w14:textFill>
            <w14:solidFill>
              <w14:schemeClr w14:val="tx1"/>
            </w14:solidFill>
          </w14:textFill>
        </w:rPr>
        <w:t xml:space="preserve">B51/T </w:t>
      </w:r>
      <w:r>
        <w:rPr>
          <w:rFonts w:hint="eastAsia" w:hAnsi="宋体"/>
          <w:color w:val="000000" w:themeColor="text1"/>
          <w14:textFill>
            <w14:solidFill>
              <w14:schemeClr w14:val="tx1"/>
            </w14:solidFill>
          </w14:textFill>
        </w:rPr>
        <w:t>2725</w:t>
      </w:r>
      <w:r>
        <w:rPr>
          <w:rFonts w:hint="eastAsia" w:ascii="Times New Roman"/>
          <w:color w:val="000000" w:themeColor="text1"/>
          <w14:textFill>
            <w14:solidFill>
              <w14:schemeClr w14:val="tx1"/>
            </w14:solidFill>
          </w14:textFill>
        </w:rPr>
        <w:t xml:space="preserve">  叶用桑水肥一体化技术规程</w:t>
      </w:r>
    </w:p>
    <w:p w14:paraId="43F5E817">
      <w:pPr>
        <w:pStyle w:val="104"/>
        <w:spacing w:before="312" w:after="312"/>
      </w:pPr>
      <w:bookmarkStart w:id="47" w:name="_Toc97191425"/>
      <w:bookmarkStart w:id="48" w:name="_Toc186796238"/>
      <w:r>
        <w:rPr>
          <w:rFonts w:hint="eastAsia"/>
          <w:szCs w:val="21"/>
        </w:rPr>
        <w:t>术语和定义</w:t>
      </w:r>
      <w:bookmarkEnd w:id="47"/>
      <w:bookmarkEnd w:id="48"/>
    </w:p>
    <w:sdt>
      <w:sdtPr>
        <w:id w:val="-1909835108"/>
        <w:placeholder>
          <w:docPart w:val="9C4A8C4B603A4FFB92E71023CB7D2BD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BD58090">
          <w:pPr>
            <w:pStyle w:val="56"/>
            <w:ind w:firstLine="420"/>
          </w:pPr>
          <w:bookmarkStart w:id="49" w:name="_Toc26986532"/>
          <w:bookmarkEnd w:id="49"/>
          <w:r>
            <w:t>下列术语和定义适用于本文件。</w:t>
          </w:r>
        </w:p>
      </w:sdtContent>
    </w:sdt>
    <w:p w14:paraId="58B1F5B8">
      <w:pPr>
        <w:pStyle w:val="223"/>
        <w:ind w:left="420" w:hanging="420" w:hangingChars="200"/>
        <w:rPr>
          <w:rFonts w:ascii="黑体" w:hAnsi="黑体" w:eastAsia="黑体"/>
          <w:bCs/>
        </w:rPr>
      </w:pPr>
      <w:r>
        <w:rPr>
          <w:rFonts w:ascii="黑体" w:hAnsi="黑体" w:eastAsia="黑体"/>
        </w:rPr>
        <w:br w:type="textWrapping"/>
      </w:r>
      <w:r>
        <w:rPr>
          <w:rFonts w:hint="eastAsia" w:ascii="黑体" w:hAnsi="黑体" w:eastAsia="黑体"/>
        </w:rPr>
        <w:t>桑椹（桑果）　m</w:t>
      </w:r>
      <w:r>
        <w:rPr>
          <w:rFonts w:ascii="黑体" w:hAnsi="黑体" w:eastAsia="黑体"/>
        </w:rPr>
        <w:t>ulb</w:t>
      </w:r>
      <w:r>
        <w:rPr>
          <w:rFonts w:hint="eastAsia" w:ascii="黑体" w:hAnsi="黑体" w:eastAsia="黑体"/>
        </w:rPr>
        <w:t>err</w:t>
      </w:r>
      <w:r>
        <w:rPr>
          <w:rFonts w:ascii="黑体" w:hAnsi="黑体" w:eastAsia="黑体"/>
        </w:rPr>
        <w:t>y</w:t>
      </w:r>
      <w:r>
        <w:rPr>
          <w:rFonts w:ascii="黑体" w:hAnsi="黑体" w:eastAsia="黑体"/>
          <w:b/>
          <w:bCs/>
        </w:rPr>
        <w:t xml:space="preserve"> </w:t>
      </w:r>
      <w:r>
        <w:rPr>
          <w:rFonts w:hint="eastAsia" w:ascii="黑体" w:hAnsi="黑体" w:eastAsia="黑体"/>
          <w:bCs/>
        </w:rPr>
        <w:t>f</w:t>
      </w:r>
      <w:r>
        <w:rPr>
          <w:rFonts w:ascii="黑体" w:hAnsi="黑体" w:eastAsia="黑体"/>
          <w:bCs/>
        </w:rPr>
        <w:t>ruit</w:t>
      </w:r>
    </w:p>
    <w:p w14:paraId="3E2C72C7">
      <w:pPr>
        <w:pStyle w:val="56"/>
        <w:ind w:firstLine="420"/>
        <w:rPr>
          <w:rFonts w:ascii="Times New Roman"/>
        </w:rPr>
      </w:pPr>
      <w:r>
        <w:rPr>
          <w:rFonts w:hint="eastAsia"/>
        </w:rPr>
        <w:t>桑</w:t>
      </w:r>
      <w:r>
        <w:rPr>
          <w:rFonts w:hint="eastAsia" w:ascii="Times New Roman"/>
        </w:rPr>
        <w:t>树的果穗。</w:t>
      </w:r>
    </w:p>
    <w:p w14:paraId="4A3C1B74">
      <w:pPr>
        <w:pStyle w:val="223"/>
        <w:ind w:left="420" w:hanging="420" w:hangingChars="200"/>
        <w:rPr>
          <w:rFonts w:ascii="黑体" w:hAnsi="黑体" w:eastAsia="黑体"/>
          <w:b/>
          <w:bCs/>
        </w:rPr>
      </w:pPr>
      <w:r>
        <w:rPr>
          <w:rFonts w:ascii="黑体" w:hAnsi="黑体" w:eastAsia="黑体"/>
        </w:rPr>
        <w:br w:type="textWrapping"/>
      </w:r>
      <w:r>
        <w:rPr>
          <w:rFonts w:hint="eastAsia" w:ascii="黑体" w:hAnsi="黑体" w:eastAsia="黑体"/>
        </w:rPr>
        <w:t>夏伐　su</w:t>
      </w:r>
      <w:r>
        <w:rPr>
          <w:rFonts w:ascii="黑体" w:hAnsi="黑体" w:eastAsia="黑体"/>
        </w:rPr>
        <w:t>mmer pruning</w:t>
      </w:r>
    </w:p>
    <w:p w14:paraId="7EF5FED6">
      <w:pPr>
        <w:pStyle w:val="56"/>
        <w:ind w:firstLine="420"/>
        <w:rPr>
          <w:rFonts w:hAnsi="宋体" w:cs="宋体"/>
          <w:color w:val="000000" w:themeColor="text1"/>
          <w:szCs w:val="21"/>
          <w14:textFill>
            <w14:solidFill>
              <w14:schemeClr w14:val="tx1"/>
            </w14:solidFill>
          </w14:textFill>
        </w:rPr>
      </w:pPr>
      <w:r>
        <w:rPr>
          <w:rFonts w:hint="eastAsia"/>
        </w:rPr>
        <w:t>桑椹</w:t>
      </w:r>
      <w:r>
        <w:rPr>
          <w:rFonts w:hint="eastAsia" w:ascii="Times New Roman"/>
        </w:rPr>
        <w:t>采收后，</w:t>
      </w:r>
      <w:r>
        <w:rPr>
          <w:rFonts w:hint="eastAsia" w:ascii="Times New Roman"/>
          <w:color w:val="000000" w:themeColor="text1"/>
          <w14:textFill>
            <w14:solidFill>
              <w14:schemeClr w14:val="tx1"/>
            </w14:solidFill>
          </w14:textFill>
        </w:rPr>
        <w:t>根据树型调整需求，对一年生枝条从基部进行剪伐</w:t>
      </w:r>
      <w:r>
        <w:rPr>
          <w:rFonts w:hint="eastAsia" w:hAnsi="宋体" w:cs="宋体"/>
          <w:color w:val="000000" w:themeColor="text1"/>
          <w:szCs w:val="21"/>
          <w14:textFill>
            <w14:solidFill>
              <w14:schemeClr w14:val="tx1"/>
            </w14:solidFill>
          </w14:textFill>
        </w:rPr>
        <w:t>。</w:t>
      </w:r>
    </w:p>
    <w:p w14:paraId="3E3E65CF">
      <w:pPr>
        <w:pStyle w:val="223"/>
        <w:ind w:left="420" w:hanging="420" w:hangingChars="200"/>
        <w:rPr>
          <w:rFonts w:ascii="黑体" w:hAnsi="黑体" w:eastAsia="黑体"/>
          <w:bCs/>
          <w:color w:val="000000" w:themeColor="text1"/>
          <w:szCs w:val="21"/>
          <w14:textFill>
            <w14:solidFill>
              <w14:schemeClr w14:val="tx1"/>
            </w14:solidFill>
          </w14:textFill>
        </w:rPr>
      </w:pPr>
      <w:r>
        <w:rPr>
          <w:rFonts w:ascii="黑体" w:hAnsi="黑体" w:eastAsia="黑体"/>
        </w:rPr>
        <w:br w:type="textWrapping"/>
      </w:r>
      <w:r>
        <w:rPr>
          <w:rFonts w:hint="eastAsia" w:ascii="黑体" w:hAnsi="黑体" w:eastAsia="黑体"/>
        </w:rPr>
        <w:t>桑</w:t>
      </w:r>
      <w:r>
        <w:rPr>
          <w:rFonts w:ascii="黑体" w:hAnsi="黑体" w:eastAsia="黑体"/>
        </w:rPr>
        <w:t>树配方施肥</w:t>
      </w:r>
      <w:r>
        <w:rPr>
          <w:rFonts w:hint="eastAsia" w:ascii="黑体" w:hAnsi="黑体" w:eastAsia="黑体"/>
        </w:rPr>
        <w:t>　 r</w:t>
      </w:r>
      <w:r>
        <w:rPr>
          <w:rFonts w:ascii="黑体" w:hAnsi="黑体" w:eastAsia="黑体"/>
        </w:rPr>
        <w:t>e</w:t>
      </w:r>
      <w:r>
        <w:rPr>
          <w:rFonts w:ascii="黑体" w:hAnsi="黑体" w:eastAsia="黑体"/>
          <w:bCs/>
          <w:color w:val="000000" w:themeColor="text1"/>
          <w:szCs w:val="21"/>
          <w14:textFill>
            <w14:solidFill>
              <w14:schemeClr w14:val="tx1"/>
            </w14:solidFill>
          </w14:textFill>
        </w:rPr>
        <w:t>cipe fertilization of mulberry</w:t>
      </w:r>
    </w:p>
    <w:p w14:paraId="7AD478A8">
      <w:pPr>
        <w:pStyle w:val="56"/>
        <w:ind w:firstLine="420"/>
        <w:rPr>
          <w:rFonts w:hAnsi="宋体"/>
        </w:rPr>
      </w:pPr>
      <w:r>
        <w:rPr>
          <w:rFonts w:hint="eastAsia" w:hAnsi="宋体"/>
        </w:rPr>
        <w:t>根据</w:t>
      </w:r>
      <w:r>
        <w:rPr>
          <w:rFonts w:hint="eastAsia" w:hAnsi="宋体" w:cs="宋体"/>
          <w:color w:val="000000" w:themeColor="text1"/>
          <w:szCs w:val="21"/>
          <w14:textFill>
            <w14:solidFill>
              <w14:schemeClr w14:val="tx1"/>
            </w14:solidFill>
          </w14:textFill>
        </w:rPr>
        <w:t>桑树的需肥规律、土壤供肥能力和肥料效率，拟定当季桑园所施用大量元素和微量元素的配比方案，及其配套的施肥技术。</w:t>
      </w:r>
    </w:p>
    <w:p w14:paraId="4425C9A8">
      <w:pPr>
        <w:pStyle w:val="104"/>
        <w:spacing w:before="312" w:after="312"/>
      </w:pPr>
      <w:bookmarkStart w:id="50" w:name="_Toc186796239"/>
      <w:r>
        <w:rPr>
          <w:rFonts w:hint="eastAsia"/>
        </w:rPr>
        <w:t>桑园地选择和规划</w:t>
      </w:r>
      <w:bookmarkEnd w:id="50"/>
    </w:p>
    <w:p w14:paraId="78B5F8FC">
      <w:pPr>
        <w:pStyle w:val="105"/>
        <w:spacing w:before="156" w:after="156"/>
      </w:pPr>
      <w:bookmarkStart w:id="51" w:name="_Toc186796240"/>
      <w:r>
        <w:rPr>
          <w:rFonts w:hint="eastAsia"/>
        </w:rPr>
        <w:t>桑园地选择</w:t>
      </w:r>
      <w:bookmarkEnd w:id="51"/>
    </w:p>
    <w:p w14:paraId="781DDC45">
      <w:pPr>
        <w:pStyle w:val="56"/>
        <w:ind w:firstLine="420"/>
      </w:pPr>
      <w:r>
        <w:rPr>
          <w:rFonts w:hint="eastAsia"/>
        </w:rPr>
        <w:t>果桑园种植地选择光照充沛、通风向阳、土层深厚、灌溉排水条件良好，无污染，海拔在 1800</w:t>
      </w:r>
      <w:r>
        <w:t xml:space="preserve"> </w:t>
      </w:r>
      <w:r>
        <w:rPr>
          <w:rFonts w:hint="eastAsia"/>
        </w:rPr>
        <w:t>m以下，pH值 5.5～7.5 的壤土或沙壤土。空气质量、灌溉水、土壤质量符合 NY/T 391 的规定。</w:t>
      </w:r>
    </w:p>
    <w:p w14:paraId="2C9845AB">
      <w:pPr>
        <w:pStyle w:val="105"/>
        <w:spacing w:before="156" w:after="156"/>
        <w:rPr>
          <w:rFonts w:hAnsi="宋体" w:cs="黑体"/>
          <w:color w:val="000000" w:themeColor="text1"/>
          <w:szCs w:val="21"/>
          <w14:textFill>
            <w14:solidFill>
              <w14:schemeClr w14:val="tx1"/>
            </w14:solidFill>
          </w14:textFill>
        </w:rPr>
      </w:pPr>
      <w:bookmarkStart w:id="52" w:name="_Toc186796241"/>
      <w:r>
        <w:rPr>
          <w:rFonts w:hint="eastAsia"/>
        </w:rPr>
        <w:t>桑</w:t>
      </w:r>
      <w:r>
        <w:rPr>
          <w:rFonts w:hint="eastAsia" w:hAnsi="宋体" w:cs="黑体"/>
          <w:color w:val="000000" w:themeColor="text1"/>
          <w:szCs w:val="21"/>
          <w14:textFill>
            <w14:solidFill>
              <w14:schemeClr w14:val="tx1"/>
            </w14:solidFill>
          </w14:textFill>
        </w:rPr>
        <w:t>园地规划</w:t>
      </w:r>
      <w:bookmarkEnd w:id="52"/>
    </w:p>
    <w:p w14:paraId="68B57BAC">
      <w:pPr>
        <w:pStyle w:val="65"/>
        <w:spacing w:before="156" w:after="156"/>
      </w:pPr>
      <w:r>
        <w:rPr>
          <w:rFonts w:hint="eastAsia"/>
        </w:rPr>
        <w:t>作业区划分</w:t>
      </w:r>
    </w:p>
    <w:p w14:paraId="15566B6D">
      <w:pPr>
        <w:pStyle w:val="56"/>
        <w:ind w:firstLine="420"/>
      </w:pPr>
      <w:r>
        <w:rPr>
          <w:rFonts w:hint="eastAsia"/>
        </w:rPr>
        <w:t>根据园地地形地貌和土壤条件，适当配置田间工作房、农业生产设备、电力保障设备、农机作业道、排灌沟渠等。</w:t>
      </w:r>
    </w:p>
    <w:p w14:paraId="2F63E454">
      <w:pPr>
        <w:pStyle w:val="65"/>
        <w:spacing w:before="156" w:after="156"/>
        <w:rPr>
          <w:rFonts w:hAnsi="宋体" w:cs="黑体"/>
          <w:color w:val="000000"/>
          <w:sz w:val="20"/>
        </w:rPr>
      </w:pPr>
      <w:r>
        <w:rPr>
          <w:rFonts w:hint="eastAsia"/>
        </w:rPr>
        <w:t>田间</w:t>
      </w:r>
      <w:r>
        <w:rPr>
          <w:rFonts w:hint="eastAsia" w:hAnsi="宋体" w:cs="黑体"/>
          <w:color w:val="000000"/>
          <w:sz w:val="20"/>
        </w:rPr>
        <w:t>道路建设</w:t>
      </w:r>
    </w:p>
    <w:p w14:paraId="263B390B">
      <w:pPr>
        <w:pStyle w:val="56"/>
        <w:ind w:firstLine="420"/>
      </w:pPr>
      <w:r>
        <w:rPr>
          <w:rFonts w:hint="eastAsia"/>
        </w:rPr>
        <w:t>按主路、支路和作业道进行配置，合理规划机耕路和田间作业道路，主路贯穿全园，作业区之间支路与主路相通。</w:t>
      </w:r>
    </w:p>
    <w:p w14:paraId="49081C42">
      <w:pPr>
        <w:pStyle w:val="65"/>
        <w:spacing w:before="156" w:after="156"/>
      </w:pPr>
      <w:r>
        <w:rPr>
          <w:rFonts w:hint="eastAsia"/>
        </w:rPr>
        <w:t>灌排水</w:t>
      </w:r>
      <w:r>
        <w:rPr>
          <w:rFonts w:hint="eastAsia" w:hAnsi="宋体" w:cs="黑体"/>
          <w:color w:val="000000"/>
          <w:sz w:val="20"/>
        </w:rPr>
        <w:t>系统建设</w:t>
      </w:r>
    </w:p>
    <w:p w14:paraId="5730F1D5">
      <w:pPr>
        <w:pStyle w:val="56"/>
        <w:ind w:firstLine="420"/>
      </w:pPr>
      <w:r>
        <w:rPr>
          <w:rFonts w:hint="eastAsia"/>
        </w:rPr>
        <w:t>建设适当的灌溉沟渠和排水渠道，有条件的果桑园可安装节水灌溉设备，建设标准参照</w:t>
      </w:r>
      <w:r>
        <w:t xml:space="preserve"> </w:t>
      </w:r>
      <w:r>
        <w:rPr>
          <w:rFonts w:hint="eastAsia" w:hAnsi="宋体"/>
        </w:rPr>
        <w:t xml:space="preserve">DB51/T </w:t>
      </w:r>
      <w:r>
        <w:rPr>
          <w:rFonts w:hAnsi="宋体"/>
        </w:rPr>
        <w:t xml:space="preserve"> </w:t>
      </w:r>
      <w:r>
        <w:rPr>
          <w:rFonts w:hint="eastAsia" w:hAnsi="宋体"/>
        </w:rPr>
        <w:t>2725</w:t>
      </w:r>
      <w:r>
        <w:rPr>
          <w:rFonts w:hAnsi="宋体"/>
        </w:rPr>
        <w:t xml:space="preserve"> </w:t>
      </w:r>
      <w:r>
        <w:rPr>
          <w:rFonts w:hint="eastAsia"/>
        </w:rPr>
        <w:t>执行。</w:t>
      </w:r>
    </w:p>
    <w:p w14:paraId="0BBA5AC3">
      <w:pPr>
        <w:pStyle w:val="104"/>
        <w:spacing w:before="312" w:after="312"/>
      </w:pPr>
      <w:bookmarkStart w:id="53" w:name="_Toc186796242"/>
      <w:r>
        <w:rPr>
          <w:rFonts w:hint="eastAsia"/>
        </w:rPr>
        <w:t>桑树栽植</w:t>
      </w:r>
      <w:bookmarkEnd w:id="53"/>
    </w:p>
    <w:p w14:paraId="0738B147">
      <w:pPr>
        <w:pStyle w:val="105"/>
        <w:spacing w:before="156" w:after="156"/>
      </w:pPr>
      <w:bookmarkStart w:id="54" w:name="_Toc186796243"/>
      <w:r>
        <w:rPr>
          <w:rFonts w:hint="eastAsia"/>
        </w:rPr>
        <w:t>栽桑准备</w:t>
      </w:r>
      <w:bookmarkEnd w:id="54"/>
    </w:p>
    <w:p w14:paraId="24F59A61">
      <w:pPr>
        <w:pStyle w:val="65"/>
        <w:spacing w:before="156" w:after="156"/>
      </w:pPr>
      <w:r>
        <w:rPr>
          <w:rFonts w:hint="eastAsia"/>
        </w:rPr>
        <w:t>果桑苗准备</w:t>
      </w:r>
    </w:p>
    <w:p w14:paraId="7D304DCE">
      <w:pPr>
        <w:pStyle w:val="56"/>
        <w:ind w:firstLine="420"/>
      </w:pPr>
      <w:r>
        <w:rPr>
          <w:rFonts w:hint="eastAsia"/>
        </w:rPr>
        <w:t>选用</w:t>
      </w:r>
      <w:r>
        <w:t>适宜本地区栽植的</w:t>
      </w:r>
      <w:r>
        <w:rPr>
          <w:rFonts w:hint="eastAsia"/>
        </w:rPr>
        <w:t>本土桑树实生苗或杂交实生桑</w:t>
      </w:r>
      <w:r>
        <w:t>，苗木须规格整齐、生长健壮、主根完整，并符合</w:t>
      </w:r>
      <w:r>
        <w:rPr>
          <w:rFonts w:hint="eastAsia"/>
        </w:rPr>
        <w:t xml:space="preserve"> </w:t>
      </w:r>
      <w:r>
        <w:rPr>
          <w:rFonts w:hAnsi="宋体"/>
        </w:rPr>
        <w:t>GB 19173</w:t>
      </w:r>
      <w:r>
        <w:rPr>
          <w:rFonts w:hint="eastAsia" w:hAnsi="宋体"/>
        </w:rPr>
        <w:t xml:space="preserve"> </w:t>
      </w:r>
      <w:r>
        <w:t>的要求。栽植前，剪除</w:t>
      </w:r>
      <w:r>
        <w:rPr>
          <w:rFonts w:hint="eastAsia"/>
        </w:rPr>
        <w:t xml:space="preserve">过长、断伤根和 </w:t>
      </w:r>
      <w:r>
        <w:t>60 cm～70 cm</w:t>
      </w:r>
      <w:r>
        <w:rPr>
          <w:rFonts w:hint="eastAsia"/>
        </w:rPr>
        <w:t xml:space="preserve"> </w:t>
      </w:r>
      <w:r>
        <w:t>以上嫩弱部分，</w:t>
      </w:r>
      <w:r>
        <w:rPr>
          <w:rFonts w:hint="eastAsia"/>
        </w:rPr>
        <w:t>剔除病虫苗，并用浓度为 20</w:t>
      </w:r>
      <w:r>
        <w:t xml:space="preserve"> </w:t>
      </w:r>
      <w:r>
        <w:rPr>
          <w:rFonts w:hint="eastAsia"/>
        </w:rPr>
        <w:t>%</w:t>
      </w:r>
      <w:r>
        <w:t xml:space="preserve"> </w:t>
      </w:r>
      <w:r>
        <w:rPr>
          <w:rFonts w:hint="eastAsia"/>
        </w:rPr>
        <w:t>澄清石灰水蘸根 5 秒钟消毒</w:t>
      </w:r>
      <w:r>
        <w:t>。</w:t>
      </w:r>
    </w:p>
    <w:p w14:paraId="4631F64E">
      <w:pPr>
        <w:pStyle w:val="65"/>
        <w:spacing w:before="156" w:after="156"/>
      </w:pPr>
      <w:r>
        <w:rPr>
          <w:rFonts w:hint="eastAsia"/>
        </w:rPr>
        <w:t>土地整理</w:t>
      </w:r>
    </w:p>
    <w:p w14:paraId="15B2ED73">
      <w:pPr>
        <w:pStyle w:val="56"/>
        <w:ind w:firstLine="420"/>
      </w:pPr>
      <w:r>
        <w:rPr>
          <w:rFonts w:hint="eastAsia"/>
        </w:rPr>
        <w:t>栽桑前对园地进行翻耕、除草、平整。根据土壤肥力状况施足基肥，以有机肥作基肥，每 667 m</w:t>
      </w:r>
      <w:r>
        <w:rPr>
          <w:vertAlign w:val="superscript"/>
        </w:rPr>
        <w:t>2</w:t>
      </w:r>
      <w:r>
        <w:rPr>
          <w:rFonts w:hint="eastAsia"/>
        </w:rPr>
        <w:t>施入腐熟农家肥（畜禽粪、土杂肥等）或商品有机肥 1000</w:t>
      </w:r>
      <w:r>
        <w:t xml:space="preserve"> </w:t>
      </w:r>
      <w:r>
        <w:rPr>
          <w:rFonts w:hint="eastAsia"/>
        </w:rPr>
        <w:t>kg～2000</w:t>
      </w:r>
      <w:r>
        <w:t xml:space="preserve"> </w:t>
      </w:r>
      <w:r>
        <w:rPr>
          <w:rFonts w:hint="eastAsia"/>
        </w:rPr>
        <w:t>kg，并回填部分泥土与基肥拌匀。</w:t>
      </w:r>
    </w:p>
    <w:p w14:paraId="342A8712">
      <w:pPr>
        <w:pStyle w:val="105"/>
        <w:spacing w:before="156" w:after="156"/>
      </w:pPr>
      <w:bookmarkStart w:id="55" w:name="_Toc186796244"/>
      <w:r>
        <w:rPr>
          <w:rFonts w:hint="eastAsia"/>
        </w:rPr>
        <w:t>栽植时间</w:t>
      </w:r>
      <w:bookmarkEnd w:id="55"/>
    </w:p>
    <w:p w14:paraId="5AF82953">
      <w:pPr>
        <w:pStyle w:val="56"/>
        <w:ind w:firstLine="420"/>
      </w:pPr>
      <w:r>
        <w:rPr>
          <w:rFonts w:hint="eastAsia"/>
        </w:rPr>
        <w:t xml:space="preserve">除三伏天以外，全年均可栽植。其中，以有水源保障地区以 </w:t>
      </w:r>
      <w:r>
        <w:t>1</w:t>
      </w:r>
      <w:r>
        <w:rPr>
          <w:rFonts w:hint="eastAsia"/>
        </w:rPr>
        <w:t xml:space="preserve">2 </w:t>
      </w:r>
      <w:r>
        <w:t>月</w:t>
      </w:r>
      <w:r>
        <w:rPr>
          <w:rFonts w:hint="eastAsia"/>
        </w:rPr>
        <w:t>中</w:t>
      </w:r>
      <w:r>
        <w:t>下旬至次年</w:t>
      </w:r>
      <w:r>
        <w:rPr>
          <w:rFonts w:hint="eastAsia"/>
        </w:rPr>
        <w:t xml:space="preserve"> 2 </w:t>
      </w:r>
      <w:r>
        <w:t>月</w:t>
      </w:r>
      <w:r>
        <w:rPr>
          <w:rFonts w:hint="eastAsia"/>
        </w:rPr>
        <w:t>下旬</w:t>
      </w:r>
      <w:r>
        <w:t>栽植</w:t>
      </w:r>
      <w:r>
        <w:rPr>
          <w:rFonts w:hint="eastAsia"/>
        </w:rPr>
        <w:t>为宜，无水源保障地区的可在雨季时栽植</w:t>
      </w:r>
      <w:r>
        <w:t>。</w:t>
      </w:r>
    </w:p>
    <w:p w14:paraId="233AF8E1">
      <w:pPr>
        <w:pStyle w:val="105"/>
        <w:spacing w:before="156" w:after="156"/>
      </w:pPr>
      <w:bookmarkStart w:id="56" w:name="_Toc186796245"/>
      <w:r>
        <w:rPr>
          <w:rFonts w:hint="eastAsia"/>
        </w:rPr>
        <w:t>栽植密度</w:t>
      </w:r>
      <w:bookmarkEnd w:id="56"/>
    </w:p>
    <w:p w14:paraId="212B3179">
      <w:pPr>
        <w:pStyle w:val="56"/>
        <w:ind w:firstLine="420"/>
      </w:pPr>
      <w:r>
        <w:rPr>
          <w:rFonts w:hint="eastAsia"/>
        </w:rPr>
        <w:t>栽</w:t>
      </w:r>
      <w:r>
        <w:t>植密度依据果桑</w:t>
      </w:r>
      <w:r>
        <w:rPr>
          <w:rFonts w:hint="eastAsia"/>
        </w:rPr>
        <w:t>种植目的、</w:t>
      </w:r>
      <w:r>
        <w:t>品种特性、树形特点和地形条件而定，</w:t>
      </w:r>
      <w:r>
        <w:rPr>
          <w:rFonts w:hint="eastAsia"/>
        </w:rPr>
        <w:t>采取宽窄行错位栽植，</w:t>
      </w:r>
      <w:r>
        <w:t>以</w:t>
      </w:r>
      <w:r>
        <w:rPr>
          <w:rFonts w:hint="eastAsia"/>
        </w:rPr>
        <w:t xml:space="preserve"> 100</w:t>
      </w:r>
      <w:r>
        <w:t>株～8</w:t>
      </w:r>
      <w:r>
        <w:rPr>
          <w:rFonts w:hint="eastAsia"/>
        </w:rPr>
        <w:t xml:space="preserve">00 </w:t>
      </w:r>
      <w:r>
        <w:t>株/667 m</w:t>
      </w:r>
      <w:r>
        <w:rPr>
          <w:vertAlign w:val="superscript"/>
        </w:rPr>
        <w:t xml:space="preserve">2 </w:t>
      </w:r>
      <w:r>
        <w:t>为宜</w:t>
      </w:r>
      <w:r>
        <w:rPr>
          <w:rFonts w:hint="eastAsia" w:hAnsi="宋体"/>
          <w:szCs w:val="21"/>
        </w:rPr>
        <w:t>。</w:t>
      </w:r>
    </w:p>
    <w:p w14:paraId="3E47B1FF">
      <w:pPr>
        <w:pStyle w:val="105"/>
        <w:spacing w:before="156" w:after="156"/>
      </w:pPr>
      <w:bookmarkStart w:id="57" w:name="_Toc186796246"/>
      <w:r>
        <w:rPr>
          <w:rFonts w:hint="eastAsia"/>
        </w:rPr>
        <w:t>定植方法</w:t>
      </w:r>
      <w:bookmarkEnd w:id="57"/>
    </w:p>
    <w:p w14:paraId="7C387FDE">
      <w:pPr>
        <w:pStyle w:val="56"/>
        <w:ind w:firstLine="420"/>
      </w:pPr>
      <w:r>
        <w:rPr>
          <w:rFonts w:hint="eastAsia"/>
        </w:rPr>
        <w:t>平</w:t>
      </w:r>
      <w:r>
        <w:t>地按南北向规划栽植，坡地按等高线栽植。</w:t>
      </w:r>
      <w:r>
        <w:rPr>
          <w:rFonts w:hint="eastAsia"/>
        </w:rPr>
        <w:t>以种植行距、株距规格挖定植沟或穴，</w:t>
      </w:r>
      <w:r>
        <w:t>定植</w:t>
      </w:r>
      <w:r>
        <w:rPr>
          <w:rFonts w:hint="eastAsia"/>
        </w:rPr>
        <w:t>时将桑苗放</w:t>
      </w:r>
      <w:r>
        <w:t>于</w:t>
      </w:r>
      <w:r>
        <w:rPr>
          <w:rFonts w:hint="eastAsia"/>
        </w:rPr>
        <w:t>定</w:t>
      </w:r>
      <w:r>
        <w:t>植</w:t>
      </w:r>
      <w:r>
        <w:rPr>
          <w:rFonts w:hint="eastAsia"/>
        </w:rPr>
        <w:t>沟</w:t>
      </w:r>
      <w:r>
        <w:t>中央，舒展根系，扶正</w:t>
      </w:r>
      <w:r>
        <w:rPr>
          <w:rFonts w:hint="eastAsia"/>
        </w:rPr>
        <w:t>桑苗</w:t>
      </w:r>
      <w:r>
        <w:t>，填</w:t>
      </w:r>
      <w:r>
        <w:rPr>
          <w:rFonts w:hint="eastAsia"/>
        </w:rPr>
        <w:t>入细</w:t>
      </w:r>
      <w:r>
        <w:t>土，轻微上提，</w:t>
      </w:r>
      <w:r>
        <w:rPr>
          <w:rFonts w:hint="eastAsia"/>
        </w:rPr>
        <w:t>踩紧</w:t>
      </w:r>
      <w:r>
        <w:t>踏实，浇</w:t>
      </w:r>
      <w:r>
        <w:rPr>
          <w:rFonts w:hint="eastAsia"/>
        </w:rPr>
        <w:t>足</w:t>
      </w:r>
      <w:r>
        <w:t>定根水</w:t>
      </w:r>
      <w:r>
        <w:rPr>
          <w:rFonts w:hint="eastAsia"/>
        </w:rPr>
        <w:t>，覆盖地膜</w:t>
      </w:r>
      <w:r>
        <w:t>。</w:t>
      </w:r>
    </w:p>
    <w:p w14:paraId="5FDD5495">
      <w:pPr>
        <w:pStyle w:val="105"/>
        <w:spacing w:before="156" w:after="156"/>
      </w:pPr>
      <w:bookmarkStart w:id="58" w:name="_Toc186796247"/>
      <w:r>
        <w:rPr>
          <w:rFonts w:hint="eastAsia"/>
        </w:rPr>
        <w:t>栽后管理</w:t>
      </w:r>
      <w:bookmarkEnd w:id="58"/>
    </w:p>
    <w:p w14:paraId="043922EB">
      <w:pPr>
        <w:pStyle w:val="56"/>
        <w:ind w:firstLine="420"/>
      </w:pPr>
      <w:r>
        <w:rPr>
          <w:rFonts w:hint="eastAsia"/>
        </w:rPr>
        <w:t>栽后及时做好除草、施肥、治虫、抗旱、抗涝工作。</w:t>
      </w:r>
      <w:r>
        <w:t>待苗长至</w:t>
      </w:r>
      <w:r>
        <w:rPr>
          <w:rFonts w:hint="eastAsia"/>
        </w:rPr>
        <w:t xml:space="preserve"> </w:t>
      </w:r>
      <w:r>
        <w:t>50 cm～60 cm</w:t>
      </w:r>
      <w:r>
        <w:rPr>
          <w:rFonts w:hint="eastAsia"/>
        </w:rPr>
        <w:t xml:space="preserve"> </w:t>
      </w:r>
      <w:r>
        <w:t>高时摘芯；及时剪除离地面</w:t>
      </w:r>
      <w:r>
        <w:rPr>
          <w:rFonts w:hint="eastAsia"/>
        </w:rPr>
        <w:t xml:space="preserve"> </w:t>
      </w:r>
      <w:r>
        <w:t>50 cm</w:t>
      </w:r>
      <w:r>
        <w:rPr>
          <w:rFonts w:hint="eastAsia"/>
        </w:rPr>
        <w:t xml:space="preserve"> </w:t>
      </w:r>
      <w:r>
        <w:t>以内的侧枝。注意剪枝不剪叶，不伤皮层。</w:t>
      </w:r>
    </w:p>
    <w:p w14:paraId="0E6635F4">
      <w:pPr>
        <w:pStyle w:val="104"/>
        <w:spacing w:before="312" w:after="312"/>
      </w:pPr>
      <w:bookmarkStart w:id="59" w:name="_Toc186796248"/>
      <w:r>
        <w:rPr>
          <w:rFonts w:hint="eastAsia"/>
        </w:rPr>
        <w:t>桑树嫁接及养型</w:t>
      </w:r>
      <w:bookmarkEnd w:id="59"/>
    </w:p>
    <w:p w14:paraId="1C072C49">
      <w:pPr>
        <w:pStyle w:val="105"/>
        <w:spacing w:before="156" w:after="156"/>
      </w:pPr>
      <w:bookmarkStart w:id="60" w:name="_Toc186796249"/>
      <w:r>
        <w:rPr>
          <w:rFonts w:hint="eastAsia"/>
        </w:rPr>
        <w:t>桑树嫁接</w:t>
      </w:r>
      <w:bookmarkEnd w:id="60"/>
    </w:p>
    <w:p w14:paraId="2913836D">
      <w:pPr>
        <w:pStyle w:val="65"/>
        <w:spacing w:before="156" w:after="156"/>
      </w:pPr>
      <w:r>
        <w:rPr>
          <w:rFonts w:hint="eastAsia"/>
        </w:rPr>
        <w:t>种选择</w:t>
      </w:r>
    </w:p>
    <w:p w14:paraId="3A298A40">
      <w:pPr>
        <w:pStyle w:val="56"/>
        <w:ind w:firstLine="420"/>
        <w:rPr>
          <w:rFonts w:ascii="黑体" w:hAnsi="宋体" w:eastAsia="黑体" w:cs="黑体"/>
          <w:color w:val="000000"/>
          <w:sz w:val="20"/>
        </w:rPr>
      </w:pPr>
      <w:r>
        <w:rPr>
          <w:rFonts w:hint="eastAsia"/>
        </w:rPr>
        <w:t>选用</w:t>
      </w:r>
      <w:r>
        <w:t>适应性强</w:t>
      </w:r>
      <w:r>
        <w:rPr>
          <w:rFonts w:hint="eastAsia"/>
        </w:rPr>
        <w:t>、</w:t>
      </w:r>
      <w:r>
        <w:t>优质丰产的</w:t>
      </w:r>
      <w:r>
        <w:rPr>
          <w:rFonts w:hint="eastAsia"/>
        </w:rPr>
        <w:t>果桑</w:t>
      </w:r>
      <w:r>
        <w:t>品种如云桑</w:t>
      </w:r>
      <w:r>
        <w:rPr>
          <w:rFonts w:hint="eastAsia"/>
        </w:rPr>
        <w:t xml:space="preserve"> </w:t>
      </w:r>
      <w:r>
        <w:t>2</w:t>
      </w:r>
      <w:r>
        <w:rPr>
          <w:rFonts w:hint="eastAsia"/>
        </w:rPr>
        <w:t xml:space="preserve"> </w:t>
      </w:r>
      <w:r>
        <w:t>号、</w:t>
      </w:r>
      <w:r>
        <w:rPr>
          <w:rFonts w:hint="eastAsia"/>
        </w:rPr>
        <w:t>无核</w:t>
      </w:r>
      <w:r>
        <w:t>大十、嘉陵</w:t>
      </w:r>
      <w:r>
        <w:rPr>
          <w:rFonts w:hint="eastAsia"/>
        </w:rPr>
        <w:t xml:space="preserve"> 4</w:t>
      </w:r>
      <w:r>
        <w:t>0</w:t>
      </w:r>
      <w:r>
        <w:rPr>
          <w:rFonts w:hint="eastAsia"/>
        </w:rPr>
        <w:t xml:space="preserve"> </w:t>
      </w:r>
      <w:r>
        <w:t>号、</w:t>
      </w:r>
      <w:r>
        <w:rPr>
          <w:rFonts w:hint="eastAsia"/>
        </w:rPr>
        <w:t>白玉王、台湾果桑、四季长果桑</w:t>
      </w:r>
      <w:r>
        <w:t>等</w:t>
      </w:r>
      <w:r>
        <w:rPr>
          <w:rFonts w:hint="eastAsia"/>
        </w:rPr>
        <w:t>，早、中、晚熟</w:t>
      </w:r>
      <w:r>
        <w:t>品种</w:t>
      </w:r>
      <w:r>
        <w:rPr>
          <w:rFonts w:hint="eastAsia"/>
        </w:rPr>
        <w:t>搭配</w:t>
      </w:r>
      <w:r>
        <w:t>。</w:t>
      </w:r>
      <w:r>
        <w:rPr>
          <w:rFonts w:hint="eastAsia"/>
        </w:rPr>
        <w:t>攀枝花市适宜栽植的主要果桑品种见附录 A。</w:t>
      </w:r>
    </w:p>
    <w:p w14:paraId="0717D7DC">
      <w:pPr>
        <w:pStyle w:val="65"/>
        <w:spacing w:before="156" w:after="156"/>
      </w:pPr>
      <w:r>
        <w:rPr>
          <w:rFonts w:hint="eastAsia"/>
        </w:rPr>
        <w:t>嫁接时间方法</w:t>
      </w:r>
    </w:p>
    <w:p w14:paraId="26C37463">
      <w:pPr>
        <w:pStyle w:val="56"/>
        <w:ind w:firstLine="420"/>
      </w:pPr>
      <w:r>
        <w:rPr>
          <w:rFonts w:hint="eastAsia"/>
        </w:rPr>
        <w:t xml:space="preserve">嫁接时间以 12 月至次年 </w:t>
      </w:r>
      <w:r>
        <w:t>2</w:t>
      </w:r>
      <w:r>
        <w:rPr>
          <w:rFonts w:hint="eastAsia"/>
        </w:rPr>
        <w:t xml:space="preserve"> </w:t>
      </w:r>
      <w:r>
        <w:t>月</w:t>
      </w:r>
      <w:r>
        <w:rPr>
          <w:rFonts w:hint="eastAsia"/>
        </w:rPr>
        <w:t>为宜</w:t>
      </w:r>
      <w:r>
        <w:t>。</w:t>
      </w:r>
      <w:r>
        <w:rPr>
          <w:rFonts w:hint="eastAsia"/>
        </w:rPr>
        <w:t>采</w:t>
      </w:r>
      <w:r>
        <w:t>用冬季芽接或</w:t>
      </w:r>
      <w:r>
        <w:rPr>
          <w:rFonts w:hint="eastAsia"/>
        </w:rPr>
        <w:t>春季</w:t>
      </w:r>
      <w:r>
        <w:t>简易芽接。</w:t>
      </w:r>
    </w:p>
    <w:p w14:paraId="0B5C0D9F">
      <w:pPr>
        <w:pStyle w:val="65"/>
        <w:spacing w:before="156" w:after="156"/>
      </w:pPr>
      <w:r>
        <w:rPr>
          <w:rFonts w:hint="eastAsia"/>
        </w:rPr>
        <w:t>嫁接后管理</w:t>
      </w:r>
    </w:p>
    <w:p w14:paraId="6D5D950B">
      <w:pPr>
        <w:pStyle w:val="56"/>
        <w:ind w:firstLine="420"/>
        <w:rPr>
          <w:rFonts w:ascii="Times New Roman"/>
        </w:rPr>
      </w:pPr>
      <w:r>
        <w:rPr>
          <w:rFonts w:hint="eastAsia"/>
        </w:rPr>
        <w:t>嫁接后，</w:t>
      </w:r>
      <w:r>
        <w:rPr>
          <w:rFonts w:ascii="Times New Roman"/>
        </w:rPr>
        <w:t>适</w:t>
      </w:r>
      <w:r>
        <w:rPr>
          <w:rFonts w:hint="eastAsia" w:ascii="Times New Roman"/>
        </w:rPr>
        <w:t>当</w:t>
      </w:r>
      <w:r>
        <w:rPr>
          <w:rFonts w:ascii="Times New Roman"/>
        </w:rPr>
        <w:t>灌水与施肥</w:t>
      </w:r>
      <w:r>
        <w:rPr>
          <w:rFonts w:hint="eastAsia" w:ascii="Times New Roman"/>
        </w:rPr>
        <w:t>，</w:t>
      </w:r>
      <w:r>
        <w:rPr>
          <w:rFonts w:ascii="Times New Roman"/>
        </w:rPr>
        <w:t>及时摘芯、除侧芽，未嫁接成活的，及时补嫁接。</w:t>
      </w:r>
    </w:p>
    <w:p w14:paraId="65A1A614">
      <w:pPr>
        <w:pStyle w:val="105"/>
        <w:spacing w:before="156" w:after="156"/>
        <w:rPr>
          <w:rFonts w:hAnsi="宋体" w:cs="黑体"/>
          <w:color w:val="000000"/>
          <w:sz w:val="20"/>
        </w:rPr>
      </w:pPr>
      <w:bookmarkStart w:id="61" w:name="_Toc186796250"/>
      <w:r>
        <w:rPr>
          <w:rFonts w:hint="eastAsia"/>
        </w:rPr>
        <w:t>树</w:t>
      </w:r>
      <w:r>
        <w:rPr>
          <w:rFonts w:hint="eastAsia" w:hAnsi="宋体" w:cs="黑体"/>
          <w:color w:val="000000"/>
          <w:sz w:val="20"/>
        </w:rPr>
        <w:t>型养成</w:t>
      </w:r>
      <w:bookmarkEnd w:id="61"/>
    </w:p>
    <w:p w14:paraId="7C63AFFE">
      <w:pPr>
        <w:pStyle w:val="65"/>
        <w:spacing w:before="156" w:after="156"/>
      </w:pPr>
      <w:r>
        <w:rPr>
          <w:rFonts w:hint="eastAsia"/>
        </w:rPr>
        <w:t>树型类别</w:t>
      </w:r>
    </w:p>
    <w:p w14:paraId="40AECDCD">
      <w:pPr>
        <w:pStyle w:val="56"/>
        <w:ind w:firstLine="420"/>
        <w:rPr>
          <w:rFonts w:ascii="Times New Roman"/>
        </w:rPr>
      </w:pPr>
      <w:r>
        <w:rPr>
          <w:rFonts w:hint="eastAsia" w:ascii="Times New Roman" w:hAnsi="Times New Roman" w:eastAsia="宋体" w:cs="Times New Roman"/>
        </w:rPr>
        <w:t>以高干、中干养型为主，低干为辅，包含主干、一级支干、二级支干和枝条。采收鲜果宜用中干树型，以网收方式宜用高干树型</w:t>
      </w:r>
      <w:r>
        <w:rPr>
          <w:rFonts w:hint="eastAsia" w:ascii="Times New Roman"/>
        </w:rPr>
        <w:t>。见图 1。</w:t>
      </w:r>
    </w:p>
    <w:p w14:paraId="34FF34C6">
      <w:pPr>
        <w:pStyle w:val="56"/>
        <w:ind w:firstLine="0" w:firstLineChars="0"/>
        <w:jc w:val="center"/>
      </w:pPr>
      <w:r>
        <w:drawing>
          <wp:inline distT="0" distB="0" distL="0" distR="0">
            <wp:extent cx="3948430" cy="3700780"/>
            <wp:effectExtent l="0" t="0" r="0" b="0"/>
            <wp:docPr id="1" name="图片 0" descr="树型养成.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树型养成.png"/>
                    <pic:cNvPicPr>
                      <a:picLocks noChangeAspect="1"/>
                    </pic:cNvPicPr>
                  </pic:nvPicPr>
                  <pic:blipFill>
                    <a:blip r:embed="rId16"/>
                    <a:stretch>
                      <a:fillRect/>
                    </a:stretch>
                  </pic:blipFill>
                  <pic:spPr>
                    <a:xfrm>
                      <a:off x="0" y="0"/>
                      <a:ext cx="3965905" cy="3716802"/>
                    </a:xfrm>
                    <a:prstGeom prst="rect">
                      <a:avLst/>
                    </a:prstGeom>
                  </pic:spPr>
                </pic:pic>
              </a:graphicData>
            </a:graphic>
          </wp:inline>
        </w:drawing>
      </w:r>
    </w:p>
    <w:p w14:paraId="790F7699">
      <w:pPr>
        <w:pStyle w:val="114"/>
        <w:spacing w:before="156" w:after="156"/>
        <w:rPr>
          <w:highlight w:val="yellow"/>
        </w:rPr>
      </w:pPr>
      <w:r>
        <w:rPr>
          <w:rFonts w:hint="eastAsia"/>
          <w:highlight w:val="yellow"/>
        </w:rPr>
        <w:t>低、中和高干桑养成法</w:t>
      </w:r>
    </w:p>
    <w:p w14:paraId="2815AD44">
      <w:pPr>
        <w:pStyle w:val="94"/>
        <w:spacing w:before="156" w:after="156"/>
      </w:pPr>
      <w:r>
        <w:rPr>
          <w:rFonts w:hint="eastAsia"/>
        </w:rPr>
        <w:t>高干树型</w:t>
      </w:r>
    </w:p>
    <w:p w14:paraId="508539F8">
      <w:pPr>
        <w:pStyle w:val="56"/>
        <w:ind w:firstLine="420"/>
      </w:pPr>
      <w:r>
        <w:rPr>
          <w:rFonts w:hint="eastAsia"/>
        </w:rPr>
        <w:t>主干高度 60</w:t>
      </w:r>
      <w:r>
        <w:rPr>
          <w:rFonts w:ascii="Times New Roman"/>
          <w:kern w:val="2"/>
          <w:szCs w:val="24"/>
        </w:rPr>
        <w:t xml:space="preserve"> </w:t>
      </w:r>
      <w:r>
        <w:t>cm</w:t>
      </w:r>
      <w:r>
        <w:rPr>
          <w:rFonts w:hint="eastAsia"/>
        </w:rPr>
        <w:t>～70</w:t>
      </w:r>
      <w:r>
        <w:rPr>
          <w:rFonts w:ascii="Times New Roman"/>
          <w:kern w:val="2"/>
          <w:szCs w:val="24"/>
        </w:rPr>
        <w:t xml:space="preserve"> </w:t>
      </w:r>
      <w:r>
        <w:t>cm，</w:t>
      </w:r>
      <w:r>
        <w:rPr>
          <w:rFonts w:hint="eastAsia"/>
        </w:rPr>
        <w:t>第一级支干离地 80</w:t>
      </w:r>
      <w:r>
        <w:rPr>
          <w:rFonts w:ascii="Times New Roman"/>
          <w:kern w:val="2"/>
          <w:szCs w:val="24"/>
        </w:rPr>
        <w:t xml:space="preserve"> </w:t>
      </w:r>
      <w:r>
        <w:t>cm</w:t>
      </w:r>
      <w:r>
        <w:rPr>
          <w:rFonts w:hint="eastAsia"/>
        </w:rPr>
        <w:t>～100</w:t>
      </w:r>
      <w:r>
        <w:rPr>
          <w:rFonts w:ascii="Times New Roman"/>
          <w:kern w:val="2"/>
          <w:szCs w:val="24"/>
        </w:rPr>
        <w:t xml:space="preserve"> </w:t>
      </w:r>
      <w:r>
        <w:t>cm</w:t>
      </w:r>
      <w:r>
        <w:rPr>
          <w:rFonts w:hint="eastAsia"/>
        </w:rPr>
        <w:t>，培养 3 枝；第二级支干离地 90</w:t>
      </w:r>
      <w:r>
        <w:rPr>
          <w:rFonts w:ascii="Times New Roman"/>
          <w:kern w:val="2"/>
          <w:szCs w:val="24"/>
        </w:rPr>
        <w:t xml:space="preserve"> </w:t>
      </w:r>
      <w:r>
        <w:t>cm</w:t>
      </w:r>
      <w:r>
        <w:rPr>
          <w:rFonts w:hint="eastAsia"/>
        </w:rPr>
        <w:t>～120</w:t>
      </w:r>
      <w:r>
        <w:rPr>
          <w:rFonts w:ascii="Times New Roman"/>
          <w:kern w:val="2"/>
          <w:szCs w:val="24"/>
        </w:rPr>
        <w:t xml:space="preserve"> </w:t>
      </w:r>
      <w:r>
        <w:t>cm</w:t>
      </w:r>
      <w:r>
        <w:rPr>
          <w:rFonts w:hint="eastAsia"/>
        </w:rPr>
        <w:t>，每枝一级支干培养 3 枝二级支干。在二级定干处夏伐成拳。</w:t>
      </w:r>
    </w:p>
    <w:p w14:paraId="0E1083C2">
      <w:pPr>
        <w:pStyle w:val="94"/>
        <w:spacing w:before="156" w:after="156"/>
        <w:rPr>
          <w:rFonts w:hAnsi="宋体" w:cs="黑体"/>
          <w:color w:val="000000"/>
          <w:sz w:val="20"/>
        </w:rPr>
      </w:pPr>
      <w:r>
        <w:rPr>
          <w:rFonts w:hint="eastAsia"/>
        </w:rPr>
        <w:t>中干</w:t>
      </w:r>
      <w:r>
        <w:rPr>
          <w:rFonts w:hint="eastAsia" w:hAnsi="宋体" w:cs="黑体"/>
          <w:color w:val="000000"/>
          <w:sz w:val="20"/>
        </w:rPr>
        <w:t>树型</w:t>
      </w:r>
    </w:p>
    <w:p w14:paraId="23224A28">
      <w:pPr>
        <w:pStyle w:val="56"/>
        <w:ind w:firstLine="420"/>
        <w:rPr>
          <w:rFonts w:hint="eastAsia"/>
        </w:rPr>
      </w:pPr>
      <w:r>
        <w:rPr>
          <w:rFonts w:hint="eastAsia"/>
        </w:rPr>
        <w:t>主干高度 40</w:t>
      </w:r>
      <w:r>
        <w:t xml:space="preserve"> cm</w:t>
      </w:r>
      <w:r>
        <w:rPr>
          <w:rFonts w:hint="eastAsia"/>
        </w:rPr>
        <w:t>～5</w:t>
      </w:r>
      <w:r>
        <w:t>0 cm，</w:t>
      </w:r>
      <w:r>
        <w:rPr>
          <w:rFonts w:hint="eastAsia"/>
        </w:rPr>
        <w:t>第一级支干离地 60</w:t>
      </w:r>
      <w:r>
        <w:t xml:space="preserve"> cm</w:t>
      </w:r>
      <w:r>
        <w:rPr>
          <w:rFonts w:hint="eastAsia"/>
        </w:rPr>
        <w:t>～80</w:t>
      </w:r>
      <w:r>
        <w:t xml:space="preserve"> cm</w:t>
      </w:r>
      <w:r>
        <w:rPr>
          <w:rFonts w:hint="eastAsia"/>
        </w:rPr>
        <w:t>，培养 3 枝；第二级支干离地 70</w:t>
      </w:r>
      <w:r>
        <w:t xml:space="preserve"> cm</w:t>
      </w:r>
      <w:r>
        <w:rPr>
          <w:rFonts w:hint="eastAsia"/>
        </w:rPr>
        <w:t>～90</w:t>
      </w:r>
      <w:r>
        <w:t xml:space="preserve"> cm</w:t>
      </w:r>
      <w:r>
        <w:rPr>
          <w:rFonts w:hint="eastAsia"/>
        </w:rPr>
        <w:t>，每枝一级支干培养 3 枝二级支干</w:t>
      </w:r>
      <w:r>
        <w:t>。</w:t>
      </w:r>
      <w:r>
        <w:rPr>
          <w:rFonts w:hint="eastAsia"/>
        </w:rPr>
        <w:t>在二级定干处夏伐成拳。</w:t>
      </w:r>
    </w:p>
    <w:p w14:paraId="6562B1DA">
      <w:pPr>
        <w:pStyle w:val="94"/>
        <w:spacing w:before="156" w:after="156"/>
        <w:rPr>
          <w:rFonts w:hint="eastAsia"/>
        </w:rPr>
      </w:pPr>
      <w:r>
        <w:rPr>
          <w:rFonts w:hint="eastAsia" w:ascii="黑体" w:hAnsi="宋体" w:eastAsia="黑体" w:cs="黑体"/>
          <w:color w:val="000000"/>
          <w:sz w:val="20"/>
          <w:lang w:val="en-US" w:eastAsia="zh-CN"/>
        </w:rPr>
        <w:t xml:space="preserve">  </w:t>
      </w:r>
      <w:r>
        <w:rPr>
          <w:rFonts w:hint="eastAsia"/>
        </w:rPr>
        <w:t>低干树型</w:t>
      </w:r>
    </w:p>
    <w:p w14:paraId="74838DB5">
      <w:pPr>
        <w:pStyle w:val="94"/>
        <w:numPr>
          <w:ilvl w:val="4"/>
          <w:numId w:val="0"/>
        </w:numPr>
        <w:spacing w:before="156" w:after="156"/>
        <w:ind w:firstLine="420" w:firstLineChars="200"/>
        <w:rPr>
          <w:rFonts w:hint="eastAsia" w:eastAsia="宋体"/>
          <w:lang w:val="en-US" w:eastAsia="zh-CN"/>
        </w:rPr>
      </w:pPr>
      <w:r>
        <w:rPr>
          <w:rFonts w:hint="eastAsia"/>
        </w:rPr>
        <w:t>主干高</w:t>
      </w:r>
      <w:r>
        <w:rPr>
          <w:rFonts w:hint="eastAsia" w:ascii="Times New Roman" w:eastAsia="宋体"/>
          <w:kern w:val="2"/>
          <w:szCs w:val="24"/>
        </w:rPr>
        <w:t xml:space="preserve">度30 </w:t>
      </w:r>
      <w:r>
        <w:rPr>
          <w:rFonts w:ascii="Times New Roman" w:eastAsia="宋体"/>
        </w:rPr>
        <w:t>cm</w:t>
      </w:r>
      <w:r>
        <w:rPr>
          <w:rFonts w:hint="eastAsia" w:ascii="Times New Roman" w:eastAsia="宋体"/>
          <w:kern w:val="2"/>
          <w:szCs w:val="24"/>
        </w:rPr>
        <w:t>～4</w:t>
      </w:r>
      <w:r>
        <w:rPr>
          <w:rFonts w:ascii="Times New Roman" w:eastAsia="宋体"/>
          <w:kern w:val="2"/>
          <w:szCs w:val="24"/>
        </w:rPr>
        <w:t>0</w:t>
      </w:r>
      <w:r>
        <w:rPr>
          <w:rFonts w:hint="eastAsia" w:ascii="Times New Roman" w:eastAsia="宋体"/>
          <w:kern w:val="2"/>
          <w:szCs w:val="24"/>
        </w:rPr>
        <w:t xml:space="preserve"> </w:t>
      </w:r>
      <w:r>
        <w:rPr>
          <w:rFonts w:ascii="Times New Roman" w:eastAsia="宋体"/>
          <w:kern w:val="2"/>
          <w:szCs w:val="24"/>
        </w:rPr>
        <w:t>cm，</w:t>
      </w:r>
      <w:r>
        <w:rPr>
          <w:rFonts w:hint="eastAsia" w:ascii="Times New Roman" w:eastAsia="宋体"/>
          <w:kern w:val="2"/>
          <w:szCs w:val="24"/>
        </w:rPr>
        <w:t xml:space="preserve">第一级支干离地50 </w:t>
      </w:r>
      <w:r>
        <w:rPr>
          <w:rFonts w:ascii="Times New Roman" w:eastAsia="宋体"/>
        </w:rPr>
        <w:t>cm</w:t>
      </w:r>
      <w:r>
        <w:rPr>
          <w:rFonts w:hint="eastAsia" w:ascii="Times New Roman" w:eastAsia="宋体"/>
          <w:kern w:val="2"/>
          <w:szCs w:val="24"/>
        </w:rPr>
        <w:t xml:space="preserve">～60 </w:t>
      </w:r>
      <w:r>
        <w:rPr>
          <w:rFonts w:ascii="Times New Roman" w:eastAsia="宋体"/>
          <w:kern w:val="2"/>
          <w:szCs w:val="24"/>
        </w:rPr>
        <w:t>cm</w:t>
      </w:r>
      <w:r>
        <w:rPr>
          <w:rFonts w:hint="eastAsia" w:ascii="Times New Roman" w:eastAsia="宋体"/>
          <w:kern w:val="2"/>
          <w:szCs w:val="24"/>
        </w:rPr>
        <w:t xml:space="preserve">，培养2枝；第二级支干离地60 </w:t>
      </w:r>
      <w:r>
        <w:rPr>
          <w:rFonts w:ascii="Times New Roman" w:eastAsia="宋体"/>
        </w:rPr>
        <w:t>cm</w:t>
      </w:r>
      <w:r>
        <w:rPr>
          <w:rFonts w:hint="eastAsia" w:ascii="Times New Roman" w:eastAsia="宋体"/>
          <w:kern w:val="2"/>
          <w:szCs w:val="24"/>
        </w:rPr>
        <w:t xml:space="preserve">～70 </w:t>
      </w:r>
      <w:r>
        <w:rPr>
          <w:rFonts w:ascii="Times New Roman" w:eastAsia="宋体"/>
          <w:kern w:val="2"/>
          <w:szCs w:val="24"/>
        </w:rPr>
        <w:t>cm</w:t>
      </w:r>
      <w:r>
        <w:rPr>
          <w:rFonts w:hint="eastAsia" w:ascii="Times New Roman" w:eastAsia="宋体"/>
          <w:kern w:val="2"/>
          <w:szCs w:val="24"/>
        </w:rPr>
        <w:t>，每枝一级支干培养2～3枝二级支干</w:t>
      </w:r>
      <w:r>
        <w:rPr>
          <w:rFonts w:ascii="Times New Roman" w:eastAsia="宋体"/>
          <w:kern w:val="2"/>
          <w:szCs w:val="24"/>
        </w:rPr>
        <w:t>。</w:t>
      </w:r>
      <w:r>
        <w:rPr>
          <w:rFonts w:hint="eastAsia" w:ascii="Times New Roman" w:eastAsia="宋体"/>
          <w:kern w:val="2"/>
          <w:szCs w:val="24"/>
        </w:rPr>
        <w:t>在二级支干定干处夏伐成拳。</w:t>
      </w:r>
    </w:p>
    <w:p w14:paraId="624BEAA0">
      <w:pPr>
        <w:pStyle w:val="65"/>
        <w:spacing w:before="156" w:after="156"/>
      </w:pPr>
      <w:r>
        <w:rPr>
          <w:rFonts w:hint="eastAsia"/>
        </w:rPr>
        <w:t>树型培养</w:t>
      </w:r>
    </w:p>
    <w:p w14:paraId="4BE90FFF">
      <w:pPr>
        <w:pStyle w:val="56"/>
        <w:ind w:firstLine="420"/>
      </w:pPr>
      <w:r>
        <w:rPr>
          <w:rFonts w:hint="eastAsia"/>
        </w:rPr>
        <w:t>可采用三年养成，每年培养一级。一二级枝干</w:t>
      </w:r>
      <w:r>
        <w:t>定</w:t>
      </w:r>
      <w:r>
        <w:rPr>
          <w:rFonts w:hint="eastAsia"/>
        </w:rPr>
        <w:t>干</w:t>
      </w:r>
      <w:r>
        <w:t>时应选留壮枝并注意分布均匀，</w:t>
      </w:r>
      <w:r>
        <w:rPr>
          <w:rFonts w:hint="eastAsia"/>
        </w:rPr>
        <w:t>开张角度，方向要充分预计挂果枝生发出来后的空间利用，</w:t>
      </w:r>
      <w:r>
        <w:t>形成向四周舒展的树型。从</w:t>
      </w:r>
      <w:r>
        <w:rPr>
          <w:rFonts w:hint="eastAsia"/>
        </w:rPr>
        <w:t>第二级支干定拳</w:t>
      </w:r>
      <w:r>
        <w:t>长出的枝条为挂果枝条，</w:t>
      </w:r>
      <w:r>
        <w:rPr>
          <w:rFonts w:hint="eastAsia"/>
        </w:rPr>
        <w:t>根据</w:t>
      </w:r>
      <w:r>
        <w:t>栽植密度</w:t>
      </w:r>
      <w:r>
        <w:rPr>
          <w:rFonts w:hint="eastAsia"/>
        </w:rPr>
        <w:t>适当增、减</w:t>
      </w:r>
      <w:r>
        <w:t>单株</w:t>
      </w:r>
      <w:r>
        <w:rPr>
          <w:rFonts w:hint="eastAsia"/>
        </w:rPr>
        <w:t>挂果</w:t>
      </w:r>
      <w:r>
        <w:t>枝条数</w:t>
      </w:r>
      <w:r>
        <w:rPr>
          <w:rFonts w:hint="eastAsia"/>
        </w:rPr>
        <w:t>，以 4000 根～6000 根</w:t>
      </w:r>
      <w:r>
        <w:t xml:space="preserve">/667 </w:t>
      </w:r>
      <w:bookmarkStart w:id="62" w:name="OLE_LINK4"/>
      <w:bookmarkStart w:id="63" w:name="OLE_LINK5"/>
      <w:r>
        <w:t>m</w:t>
      </w:r>
      <w:r>
        <w:rPr>
          <w:vertAlign w:val="superscript"/>
        </w:rPr>
        <w:t>2</w:t>
      </w:r>
      <w:bookmarkEnd w:id="62"/>
      <w:bookmarkEnd w:id="63"/>
      <w:r>
        <w:rPr>
          <w:vertAlign w:val="superscript"/>
        </w:rPr>
        <w:t xml:space="preserve"> </w:t>
      </w:r>
      <w:r>
        <w:rPr>
          <w:rFonts w:hint="eastAsia"/>
        </w:rPr>
        <w:t>为宜。</w:t>
      </w:r>
    </w:p>
    <w:p w14:paraId="432B80C6">
      <w:pPr>
        <w:pStyle w:val="105"/>
        <w:spacing w:before="156" w:after="156"/>
      </w:pPr>
      <w:bookmarkStart w:id="64" w:name="_Toc186796251"/>
      <w:r>
        <w:rPr>
          <w:rFonts w:hint="eastAsia"/>
        </w:rPr>
        <w:t>夏伐</w:t>
      </w:r>
      <w:bookmarkEnd w:id="64"/>
    </w:p>
    <w:p w14:paraId="46CECA43">
      <w:pPr>
        <w:pStyle w:val="65"/>
        <w:spacing w:before="156" w:after="156"/>
      </w:pPr>
      <w:r>
        <w:rPr>
          <w:rFonts w:hint="eastAsia"/>
        </w:rPr>
        <w:t>夏伐模式</w:t>
      </w:r>
    </w:p>
    <w:p w14:paraId="4C3DC9AB">
      <w:pPr>
        <w:pStyle w:val="56"/>
        <w:ind w:firstLine="420"/>
      </w:pPr>
      <w:r>
        <w:rPr>
          <w:rFonts w:hint="eastAsia"/>
        </w:rPr>
        <w:t>夏伐</w:t>
      </w:r>
      <w:r>
        <w:rPr>
          <w:rFonts w:hint="eastAsia" w:ascii="Times New Roman"/>
        </w:rPr>
        <w:t>采用成片轮伐方式，两年或三年夏伐一次，夏伐当年或第二年冬季保条短尖。</w:t>
      </w:r>
    </w:p>
    <w:p w14:paraId="6B7B5814">
      <w:pPr>
        <w:pStyle w:val="65"/>
        <w:spacing w:before="156" w:after="156"/>
      </w:pPr>
      <w:r>
        <w:rPr>
          <w:rFonts w:hint="eastAsia"/>
        </w:rPr>
        <w:t>夏伐时间</w:t>
      </w:r>
    </w:p>
    <w:p w14:paraId="5A3A6D6A">
      <w:pPr>
        <w:pStyle w:val="56"/>
        <w:ind w:firstLine="420"/>
      </w:pPr>
      <w:r>
        <w:rPr>
          <w:rFonts w:hint="eastAsia"/>
        </w:rPr>
        <w:t>桑椹</w:t>
      </w:r>
      <w:r>
        <w:t>采收结束后，按照拳式或无拳式方法，将一年生枝条全部剪伐。</w:t>
      </w:r>
    </w:p>
    <w:p w14:paraId="42DC935D">
      <w:pPr>
        <w:pStyle w:val="65"/>
        <w:spacing w:before="156" w:after="156"/>
        <w:rPr>
          <w:rFonts w:hAnsi="宋体" w:cs="黑体"/>
          <w:color w:val="000000"/>
          <w:sz w:val="20"/>
        </w:rPr>
      </w:pPr>
      <w:r>
        <w:rPr>
          <w:rFonts w:hint="eastAsia"/>
        </w:rPr>
        <w:t>夏伐后</w:t>
      </w:r>
      <w:r>
        <w:rPr>
          <w:rFonts w:hint="eastAsia" w:hAnsi="宋体" w:cs="黑体"/>
          <w:color w:val="000000"/>
          <w:sz w:val="20"/>
        </w:rPr>
        <w:t>疏芽</w:t>
      </w:r>
    </w:p>
    <w:p w14:paraId="3E014846">
      <w:pPr>
        <w:pStyle w:val="56"/>
        <w:ind w:firstLine="420"/>
      </w:pPr>
      <w:r>
        <w:rPr>
          <w:rFonts w:hint="eastAsia"/>
        </w:rPr>
        <w:t>夏</w:t>
      </w:r>
      <w:r>
        <w:t>伐后新</w:t>
      </w:r>
      <w:r>
        <w:rPr>
          <w:rFonts w:hint="eastAsia"/>
        </w:rPr>
        <w:t xml:space="preserve">梢长到 </w:t>
      </w:r>
      <w:r>
        <w:t>10 cm～20 cm</w:t>
      </w:r>
      <w:r>
        <w:rPr>
          <w:rFonts w:hint="eastAsia"/>
        </w:rPr>
        <w:t xml:space="preserve"> </w:t>
      </w:r>
      <w:r>
        <w:t>进行疏芽，疏除细弱枝、下垂枝、病虫枝、过密枝和主干下部萌发枝条，每根支干保留</w:t>
      </w:r>
      <w:r>
        <w:rPr>
          <w:rFonts w:hint="eastAsia"/>
        </w:rPr>
        <w:t xml:space="preserve"> </w:t>
      </w:r>
      <w:r>
        <w:t>3</w:t>
      </w:r>
      <w:r>
        <w:rPr>
          <w:rFonts w:hint="eastAsia"/>
        </w:rPr>
        <w:t xml:space="preserve"> </w:t>
      </w:r>
      <w:r>
        <w:t>根～</w:t>
      </w:r>
      <w:r>
        <w:rPr>
          <w:rFonts w:hint="eastAsia"/>
        </w:rPr>
        <w:t>5 根</w:t>
      </w:r>
      <w:r>
        <w:t>枝条。</w:t>
      </w:r>
    </w:p>
    <w:p w14:paraId="37BC572E">
      <w:pPr>
        <w:pStyle w:val="65"/>
        <w:spacing w:before="156" w:after="156"/>
      </w:pPr>
      <w:r>
        <w:rPr>
          <w:rFonts w:hint="eastAsia"/>
        </w:rPr>
        <w:t>夏伐后摘芯</w:t>
      </w:r>
    </w:p>
    <w:p w14:paraId="77174CED">
      <w:pPr>
        <w:pStyle w:val="56"/>
        <w:ind w:firstLine="420"/>
      </w:pPr>
      <w:r>
        <w:rPr>
          <w:rFonts w:hint="eastAsia"/>
        </w:rPr>
        <w:t>在</w:t>
      </w:r>
      <w:r>
        <w:t>夏伐后</w:t>
      </w:r>
      <w:r>
        <w:rPr>
          <w:rFonts w:hint="eastAsia"/>
        </w:rPr>
        <w:t xml:space="preserve"> </w:t>
      </w:r>
      <w:r>
        <w:t>2</w:t>
      </w:r>
      <w:r>
        <w:rPr>
          <w:rFonts w:hint="eastAsia"/>
        </w:rPr>
        <w:t xml:space="preserve"> </w:t>
      </w:r>
      <w:r>
        <w:t>个月或新生枝条生长到</w:t>
      </w:r>
      <w:r>
        <w:rPr>
          <w:rFonts w:hint="eastAsia"/>
        </w:rPr>
        <w:t xml:space="preserve"> </w:t>
      </w:r>
      <w:r>
        <w:t>60 cm 左右，进行摘芯处理，阻止顶端优势，促进侧芽生长，每根枝条留</w:t>
      </w:r>
      <w:r>
        <w:rPr>
          <w:rFonts w:hint="eastAsia"/>
        </w:rPr>
        <w:t xml:space="preserve"> 3 个</w:t>
      </w:r>
      <w:r>
        <w:t>～</w:t>
      </w:r>
      <w:r>
        <w:rPr>
          <w:rFonts w:hint="eastAsia"/>
        </w:rPr>
        <w:t xml:space="preserve">5 </w:t>
      </w:r>
      <w:r>
        <w:t>个芽继续生长，可进一步增加果枝数量，提高翌年桑椹产量</w:t>
      </w:r>
      <w:r>
        <w:rPr>
          <w:rFonts w:hint="eastAsia"/>
        </w:rPr>
        <w:t>。</w:t>
      </w:r>
    </w:p>
    <w:p w14:paraId="5FD40FBC">
      <w:pPr>
        <w:pStyle w:val="105"/>
        <w:spacing w:before="156" w:after="156"/>
      </w:pPr>
      <w:bookmarkStart w:id="65" w:name="_Toc186796252"/>
      <w:r>
        <w:rPr>
          <w:rFonts w:hint="eastAsia"/>
        </w:rPr>
        <w:t>冬季修剪</w:t>
      </w:r>
      <w:bookmarkEnd w:id="65"/>
    </w:p>
    <w:p w14:paraId="061B52E8">
      <w:pPr>
        <w:pStyle w:val="56"/>
        <w:ind w:firstLine="420"/>
      </w:pPr>
      <w:r>
        <w:rPr>
          <w:rFonts w:hint="eastAsia"/>
        </w:rPr>
        <w:t>修剪时，剪口应光滑平整，使树体清洁，树型整齐，枝条粗壮直立，分布均匀，外展内空，通光透气，减少病虫害滋生和营养消耗。</w:t>
      </w:r>
    </w:p>
    <w:p w14:paraId="61483D2F">
      <w:pPr>
        <w:pStyle w:val="56"/>
        <w:ind w:firstLine="420"/>
      </w:pPr>
      <w:r>
        <w:rPr>
          <w:rFonts w:hint="eastAsia"/>
        </w:rPr>
        <w:t>修剪桑树上的冗枝、干枯枝、病虫枝、枯桩和过于密集的枝条。次年夏伐的剪去枝条顶端幼嫩部分，实行保条短尖。</w:t>
      </w:r>
    </w:p>
    <w:p w14:paraId="06F8A108">
      <w:pPr>
        <w:pStyle w:val="104"/>
        <w:spacing w:before="312" w:after="312"/>
      </w:pPr>
      <w:bookmarkStart w:id="66" w:name="_Toc186796253"/>
      <w:r>
        <w:rPr>
          <w:rFonts w:hint="eastAsia"/>
        </w:rPr>
        <w:t>田间管理</w:t>
      </w:r>
      <w:bookmarkEnd w:id="66"/>
    </w:p>
    <w:p w14:paraId="613883BF">
      <w:pPr>
        <w:pStyle w:val="105"/>
        <w:spacing w:before="156" w:after="156"/>
        <w:rPr>
          <w:rFonts w:hAnsi="宋体" w:cs="黑体"/>
          <w:color w:val="000000"/>
          <w:sz w:val="20"/>
        </w:rPr>
      </w:pPr>
      <w:bookmarkStart w:id="67" w:name="_Toc186796254"/>
      <w:r>
        <w:rPr>
          <w:rFonts w:hint="eastAsia"/>
        </w:rPr>
        <w:t>施肥</w:t>
      </w:r>
      <w:r>
        <w:rPr>
          <w:rFonts w:hint="eastAsia" w:hAnsi="宋体" w:cs="黑体"/>
          <w:color w:val="000000"/>
          <w:sz w:val="20"/>
        </w:rPr>
        <w:t>管理</w:t>
      </w:r>
      <w:bookmarkEnd w:id="67"/>
    </w:p>
    <w:p w14:paraId="036CC211">
      <w:pPr>
        <w:pStyle w:val="56"/>
        <w:ind w:firstLine="420"/>
      </w:pPr>
      <w:r>
        <w:rPr>
          <w:rFonts w:hint="eastAsia"/>
        </w:rPr>
        <w:t xml:space="preserve">肥料使用应符合 </w:t>
      </w:r>
      <w:r>
        <w:t>NY/T 394</w:t>
      </w:r>
      <w:r>
        <w:rPr>
          <w:rFonts w:hint="eastAsia"/>
        </w:rPr>
        <w:t xml:space="preserve"> 和 DB51/T 843 的规定。有条件的地方应采取测土配方法和营养诊断法施肥。以</w:t>
      </w:r>
      <w:r>
        <w:t>有机肥为主，N、P、K 合理搭配施肥。果桑第一年，剪一次枝施一次肥，每次施有机无机复合肥</w:t>
      </w:r>
      <w:r>
        <w:rPr>
          <w:rFonts w:hint="eastAsia"/>
        </w:rPr>
        <w:t xml:space="preserve"> </w:t>
      </w:r>
      <w:r>
        <w:t xml:space="preserve">50 </w:t>
      </w:r>
      <w:r>
        <w:rPr>
          <w:rFonts w:hint="eastAsia"/>
        </w:rPr>
        <w:t>kg</w:t>
      </w:r>
      <w:r>
        <w:t>/667 m</w:t>
      </w:r>
      <w:r>
        <w:rPr>
          <w:vertAlign w:val="superscript"/>
        </w:rPr>
        <w:t>2</w:t>
      </w:r>
      <w:r>
        <w:t>。第二年及以后每年施肥</w:t>
      </w:r>
      <w:r>
        <w:rPr>
          <w:rFonts w:hint="eastAsia"/>
        </w:rPr>
        <w:t xml:space="preserve"> 3 </w:t>
      </w:r>
      <w:r>
        <w:t>次，春季发芽前埋施有机肥</w:t>
      </w:r>
      <w:r>
        <w:rPr>
          <w:rFonts w:hint="eastAsia"/>
        </w:rPr>
        <w:t xml:space="preserve"> </w:t>
      </w:r>
      <w:r>
        <w:t>500</w:t>
      </w:r>
      <w:r>
        <w:rPr>
          <w:rFonts w:hint="eastAsia"/>
        </w:rPr>
        <w:t xml:space="preserve"> kg</w:t>
      </w:r>
      <w:r>
        <w:t>/667 m</w:t>
      </w:r>
      <w:r>
        <w:rPr>
          <w:vertAlign w:val="superscript"/>
        </w:rPr>
        <w:t>2</w:t>
      </w:r>
      <w:r>
        <w:t>，夏伐后埋施复合肥</w:t>
      </w:r>
      <w:r>
        <w:rPr>
          <w:rFonts w:hint="eastAsia"/>
        </w:rPr>
        <w:t xml:space="preserve"> </w:t>
      </w:r>
      <w:r>
        <w:t>100</w:t>
      </w:r>
      <w:r>
        <w:rPr>
          <w:rFonts w:hint="eastAsia"/>
        </w:rPr>
        <w:t xml:space="preserve"> kg</w:t>
      </w:r>
      <w:r>
        <w:t>/667 m</w:t>
      </w:r>
      <w:r>
        <w:rPr>
          <w:vertAlign w:val="superscript"/>
        </w:rPr>
        <w:t>2</w:t>
      </w:r>
      <w:r>
        <w:rPr>
          <w:rFonts w:hint="eastAsia"/>
        </w:rPr>
        <w:t>（养蚕利用桑叶的，可适当增加氮肥使用量），</w:t>
      </w:r>
      <w:r>
        <w:t>桑树落叶后</w:t>
      </w:r>
      <w:r>
        <w:rPr>
          <w:rFonts w:hint="eastAsia"/>
        </w:rPr>
        <w:t>结合桑园行间粮油作物的栽种，</w:t>
      </w:r>
      <w:r>
        <w:t>重施</w:t>
      </w:r>
      <w:r>
        <w:rPr>
          <w:rFonts w:hint="eastAsia"/>
        </w:rPr>
        <w:t>厩肥、土杂费等</w:t>
      </w:r>
      <w:r>
        <w:t>有机肥，每株施入</w:t>
      </w:r>
      <w:r>
        <w:rPr>
          <w:rFonts w:hint="eastAsia"/>
        </w:rPr>
        <w:t xml:space="preserve"> 20</w:t>
      </w:r>
      <w:r>
        <w:t xml:space="preserve"> kg～</w:t>
      </w:r>
      <w:r>
        <w:rPr>
          <w:rFonts w:hint="eastAsia"/>
        </w:rPr>
        <w:t>30</w:t>
      </w:r>
      <w:r>
        <w:t xml:space="preserve"> kg。</w:t>
      </w:r>
    </w:p>
    <w:p w14:paraId="5B342CC8">
      <w:pPr>
        <w:pStyle w:val="105"/>
        <w:spacing w:before="156" w:after="156"/>
      </w:pPr>
      <w:bookmarkStart w:id="68" w:name="_Toc186796255"/>
      <w:r>
        <w:rPr>
          <w:rFonts w:hint="eastAsia"/>
        </w:rPr>
        <w:t>水分管理</w:t>
      </w:r>
      <w:bookmarkEnd w:id="68"/>
    </w:p>
    <w:p w14:paraId="7CDD953E">
      <w:pPr>
        <w:pStyle w:val="56"/>
        <w:ind w:firstLine="420"/>
      </w:pPr>
      <w:r>
        <w:rPr>
          <w:rFonts w:hint="eastAsia"/>
        </w:rPr>
        <w:t>桑树</w:t>
      </w:r>
      <w:r>
        <w:t>出现旱情及时浇水，桑园出现积水，及时排水</w:t>
      </w:r>
      <w:r>
        <w:rPr>
          <w:rFonts w:hint="eastAsia"/>
        </w:rPr>
        <w:t>。</w:t>
      </w:r>
    </w:p>
    <w:p w14:paraId="3FD4AD65">
      <w:pPr>
        <w:pStyle w:val="105"/>
        <w:spacing w:before="156" w:after="156"/>
      </w:pPr>
      <w:bookmarkStart w:id="69" w:name="_Toc186796256"/>
      <w:r>
        <w:rPr>
          <w:rFonts w:hint="eastAsia"/>
        </w:rPr>
        <w:t>病虫</w:t>
      </w:r>
      <w:r>
        <w:rPr>
          <w:rFonts w:hint="eastAsia" w:hAnsi="宋体" w:cs="黑体"/>
          <w:color w:val="000000"/>
          <w:sz w:val="20"/>
        </w:rPr>
        <w:t>害防治</w:t>
      </w:r>
      <w:bookmarkEnd w:id="69"/>
    </w:p>
    <w:p w14:paraId="0A184072">
      <w:pPr>
        <w:pStyle w:val="56"/>
        <w:ind w:firstLine="420"/>
      </w:pPr>
      <w:r>
        <w:rPr>
          <w:rFonts w:hint="eastAsia"/>
        </w:rPr>
        <w:t>攀枝花市</w:t>
      </w:r>
      <w:r>
        <w:rPr>
          <w:rFonts w:hint="eastAsia" w:ascii="Times New Roman"/>
        </w:rPr>
        <w:t>果桑常见病害主要有桑褐斑病、桑里白粉病等，常见害虫主要有桑粉虱、红蜘蛛、桑瘿蚊、桑蓟马等。</w:t>
      </w:r>
    </w:p>
    <w:p w14:paraId="287472B3">
      <w:pPr>
        <w:pStyle w:val="65"/>
        <w:spacing w:before="156" w:after="156"/>
      </w:pPr>
      <w:r>
        <w:rPr>
          <w:rFonts w:hint="eastAsia"/>
        </w:rPr>
        <w:t>防治原则</w:t>
      </w:r>
    </w:p>
    <w:p w14:paraId="002E634F">
      <w:pPr>
        <w:pStyle w:val="56"/>
        <w:ind w:firstLine="420"/>
      </w:pPr>
      <w:r>
        <w:rPr>
          <w:rFonts w:hint="eastAsia"/>
        </w:rPr>
        <w:t>贯彻</w:t>
      </w:r>
      <w:r>
        <w:rPr>
          <w:rFonts w:hint="eastAsia" w:ascii="Times New Roman"/>
        </w:rPr>
        <w:t>“预防为主，综合防治”的方针，坚持以“农业防治、物理防治、生物防治为主，化学防治为辅”的病虫害防治原则。</w:t>
      </w:r>
    </w:p>
    <w:p w14:paraId="6CE9B328">
      <w:pPr>
        <w:pStyle w:val="65"/>
        <w:spacing w:before="156" w:after="156"/>
      </w:pPr>
      <w:r>
        <w:rPr>
          <w:rFonts w:hint="eastAsia"/>
        </w:rPr>
        <w:t>防治方法</w:t>
      </w:r>
    </w:p>
    <w:p w14:paraId="34C7EC9C">
      <w:pPr>
        <w:pStyle w:val="94"/>
        <w:spacing w:before="156" w:after="156"/>
      </w:pPr>
      <w:r>
        <w:rPr>
          <w:rFonts w:hint="eastAsia"/>
        </w:rPr>
        <w:t>农业防治</w:t>
      </w:r>
    </w:p>
    <w:p w14:paraId="1C2EB376">
      <w:pPr>
        <w:pStyle w:val="56"/>
        <w:ind w:firstLine="420"/>
      </w:pPr>
      <w:r>
        <w:rPr>
          <w:rFonts w:hint="eastAsia"/>
        </w:rPr>
        <w:t>选择抗病虫品种和无病毒苗木；冬季清园：结合整枝修剪和除草，清除枯枝落叶病虫枝叶，减少越冬病菌虫卵；桑园冬季深翻，暴晒虫蛹；避免偏施氮肥，增施磷钾肥，提高植株抗病力。</w:t>
      </w:r>
    </w:p>
    <w:p w14:paraId="3B4906C1">
      <w:pPr>
        <w:pStyle w:val="94"/>
        <w:spacing w:before="156" w:after="156"/>
      </w:pPr>
      <w:r>
        <w:rPr>
          <w:rFonts w:hint="eastAsia"/>
        </w:rPr>
        <w:t>物理防治</w:t>
      </w:r>
    </w:p>
    <w:p w14:paraId="58A501F2">
      <w:pPr>
        <w:pStyle w:val="56"/>
        <w:ind w:firstLine="420"/>
        <w:rPr>
          <w:rFonts w:ascii="Times New Roman"/>
        </w:rPr>
      </w:pPr>
      <w:r>
        <w:rPr>
          <w:rFonts w:hint="eastAsia"/>
        </w:rPr>
        <w:t>采用</w:t>
      </w:r>
      <w:r>
        <w:t>人工捕杀幼虫，清除卵块，用杀虫灯、粘虫板等措施诱杀成虫。使用防草地布，以控制杂草生长，减少土传病害的发生。</w:t>
      </w:r>
      <w:r>
        <w:rPr>
          <w:rFonts w:hint="eastAsia" w:ascii="Times New Roman"/>
        </w:rPr>
        <w:t>及时彻底摘除病叶、病枝、病果，集中采取无害化处理。</w:t>
      </w:r>
    </w:p>
    <w:p w14:paraId="1D2580E6">
      <w:pPr>
        <w:pStyle w:val="94"/>
        <w:spacing w:before="156" w:after="156"/>
      </w:pPr>
      <w:r>
        <w:rPr>
          <w:rFonts w:hint="eastAsia"/>
        </w:rPr>
        <w:t>生物防治</w:t>
      </w:r>
    </w:p>
    <w:p w14:paraId="058A8996">
      <w:pPr>
        <w:pStyle w:val="56"/>
        <w:ind w:firstLine="420"/>
        <w:rPr>
          <w:rFonts w:ascii="Times New Roman"/>
        </w:rPr>
      </w:pPr>
      <w:r>
        <w:rPr>
          <w:rFonts w:hint="eastAsia"/>
        </w:rPr>
        <w:t>应用</w:t>
      </w:r>
      <w:r>
        <w:rPr>
          <w:rFonts w:hint="eastAsia" w:hAnsi="宋体" w:cs="宋体"/>
          <w:color w:val="000000"/>
          <w:szCs w:val="21"/>
        </w:rPr>
        <w:t>人工合成的性信息素诱集或迷向杀虫，保护和利用天敌。</w:t>
      </w:r>
      <w:r>
        <w:rPr>
          <w:rFonts w:hint="eastAsia" w:ascii="Times New Roman"/>
        </w:rPr>
        <w:t>推广使用微生物源和植物源类生物农药防治病虫害。</w:t>
      </w:r>
    </w:p>
    <w:p w14:paraId="731E4799">
      <w:pPr>
        <w:pStyle w:val="94"/>
        <w:spacing w:before="156" w:after="156"/>
      </w:pPr>
      <w:r>
        <w:rPr>
          <w:rFonts w:hint="eastAsia"/>
        </w:rPr>
        <w:t>化学防治</w:t>
      </w:r>
    </w:p>
    <w:p w14:paraId="768C3207">
      <w:pPr>
        <w:pStyle w:val="56"/>
        <w:ind w:firstLine="420"/>
      </w:pPr>
      <w:r>
        <w:rPr>
          <w:rFonts w:hint="eastAsia"/>
        </w:rPr>
        <w:t>农药使用按 GB 4285 和 NY/T 1027</w:t>
      </w:r>
      <w:r>
        <w:rPr>
          <w:rFonts w:hint="eastAsia"/>
          <w:color w:val="FF0000"/>
        </w:rPr>
        <w:t xml:space="preserve"> </w:t>
      </w:r>
      <w:r>
        <w:rPr>
          <w:rFonts w:hint="eastAsia"/>
        </w:rPr>
        <w:t xml:space="preserve">规定执行，禁止使用禁用农药、高毒、高残留农药，并交替轮换使用化学农药，桑椹采收前 </w:t>
      </w:r>
      <w:bookmarkStart w:id="78" w:name="_GoBack"/>
      <w:bookmarkEnd w:id="78"/>
      <w:r>
        <w:rPr>
          <w:rFonts w:hint="eastAsia"/>
        </w:rPr>
        <w:t>30</w:t>
      </w:r>
      <w:r>
        <w:t xml:space="preserve"> </w:t>
      </w:r>
      <w:r>
        <w:rPr>
          <w:rFonts w:hint="eastAsia"/>
        </w:rPr>
        <w:t>d 禁止使用化学农药。果桑主要病虫害症状和防治方法见附录 B 。</w:t>
      </w:r>
    </w:p>
    <w:p w14:paraId="699767DF">
      <w:pPr>
        <w:pStyle w:val="104"/>
        <w:spacing w:before="312" w:after="312"/>
      </w:pPr>
      <w:bookmarkStart w:id="70" w:name="_Toc186796257"/>
      <w:r>
        <w:rPr>
          <w:rFonts w:hint="eastAsia"/>
        </w:rPr>
        <w:t>桑椹采收</w:t>
      </w:r>
      <w:bookmarkEnd w:id="70"/>
    </w:p>
    <w:p w14:paraId="0CCDF17C">
      <w:pPr>
        <w:pStyle w:val="105"/>
        <w:spacing w:before="156" w:after="156"/>
      </w:pPr>
      <w:bookmarkStart w:id="71" w:name="_Toc186796258"/>
      <w:r>
        <w:rPr>
          <w:rFonts w:hint="eastAsia"/>
        </w:rPr>
        <w:t>采收标准</w:t>
      </w:r>
      <w:bookmarkEnd w:id="71"/>
    </w:p>
    <w:p w14:paraId="1AEA1904">
      <w:pPr>
        <w:pStyle w:val="56"/>
        <w:ind w:firstLine="420"/>
      </w:pPr>
      <w:r>
        <w:rPr>
          <w:rFonts w:hint="eastAsia"/>
        </w:rPr>
        <w:t>按 GB/T 29572 采收分级，桑椹质量符合 GB 2763 要求。</w:t>
      </w:r>
    </w:p>
    <w:p w14:paraId="2A433B29">
      <w:pPr>
        <w:pStyle w:val="105"/>
        <w:spacing w:before="156" w:after="156"/>
      </w:pPr>
      <w:bookmarkStart w:id="72" w:name="_Toc186796259"/>
      <w:r>
        <w:rPr>
          <w:rFonts w:hint="eastAsia"/>
        </w:rPr>
        <w:t>采收时间</w:t>
      </w:r>
      <w:bookmarkEnd w:id="72"/>
    </w:p>
    <w:p w14:paraId="420448BC">
      <w:pPr>
        <w:pStyle w:val="56"/>
        <w:ind w:firstLine="420"/>
      </w:pPr>
      <w:r>
        <w:rPr>
          <w:rFonts w:hint="eastAsia"/>
        </w:rPr>
        <w:t>桑椹充分膨大，各品种成熟色泽特征显著，果皮充分着色为采收的最好时期；选择晴天采收；宜在温度低的早上及傍晚采收，避免在雨天采收。</w:t>
      </w:r>
    </w:p>
    <w:p w14:paraId="04EB5F3B">
      <w:pPr>
        <w:pStyle w:val="105"/>
        <w:spacing w:before="156" w:after="156"/>
      </w:pPr>
      <w:bookmarkStart w:id="73" w:name="_Toc186796260"/>
      <w:r>
        <w:rPr>
          <w:rFonts w:hint="eastAsia"/>
        </w:rPr>
        <w:t>采收方法</w:t>
      </w:r>
      <w:bookmarkEnd w:id="73"/>
    </w:p>
    <w:p w14:paraId="5E9FB3D6">
      <w:pPr>
        <w:pStyle w:val="165"/>
      </w:pPr>
      <w:r>
        <w:rPr>
          <w:rFonts w:hint="eastAsia"/>
        </w:rPr>
        <w:t>不</w:t>
      </w:r>
      <w:r>
        <w:rPr>
          <w:rFonts w:hint="eastAsia" w:ascii="Times New Roman"/>
        </w:rPr>
        <w:t>同品种的桑椹应分批采收。</w:t>
      </w:r>
    </w:p>
    <w:p w14:paraId="744CBE4B">
      <w:pPr>
        <w:pStyle w:val="165"/>
      </w:pPr>
      <w:r>
        <w:rPr>
          <w:rFonts w:hint="eastAsia"/>
        </w:rPr>
        <w:t>用于加工的桑椹，必须用符合食品安全PE等材质的采收网离地悬</w:t>
      </w:r>
      <w:r>
        <w:rPr>
          <w:rFonts w:hint="eastAsia" w:hAnsi="宋体" w:cs="宋体"/>
          <w:color w:val="000000"/>
          <w:szCs w:val="21"/>
        </w:rPr>
        <w:t>挂在树枝上，</w:t>
      </w:r>
      <w:r>
        <w:rPr>
          <w:rFonts w:hint="eastAsia"/>
        </w:rPr>
        <w:t>摇树采收，</w:t>
      </w:r>
      <w:r>
        <w:rPr>
          <w:rFonts w:hint="eastAsia" w:hAnsi="宋体" w:cs="宋体"/>
          <w:color w:val="000000"/>
          <w:szCs w:val="21"/>
        </w:rPr>
        <w:t>去除病虫果、缺陷果、不成熟果和杂物，收集适熟桑椹</w:t>
      </w:r>
      <w:r>
        <w:rPr>
          <w:rFonts w:hint="eastAsia"/>
        </w:rPr>
        <w:t>盛于果箩（果框）或果袋中，</w:t>
      </w:r>
      <w:r>
        <w:rPr>
          <w:rFonts w:hint="eastAsia" w:hAnsi="宋体" w:cs="宋体"/>
          <w:color w:val="000000"/>
          <w:szCs w:val="21"/>
        </w:rPr>
        <w:t>及时交售或进行加工处理</w:t>
      </w:r>
      <w:r>
        <w:rPr>
          <w:rFonts w:hint="eastAsia"/>
        </w:rPr>
        <w:t>。</w:t>
      </w:r>
    </w:p>
    <w:p w14:paraId="577A874E">
      <w:pPr>
        <w:pStyle w:val="165"/>
      </w:pPr>
      <w:r>
        <w:rPr>
          <w:rFonts w:hint="eastAsia"/>
        </w:rPr>
        <w:t>鲜食桑椹采果时应穿戴手套，轻采轻放，选采适熟果，不采过熟果、未熟果，并及时送到收购分选场地。</w:t>
      </w:r>
    </w:p>
    <w:p w14:paraId="3AC460E5">
      <w:pPr>
        <w:pStyle w:val="165"/>
        <w:sectPr>
          <w:pgSz w:w="11906" w:h="16838"/>
          <w:pgMar w:top="1928" w:right="1134" w:bottom="1134" w:left="1134" w:header="1418" w:footer="1134" w:gutter="284"/>
          <w:pgNumType w:start="1"/>
          <w:cols w:space="425" w:num="1"/>
          <w:formProt w:val="0"/>
          <w:docGrid w:type="lines" w:linePitch="312" w:charSpace="0"/>
        </w:sectPr>
      </w:pPr>
    </w:p>
    <w:bookmarkEnd w:id="23"/>
    <w:p w14:paraId="0753F8C0">
      <w:pPr>
        <w:pStyle w:val="198"/>
        <w:rPr>
          <w:vanish w:val="0"/>
        </w:rPr>
      </w:pPr>
      <w:bookmarkStart w:id="74" w:name="BookMark5"/>
    </w:p>
    <w:p w14:paraId="59561AEE">
      <w:pPr>
        <w:pStyle w:val="199"/>
        <w:rPr>
          <w:vanish w:val="0"/>
        </w:rPr>
      </w:pPr>
    </w:p>
    <w:p w14:paraId="14295831">
      <w:pPr>
        <w:pStyle w:val="76"/>
        <w:spacing w:after="156"/>
      </w:pPr>
      <w:r>
        <w:br w:type="textWrapping"/>
      </w:r>
      <w:bookmarkStart w:id="75" w:name="_Toc186796261"/>
      <w:r>
        <w:rPr>
          <w:rFonts w:hint="eastAsia"/>
        </w:rPr>
        <w:t>（资料性）</w:t>
      </w:r>
      <w:r>
        <w:br w:type="textWrapping"/>
      </w:r>
      <w:r>
        <w:rPr>
          <w:rFonts w:hint="eastAsia"/>
        </w:rPr>
        <w:t>攀枝花市适宜栽植的主要果桑品种</w:t>
      </w:r>
      <w:bookmarkEnd w:id="75"/>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0"/>
        <w:gridCol w:w="2551"/>
        <w:gridCol w:w="5233"/>
      </w:tblGrid>
      <w:tr w14:paraId="3631E5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0" w:type="dxa"/>
            <w:tcBorders>
              <w:top w:val="single" w:color="auto" w:sz="8" w:space="0"/>
              <w:bottom w:val="single" w:color="auto" w:sz="8" w:space="0"/>
            </w:tcBorders>
            <w:shd w:val="clear" w:color="auto" w:fill="auto"/>
            <w:vAlign w:val="center"/>
          </w:tcPr>
          <w:p w14:paraId="7D800913">
            <w:pPr>
              <w:pStyle w:val="178"/>
            </w:pPr>
            <w:r>
              <w:rPr>
                <w:rFonts w:hint="eastAsia"/>
              </w:rPr>
              <w:t>主栽品种</w:t>
            </w:r>
          </w:p>
        </w:tc>
        <w:tc>
          <w:tcPr>
            <w:tcW w:w="2551" w:type="dxa"/>
            <w:tcBorders>
              <w:top w:val="single" w:color="auto" w:sz="8" w:space="0"/>
              <w:bottom w:val="single" w:color="auto" w:sz="8" w:space="0"/>
            </w:tcBorders>
            <w:shd w:val="clear" w:color="auto" w:fill="auto"/>
            <w:vAlign w:val="center"/>
          </w:tcPr>
          <w:p w14:paraId="33E91C75">
            <w:pPr>
              <w:pStyle w:val="178"/>
            </w:pPr>
            <w:r>
              <w:rPr>
                <w:rFonts w:hint="eastAsia"/>
              </w:rPr>
              <w:t>来源</w:t>
            </w:r>
          </w:p>
        </w:tc>
        <w:tc>
          <w:tcPr>
            <w:tcW w:w="5233" w:type="dxa"/>
            <w:tcBorders>
              <w:top w:val="single" w:color="auto" w:sz="8" w:space="0"/>
              <w:bottom w:val="single" w:color="auto" w:sz="8" w:space="0"/>
            </w:tcBorders>
            <w:shd w:val="clear" w:color="auto" w:fill="auto"/>
            <w:vAlign w:val="center"/>
          </w:tcPr>
          <w:p w14:paraId="10F58667">
            <w:pPr>
              <w:pStyle w:val="178"/>
            </w:pPr>
            <w:r>
              <w:rPr>
                <w:rFonts w:hint="eastAsia"/>
              </w:rPr>
              <w:t>特点</w:t>
            </w:r>
          </w:p>
        </w:tc>
      </w:tr>
      <w:tr w14:paraId="02B1A8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Borders>
              <w:top w:val="single" w:color="auto" w:sz="8" w:space="0"/>
            </w:tcBorders>
            <w:shd w:val="clear" w:color="auto" w:fill="auto"/>
            <w:vAlign w:val="center"/>
          </w:tcPr>
          <w:p w14:paraId="33386F8F">
            <w:pPr>
              <w:pStyle w:val="178"/>
            </w:pPr>
            <w:r>
              <w:rPr>
                <w:rFonts w:hint="eastAsia"/>
              </w:rPr>
              <w:t>云桑 2 号</w:t>
            </w:r>
          </w:p>
        </w:tc>
        <w:tc>
          <w:tcPr>
            <w:tcW w:w="2551" w:type="dxa"/>
            <w:tcBorders>
              <w:top w:val="single" w:color="auto" w:sz="8" w:space="0"/>
            </w:tcBorders>
            <w:shd w:val="clear" w:color="auto" w:fill="auto"/>
            <w:vAlign w:val="center"/>
          </w:tcPr>
          <w:p w14:paraId="171C8DD4">
            <w:pPr>
              <w:pStyle w:val="178"/>
            </w:pPr>
            <w:r>
              <w:rPr>
                <w:rFonts w:hint="eastAsia"/>
              </w:rPr>
              <w:t>云南省农业科学院蚕桑蜜蜂研究所</w:t>
            </w:r>
          </w:p>
        </w:tc>
        <w:tc>
          <w:tcPr>
            <w:tcW w:w="5233" w:type="dxa"/>
            <w:tcBorders>
              <w:top w:val="single" w:color="auto" w:sz="8" w:space="0"/>
            </w:tcBorders>
            <w:shd w:val="clear" w:color="auto" w:fill="auto"/>
            <w:vAlign w:val="center"/>
          </w:tcPr>
          <w:p w14:paraId="3D79BF6E">
            <w:pPr>
              <w:pStyle w:val="178"/>
            </w:pPr>
            <w:r>
              <w:rPr>
                <w:rFonts w:hint="eastAsia"/>
              </w:rPr>
              <w:t>早生早熟白桑种，桑椹紫黑色，外形好，可溶性固形物高达14.6 %，每 667</w:t>
            </w:r>
            <w:r>
              <w:t xml:space="preserve"> m</w:t>
            </w:r>
            <w:r>
              <w:rPr>
                <w:vertAlign w:val="superscript"/>
              </w:rPr>
              <w:t>2</w:t>
            </w:r>
            <w:r>
              <w:rPr>
                <w:rFonts w:hint="eastAsia"/>
              </w:rPr>
              <w:t xml:space="preserve"> 产桑叶 2000 kg 左右，产鲜桑椹 2120 kg</w:t>
            </w:r>
            <w:r>
              <w:t xml:space="preserve"> </w:t>
            </w:r>
            <w:r>
              <w:rPr>
                <w:rFonts w:hint="eastAsia"/>
              </w:rPr>
              <w:t>以上，单芽果数 6 个～7 个，果型偏大，果均重 3.5 g，适合鲜食和加工。3 月下旬成熟，采摘期 40 天以上。抗病性较强，适应性广。</w:t>
            </w:r>
          </w:p>
        </w:tc>
      </w:tr>
      <w:tr w14:paraId="64C3C3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shd w:val="clear" w:color="auto" w:fill="auto"/>
            <w:vAlign w:val="center"/>
          </w:tcPr>
          <w:p w14:paraId="7495DE77">
            <w:pPr>
              <w:pStyle w:val="178"/>
            </w:pPr>
            <w:r>
              <w:rPr>
                <w:rFonts w:hint="eastAsia"/>
              </w:rPr>
              <w:t>川凉</w:t>
            </w:r>
            <w:r>
              <w:t>桑</w:t>
            </w:r>
            <w:r>
              <w:rPr>
                <w:rFonts w:hint="eastAsia"/>
              </w:rPr>
              <w:t xml:space="preserve"> 2 号</w:t>
            </w:r>
          </w:p>
        </w:tc>
        <w:tc>
          <w:tcPr>
            <w:tcW w:w="2551" w:type="dxa"/>
            <w:shd w:val="clear" w:color="auto" w:fill="auto"/>
            <w:vAlign w:val="center"/>
          </w:tcPr>
          <w:p w14:paraId="348468C7">
            <w:pPr>
              <w:pStyle w:val="178"/>
            </w:pPr>
            <w:r>
              <w:rPr>
                <w:rFonts w:hint="eastAsia"/>
              </w:rPr>
              <w:t>四川省农业科学院蚕业研究所</w:t>
            </w:r>
          </w:p>
        </w:tc>
        <w:tc>
          <w:tcPr>
            <w:tcW w:w="5233" w:type="dxa"/>
            <w:shd w:val="clear" w:color="auto" w:fill="auto"/>
            <w:vAlign w:val="center"/>
          </w:tcPr>
          <w:p w14:paraId="56B47A46">
            <w:pPr>
              <w:pStyle w:val="178"/>
            </w:pPr>
            <w:r>
              <w:rPr>
                <w:rFonts w:hint="eastAsia"/>
              </w:rPr>
              <w:t xml:space="preserve">树型开展，枝条直立，叶片厚度中等，叶尖长尾状，叶缘锐齿，叶基浅心形。叶色翠绿色，光泽较强，叶面光滑，无裂叶，叶片稍下垂。开雌花，成熟桑椹圆筒形，紫黑色；可溶性固形物12.9 %，每667 </w:t>
            </w:r>
            <w:r>
              <w:t>m</w:t>
            </w:r>
            <w:r>
              <w:rPr>
                <w:vertAlign w:val="superscript"/>
              </w:rPr>
              <w:t xml:space="preserve">2 </w:t>
            </w:r>
            <w:r>
              <w:rPr>
                <w:rFonts w:hint="eastAsia"/>
              </w:rPr>
              <w:t>产桑叶 2140 kg,产鲜桑椹 2420 kg。桑椹成熟期 3 月 15 日～5 月 10 日。</w:t>
            </w:r>
          </w:p>
        </w:tc>
      </w:tr>
      <w:tr w14:paraId="6991DE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shd w:val="clear" w:color="auto" w:fill="auto"/>
          </w:tcPr>
          <w:p w14:paraId="452CC09B">
            <w:pPr>
              <w:pStyle w:val="178"/>
            </w:pPr>
            <w:r>
              <w:rPr>
                <w:rFonts w:hint="eastAsia"/>
              </w:rPr>
              <w:t>无核大十</w:t>
            </w:r>
          </w:p>
        </w:tc>
        <w:tc>
          <w:tcPr>
            <w:tcW w:w="2551" w:type="dxa"/>
            <w:shd w:val="clear" w:color="auto" w:fill="auto"/>
          </w:tcPr>
          <w:p w14:paraId="540775DA">
            <w:pPr>
              <w:widowControl/>
              <w:jc w:val="center"/>
              <w:rPr>
                <w:rFonts w:ascii="宋体" w:hAnsi="Times New Roman"/>
                <w:kern w:val="0"/>
                <w:sz w:val="18"/>
                <w:szCs w:val="20"/>
              </w:rPr>
            </w:pPr>
            <w:r>
              <w:rPr>
                <w:rFonts w:hint="eastAsia" w:ascii="宋体" w:hAnsi="Times New Roman"/>
                <w:kern w:val="0"/>
                <w:sz w:val="18"/>
                <w:szCs w:val="20"/>
              </w:rPr>
              <w:t>广东省农科院蚕业与农产品加工研究所</w:t>
            </w:r>
          </w:p>
          <w:p w14:paraId="60E5C0E4">
            <w:pPr>
              <w:pStyle w:val="178"/>
            </w:pPr>
          </w:p>
        </w:tc>
        <w:tc>
          <w:tcPr>
            <w:tcW w:w="5233" w:type="dxa"/>
            <w:shd w:val="clear" w:color="auto" w:fill="auto"/>
          </w:tcPr>
          <w:p w14:paraId="6925C8B6">
            <w:pPr>
              <w:pStyle w:val="178"/>
            </w:pPr>
            <w:r>
              <w:rPr>
                <w:rFonts w:hint="eastAsia"/>
              </w:rPr>
              <w:t xml:space="preserve">果叶兼用无核三倍体早熟品种。每 667 </w:t>
            </w:r>
            <w:r>
              <w:t>m</w:t>
            </w:r>
            <w:r>
              <w:rPr>
                <w:vertAlign w:val="superscript"/>
              </w:rPr>
              <w:t xml:space="preserve">2 </w:t>
            </w:r>
            <w:r>
              <w:rPr>
                <w:rFonts w:hint="eastAsia"/>
              </w:rPr>
              <w:t>产桑椹 2320 kg</w:t>
            </w:r>
            <w:r>
              <w:t xml:space="preserve"> </w:t>
            </w:r>
            <w:r>
              <w:rPr>
                <w:rFonts w:hint="eastAsia"/>
              </w:rPr>
              <w:t>以上，单芽果数 5 个～6 个，果型大，单果重 4 g～5 g，紫黑色，可溶性固形物 16.4 %，果味酸甜清爽，适合鲜食和加工。3 月下旬成熟，采摘期 30 天以上。抗病性较强，抗旱耐寒性较差，适应性广。</w:t>
            </w:r>
          </w:p>
        </w:tc>
      </w:tr>
      <w:tr w14:paraId="4E8CB8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shd w:val="clear" w:color="auto" w:fill="auto"/>
          </w:tcPr>
          <w:p w14:paraId="1C1D8C3C">
            <w:pPr>
              <w:pStyle w:val="178"/>
            </w:pPr>
            <w:r>
              <w:rPr>
                <w:rFonts w:hint="eastAsia"/>
              </w:rPr>
              <w:t>嘉陵 40 号</w:t>
            </w:r>
          </w:p>
        </w:tc>
        <w:tc>
          <w:tcPr>
            <w:tcW w:w="2551" w:type="dxa"/>
            <w:shd w:val="clear" w:color="auto" w:fill="auto"/>
          </w:tcPr>
          <w:p w14:paraId="349995E4">
            <w:pPr>
              <w:pStyle w:val="178"/>
            </w:pPr>
            <w:r>
              <w:rPr>
                <w:rFonts w:hint="eastAsia"/>
              </w:rPr>
              <w:t>西南大学生物技术学院</w:t>
            </w:r>
          </w:p>
        </w:tc>
        <w:tc>
          <w:tcPr>
            <w:tcW w:w="5233" w:type="dxa"/>
            <w:shd w:val="clear" w:color="auto" w:fill="auto"/>
          </w:tcPr>
          <w:p w14:paraId="0318193C">
            <w:pPr>
              <w:pStyle w:val="178"/>
            </w:pPr>
            <w:r>
              <w:rPr>
                <w:rFonts w:hint="eastAsia"/>
              </w:rPr>
              <w:t>人工四倍体果桑品种，果大果多，果肉肥厚，果长 3.2 cm，果径1.6 cm，单芽平均座果为 4 粒～6 粒，果均重 5.7 g。每 667</w:t>
            </w:r>
            <w:r>
              <w:t xml:space="preserve"> m</w:t>
            </w:r>
            <w:r>
              <w:rPr>
                <w:vertAlign w:val="superscript"/>
              </w:rPr>
              <w:t>2</w:t>
            </w:r>
            <w:r>
              <w:rPr>
                <w:rFonts w:hint="eastAsia"/>
              </w:rPr>
              <w:t xml:space="preserve"> 产桑椹 2580 kg</w:t>
            </w:r>
            <w:r>
              <w:t xml:space="preserve"> </w:t>
            </w:r>
            <w:r>
              <w:rPr>
                <w:rFonts w:hint="eastAsia"/>
              </w:rPr>
              <w:t>以上，紫黑色，含糖可溶性固形物 15.4 %，适合鲜食和加工。4 月上旬成熟，采摘期 35 天以上。</w:t>
            </w:r>
          </w:p>
        </w:tc>
      </w:tr>
      <w:tr w14:paraId="47BC02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shd w:val="clear" w:color="auto" w:fill="auto"/>
          </w:tcPr>
          <w:p w14:paraId="0785B54B">
            <w:pPr>
              <w:pStyle w:val="178"/>
            </w:pPr>
            <w:r>
              <w:rPr>
                <w:rFonts w:hint="eastAsia"/>
              </w:rPr>
              <w:t>白玉王</w:t>
            </w:r>
          </w:p>
        </w:tc>
        <w:tc>
          <w:tcPr>
            <w:tcW w:w="2551" w:type="dxa"/>
            <w:shd w:val="clear" w:color="auto" w:fill="auto"/>
          </w:tcPr>
          <w:p w14:paraId="2F88A549">
            <w:pPr>
              <w:pStyle w:val="178"/>
            </w:pPr>
            <w:r>
              <w:rPr>
                <w:rFonts w:hint="eastAsia"/>
              </w:rPr>
              <w:t>西北农林科技大学蚕桑丝绸研究所</w:t>
            </w:r>
          </w:p>
        </w:tc>
        <w:tc>
          <w:tcPr>
            <w:tcW w:w="5233" w:type="dxa"/>
            <w:shd w:val="clear" w:color="auto" w:fill="auto"/>
          </w:tcPr>
          <w:p w14:paraId="2839AD59">
            <w:pPr>
              <w:pStyle w:val="178"/>
            </w:pPr>
            <w:r>
              <w:rPr>
                <w:rFonts w:hint="eastAsia"/>
              </w:rPr>
              <w:t xml:space="preserve">坐果率高，单芽果数 5 个～7 个，果实大，单果重 4 g～5 g，乳白色，汁多，甜味浓，可溶性固形物高达 20 %，适宜鲜食。4月中旬成熟，成熟期 30 天左右，每 667 </w:t>
            </w:r>
            <w:r>
              <w:t>m</w:t>
            </w:r>
            <w:r>
              <w:rPr>
                <w:vertAlign w:val="superscript"/>
              </w:rPr>
              <w:t>2</w:t>
            </w:r>
            <w:r>
              <w:rPr>
                <w:rFonts w:hint="eastAsia"/>
              </w:rPr>
              <w:t xml:space="preserve"> 产桑椹 1480 kg 左右。适应性强，抗旱耐寒。</w:t>
            </w:r>
          </w:p>
        </w:tc>
      </w:tr>
      <w:tr w14:paraId="523B19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shd w:val="clear" w:color="auto" w:fill="auto"/>
          </w:tcPr>
          <w:p w14:paraId="12B03A8F">
            <w:pPr>
              <w:pStyle w:val="178"/>
            </w:pPr>
            <w:r>
              <w:rPr>
                <w:rFonts w:hint="eastAsia"/>
              </w:rPr>
              <w:t>台湾果桑</w:t>
            </w:r>
          </w:p>
        </w:tc>
        <w:tc>
          <w:tcPr>
            <w:tcW w:w="2551" w:type="dxa"/>
            <w:shd w:val="clear" w:color="auto" w:fill="auto"/>
          </w:tcPr>
          <w:p w14:paraId="0DC32E7C">
            <w:pPr>
              <w:pStyle w:val="178"/>
            </w:pPr>
            <w:r>
              <w:rPr>
                <w:rFonts w:hint="eastAsia"/>
              </w:rPr>
              <w:t>台湾</w:t>
            </w:r>
          </w:p>
        </w:tc>
        <w:tc>
          <w:tcPr>
            <w:tcW w:w="5233" w:type="dxa"/>
            <w:shd w:val="clear" w:color="auto" w:fill="auto"/>
          </w:tcPr>
          <w:p w14:paraId="13DAF6CF">
            <w:pPr>
              <w:pStyle w:val="178"/>
            </w:pPr>
            <w:r>
              <w:rPr>
                <w:rFonts w:hint="eastAsia"/>
              </w:rPr>
              <w:t xml:space="preserve">枝条细长，花芽率高，单芽果数 5 个～6 个，果长 3 cm～4 cm，果径 1.5 cm，长筒形，单果均重 3.4 g，长圆形，紫黑色， 汁多无籽，味酸甜适中，每 667 </w:t>
            </w:r>
            <w:r>
              <w:t>m</w:t>
            </w:r>
            <w:r>
              <w:rPr>
                <w:vertAlign w:val="superscript"/>
              </w:rPr>
              <w:t>2</w:t>
            </w:r>
            <w:r>
              <w:rPr>
                <w:rFonts w:hint="eastAsia"/>
              </w:rPr>
              <w:t xml:space="preserve"> 产桑椹 3000 kg 以上，可溶性固形物 8.7 %，适合加工。4 月上旬成熟，采摘期 28 天左右。</w:t>
            </w:r>
          </w:p>
        </w:tc>
      </w:tr>
      <w:tr w14:paraId="75F313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shd w:val="clear" w:color="auto" w:fill="auto"/>
          </w:tcPr>
          <w:p w14:paraId="4054B759">
            <w:pPr>
              <w:pStyle w:val="178"/>
            </w:pPr>
            <w:r>
              <w:rPr>
                <w:rFonts w:hint="eastAsia"/>
              </w:rPr>
              <w:t>四季长果桑</w:t>
            </w:r>
          </w:p>
        </w:tc>
        <w:tc>
          <w:tcPr>
            <w:tcW w:w="2551" w:type="dxa"/>
            <w:shd w:val="clear" w:color="auto" w:fill="auto"/>
          </w:tcPr>
          <w:p w14:paraId="0D0A9F56">
            <w:pPr>
              <w:pStyle w:val="178"/>
            </w:pPr>
            <w:r>
              <w:rPr>
                <w:rFonts w:hint="eastAsia"/>
              </w:rPr>
              <w:t>台湾</w:t>
            </w:r>
          </w:p>
        </w:tc>
        <w:tc>
          <w:tcPr>
            <w:tcW w:w="5233" w:type="dxa"/>
            <w:shd w:val="clear" w:color="auto" w:fill="auto"/>
          </w:tcPr>
          <w:p w14:paraId="6B8F5D16">
            <w:pPr>
              <w:pStyle w:val="178"/>
            </w:pPr>
            <w:r>
              <w:rPr>
                <w:rFonts w:hint="eastAsia"/>
              </w:rPr>
              <w:t xml:space="preserve">果形细长，果长 8 cm～12 cm，果径 0.5 cm～0.9 cm，单果重10 g～20 g，可溶性固形物 18.5 %，甘甜爽口，具有四季结果的习性，果期 3 月～4 月，每 667 </w:t>
            </w:r>
            <w:r>
              <w:t>m</w:t>
            </w:r>
            <w:r>
              <w:rPr>
                <w:vertAlign w:val="superscript"/>
              </w:rPr>
              <w:t>2</w:t>
            </w:r>
            <w:r>
              <w:rPr>
                <w:rFonts w:hint="eastAsia"/>
              </w:rPr>
              <w:t xml:space="preserve"> 产桑椹 1350 kg 以上，是观光采摘园不可缺少的品种。 </w:t>
            </w:r>
          </w:p>
        </w:tc>
      </w:tr>
    </w:tbl>
    <w:p w14:paraId="6C2EDD4E">
      <w:pPr>
        <w:pStyle w:val="56"/>
        <w:ind w:firstLine="0" w:firstLineChars="0"/>
        <w:sectPr>
          <w:pgSz w:w="11906" w:h="16838"/>
          <w:pgMar w:top="1928" w:right="1134" w:bottom="1134" w:left="1134" w:header="1418" w:footer="1134" w:gutter="284"/>
          <w:cols w:space="425" w:num="1"/>
          <w:formProt w:val="0"/>
          <w:docGrid w:type="lines" w:linePitch="312" w:charSpace="0"/>
        </w:sectPr>
      </w:pPr>
    </w:p>
    <w:p w14:paraId="7088AA2F">
      <w:pPr>
        <w:pStyle w:val="198"/>
        <w:rPr>
          <w:vanish w:val="0"/>
        </w:rPr>
      </w:pPr>
    </w:p>
    <w:p w14:paraId="7C2D8BE8">
      <w:pPr>
        <w:pStyle w:val="199"/>
        <w:rPr>
          <w:vanish w:val="0"/>
        </w:rPr>
      </w:pPr>
    </w:p>
    <w:p w14:paraId="14757F8E">
      <w:pPr>
        <w:pStyle w:val="76"/>
        <w:spacing w:after="156"/>
      </w:pPr>
      <w:r>
        <w:br w:type="textWrapping"/>
      </w:r>
      <w:bookmarkStart w:id="76" w:name="_Toc186796262"/>
      <w:r>
        <w:rPr>
          <w:rFonts w:hint="eastAsia"/>
        </w:rPr>
        <w:t>（资料性）</w:t>
      </w:r>
      <w:r>
        <w:br w:type="textWrapping"/>
      </w:r>
      <w:r>
        <w:rPr>
          <w:rFonts w:hint="eastAsia"/>
        </w:rPr>
        <w:t>果桑主要病虫害症状和防治方法</w:t>
      </w:r>
      <w:bookmarkEnd w:id="76"/>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983"/>
        <w:gridCol w:w="3260"/>
        <w:gridCol w:w="5091"/>
      </w:tblGrid>
      <w:tr w14:paraId="559D2C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83" w:type="dxa"/>
            <w:tcBorders>
              <w:top w:val="single" w:color="auto" w:sz="8" w:space="0"/>
              <w:bottom w:val="single" w:color="auto" w:sz="8" w:space="0"/>
            </w:tcBorders>
            <w:shd w:val="clear" w:color="auto" w:fill="auto"/>
            <w:vAlign w:val="center"/>
          </w:tcPr>
          <w:p w14:paraId="68D04B8A">
            <w:pPr>
              <w:pStyle w:val="178"/>
            </w:pPr>
            <w:r>
              <w:rPr>
                <w:rFonts w:hint="eastAsia"/>
              </w:rPr>
              <w:t>病虫害种类</w:t>
            </w:r>
          </w:p>
        </w:tc>
        <w:tc>
          <w:tcPr>
            <w:tcW w:w="3260" w:type="dxa"/>
            <w:tcBorders>
              <w:top w:val="single" w:color="auto" w:sz="8" w:space="0"/>
              <w:bottom w:val="single" w:color="auto" w:sz="8" w:space="0"/>
            </w:tcBorders>
            <w:shd w:val="clear" w:color="auto" w:fill="auto"/>
            <w:vAlign w:val="center"/>
          </w:tcPr>
          <w:p w14:paraId="19EECF97">
            <w:pPr>
              <w:pStyle w:val="178"/>
            </w:pPr>
            <w:r>
              <w:rPr>
                <w:rFonts w:hint="eastAsia"/>
              </w:rPr>
              <w:t>主要症状</w:t>
            </w:r>
          </w:p>
        </w:tc>
        <w:tc>
          <w:tcPr>
            <w:tcW w:w="5091" w:type="dxa"/>
            <w:tcBorders>
              <w:top w:val="single" w:color="auto" w:sz="8" w:space="0"/>
              <w:bottom w:val="single" w:color="auto" w:sz="8" w:space="0"/>
            </w:tcBorders>
            <w:shd w:val="clear" w:color="auto" w:fill="auto"/>
            <w:vAlign w:val="center"/>
          </w:tcPr>
          <w:p w14:paraId="799EA141">
            <w:pPr>
              <w:pStyle w:val="178"/>
            </w:pPr>
            <w:r>
              <w:rPr>
                <w:rFonts w:hint="eastAsia"/>
              </w:rPr>
              <w:t>防治方法</w:t>
            </w:r>
          </w:p>
        </w:tc>
      </w:tr>
      <w:tr w14:paraId="4B7E18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tcBorders>
              <w:top w:val="single" w:color="auto" w:sz="8" w:space="0"/>
            </w:tcBorders>
            <w:shd w:val="clear" w:color="auto" w:fill="auto"/>
          </w:tcPr>
          <w:p w14:paraId="09CCADC9">
            <w:pPr>
              <w:pStyle w:val="178"/>
              <w:rPr>
                <w:szCs w:val="18"/>
              </w:rPr>
            </w:pPr>
            <w:r>
              <w:rPr>
                <w:rFonts w:hint="eastAsia" w:hAnsi="宋体" w:cs="宋体"/>
                <w:color w:val="000000"/>
                <w:szCs w:val="18"/>
              </w:rPr>
              <w:t>桑褐斑病</w:t>
            </w:r>
          </w:p>
        </w:tc>
        <w:tc>
          <w:tcPr>
            <w:tcW w:w="3260" w:type="dxa"/>
            <w:tcBorders>
              <w:top w:val="single" w:color="auto" w:sz="8" w:space="0"/>
            </w:tcBorders>
            <w:shd w:val="clear" w:color="auto" w:fill="auto"/>
          </w:tcPr>
          <w:p w14:paraId="0C33AE6C">
            <w:pPr>
              <w:pStyle w:val="178"/>
              <w:rPr>
                <w:szCs w:val="18"/>
              </w:rPr>
            </w:pPr>
            <w:r>
              <w:rPr>
                <w:rFonts w:hint="eastAsia" w:hAnsi="宋体" w:cs="宋体"/>
                <w:color w:val="000000"/>
                <w:szCs w:val="18"/>
              </w:rPr>
              <w:t>初发时正面和背面可见暗褐色芝麻粒大小、水渍状病斑、后逐步扩大成黑褐色。病斑常连接成片， 遇高温多湿或阴雨连绵时，腐烂、穿孔；干燥时，中部开裂，叶片枯黄脱落。</w:t>
            </w:r>
          </w:p>
        </w:tc>
        <w:tc>
          <w:tcPr>
            <w:tcW w:w="5091" w:type="dxa"/>
            <w:tcBorders>
              <w:top w:val="single" w:color="auto" w:sz="8" w:space="0"/>
            </w:tcBorders>
            <w:shd w:val="clear" w:color="auto" w:fill="auto"/>
          </w:tcPr>
          <w:p w14:paraId="261F283F">
            <w:pPr>
              <w:widowControl/>
              <w:spacing w:line="240" w:lineRule="auto"/>
              <w:jc w:val="left"/>
              <w:rPr>
                <w:rFonts w:ascii="宋体" w:hAnsi="宋体" w:cs="宋体"/>
                <w:color w:val="000000"/>
                <w:kern w:val="0"/>
                <w:sz w:val="18"/>
                <w:szCs w:val="18"/>
              </w:rPr>
            </w:pPr>
            <w:r>
              <w:rPr>
                <w:rFonts w:hint="eastAsia" w:ascii="宋体" w:hAnsi="宋体" w:cs="宋体"/>
                <w:color w:val="000000"/>
                <w:kern w:val="0"/>
                <w:sz w:val="18"/>
                <w:szCs w:val="18"/>
              </w:rPr>
              <w:t>1.冬季清除病叶，剪除病梢，消灭越冬病原。</w:t>
            </w:r>
          </w:p>
          <w:p w14:paraId="1457C7F0">
            <w:pPr>
              <w:widowControl/>
              <w:spacing w:line="240" w:lineRule="auto"/>
              <w:jc w:val="left"/>
              <w:rPr>
                <w:rFonts w:ascii="宋体" w:hAnsi="宋体" w:cs="宋体"/>
                <w:color w:val="000000"/>
                <w:kern w:val="0"/>
                <w:sz w:val="18"/>
                <w:szCs w:val="18"/>
              </w:rPr>
            </w:pPr>
            <w:r>
              <w:rPr>
                <w:rFonts w:hint="eastAsia" w:ascii="宋体" w:hAnsi="宋体" w:cs="宋体"/>
                <w:color w:val="000000"/>
                <w:kern w:val="0"/>
                <w:sz w:val="18"/>
                <w:szCs w:val="18"/>
              </w:rPr>
              <w:t>2.合理密植，雨后及时排水，增施有机肥，采果后及时夏伐。</w:t>
            </w:r>
          </w:p>
          <w:p w14:paraId="069E0DDE">
            <w:pPr>
              <w:widowControl/>
              <w:spacing w:line="240" w:lineRule="auto"/>
              <w:jc w:val="left"/>
              <w:rPr>
                <w:rFonts w:ascii="宋体" w:hAnsi="宋体" w:cs="宋体"/>
                <w:color w:val="000000"/>
                <w:kern w:val="0"/>
                <w:sz w:val="18"/>
                <w:szCs w:val="18"/>
              </w:rPr>
            </w:pPr>
            <w:r>
              <w:rPr>
                <w:rFonts w:hint="eastAsia" w:ascii="宋体" w:hAnsi="宋体" w:cs="宋体"/>
                <w:color w:val="000000"/>
                <w:kern w:val="0"/>
                <w:sz w:val="18"/>
                <w:szCs w:val="18"/>
              </w:rPr>
              <w:t>3.冬季用波美 4°～5°石硫合剂，10 %</w:t>
            </w:r>
            <w:r>
              <w:rPr>
                <w:rFonts w:ascii="宋体" w:hAnsi="宋体" w:cs="宋体"/>
                <w:color w:val="000000"/>
                <w:kern w:val="0"/>
                <w:sz w:val="18"/>
                <w:szCs w:val="18"/>
              </w:rPr>
              <w:t xml:space="preserve"> </w:t>
            </w:r>
            <w:r>
              <w:rPr>
                <w:rFonts w:hint="eastAsia" w:ascii="宋体" w:hAnsi="宋体" w:cs="宋体"/>
                <w:color w:val="000000"/>
                <w:kern w:val="0"/>
                <w:sz w:val="18"/>
                <w:szCs w:val="18"/>
              </w:rPr>
              <w:t>石灰浆刷白枝干，消灭越冬病菌（安全间隔期15 d）。</w:t>
            </w:r>
          </w:p>
          <w:p w14:paraId="35B713C4">
            <w:pPr>
              <w:pStyle w:val="178"/>
              <w:jc w:val="left"/>
              <w:rPr>
                <w:szCs w:val="18"/>
              </w:rPr>
            </w:pPr>
            <w:r>
              <w:rPr>
                <w:rFonts w:hint="eastAsia" w:hAnsi="宋体" w:cs="宋体"/>
                <w:color w:val="000000"/>
                <w:szCs w:val="18"/>
              </w:rPr>
              <w:t>4.采果以后发病初期，用 70 % 甲基托布津或 25 % 丙环唑1500 倍液喷（安全间隔期 2 d）。</w:t>
            </w:r>
          </w:p>
        </w:tc>
      </w:tr>
      <w:tr w14:paraId="655A3D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shd w:val="clear" w:color="auto" w:fill="auto"/>
          </w:tcPr>
          <w:p w14:paraId="3F7804FD">
            <w:pPr>
              <w:pStyle w:val="178"/>
              <w:rPr>
                <w:rFonts w:hAnsi="宋体" w:cs="宋体"/>
                <w:color w:val="000000"/>
                <w:szCs w:val="18"/>
              </w:rPr>
            </w:pPr>
            <w:r>
              <w:rPr>
                <w:rFonts w:hint="eastAsia" w:hAnsi="宋体" w:cs="宋体"/>
                <w:color w:val="000000"/>
                <w:szCs w:val="18"/>
              </w:rPr>
              <w:t>桑里白粉病</w:t>
            </w:r>
          </w:p>
        </w:tc>
        <w:tc>
          <w:tcPr>
            <w:tcW w:w="3260" w:type="dxa"/>
            <w:shd w:val="clear" w:color="auto" w:fill="auto"/>
          </w:tcPr>
          <w:p w14:paraId="7A6439C5">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发病初期叶背出现许多白色、细小而分散的霉斑，随着病情发展，霉斑逐渐扩大，连成一片，严重时布满全叶背面。</w:t>
            </w:r>
          </w:p>
        </w:tc>
        <w:tc>
          <w:tcPr>
            <w:tcW w:w="5091" w:type="dxa"/>
            <w:shd w:val="clear" w:color="auto" w:fill="auto"/>
          </w:tcPr>
          <w:p w14:paraId="6C5100AC">
            <w:pPr>
              <w:widowControl/>
              <w:spacing w:line="240" w:lineRule="auto"/>
              <w:jc w:val="left"/>
              <w:rPr>
                <w:rFonts w:ascii="宋体" w:hAnsi="宋体" w:cs="宋体"/>
                <w:color w:val="000000"/>
                <w:kern w:val="0"/>
                <w:sz w:val="18"/>
                <w:szCs w:val="18"/>
              </w:rPr>
            </w:pPr>
            <w:r>
              <w:rPr>
                <w:rFonts w:hint="eastAsia" w:ascii="宋体" w:hAnsi="宋体" w:cs="宋体"/>
                <w:color w:val="000000"/>
                <w:kern w:val="0"/>
                <w:sz w:val="18"/>
                <w:szCs w:val="18"/>
              </w:rPr>
              <w:t>1.施足夏肥、秋肥，延迟桑叶硬化。</w:t>
            </w:r>
          </w:p>
          <w:p w14:paraId="7A93A650">
            <w:pPr>
              <w:widowControl/>
              <w:spacing w:line="240" w:lineRule="auto"/>
              <w:jc w:val="left"/>
              <w:rPr>
                <w:rFonts w:ascii="宋体" w:hAnsi="宋体" w:cs="宋体"/>
                <w:color w:val="000000"/>
                <w:kern w:val="0"/>
                <w:sz w:val="18"/>
                <w:szCs w:val="18"/>
              </w:rPr>
            </w:pPr>
            <w:r>
              <w:rPr>
                <w:rFonts w:hint="eastAsia" w:ascii="宋体" w:hAnsi="宋体" w:cs="宋体"/>
                <w:color w:val="000000"/>
                <w:kern w:val="0"/>
                <w:sz w:val="18"/>
                <w:szCs w:val="18"/>
              </w:rPr>
              <w:t>2.合理采秋叶，防止老化，减少发病。</w:t>
            </w:r>
          </w:p>
          <w:p w14:paraId="0D60578E">
            <w:pPr>
              <w:widowControl/>
              <w:spacing w:line="240" w:lineRule="auto"/>
              <w:jc w:val="left"/>
              <w:rPr>
                <w:rFonts w:ascii="宋体" w:hAnsi="宋体" w:cs="宋体"/>
                <w:color w:val="000000"/>
                <w:kern w:val="0"/>
                <w:sz w:val="18"/>
                <w:szCs w:val="18"/>
              </w:rPr>
            </w:pPr>
            <w:r>
              <w:rPr>
                <w:rFonts w:hint="eastAsia" w:ascii="宋体" w:hAnsi="宋体" w:cs="宋体"/>
                <w:color w:val="000000"/>
                <w:kern w:val="0"/>
                <w:sz w:val="18"/>
                <w:szCs w:val="18"/>
              </w:rPr>
              <w:t>3.冬季用波美 4°～5°石硫合剂喷枝条、树干，消灭越冬病菌。</w:t>
            </w:r>
          </w:p>
          <w:p w14:paraId="72092EED">
            <w:pPr>
              <w:pStyle w:val="178"/>
              <w:jc w:val="left"/>
              <w:rPr>
                <w:rFonts w:hAnsi="宋体" w:cs="宋体"/>
                <w:color w:val="000000"/>
                <w:szCs w:val="18"/>
              </w:rPr>
            </w:pPr>
            <w:r>
              <w:rPr>
                <w:rFonts w:hint="eastAsia" w:hAnsi="宋体" w:cs="宋体"/>
                <w:color w:val="000000"/>
                <w:szCs w:val="18"/>
              </w:rPr>
              <w:t>4.采果以后用 70 % 甲基托布津 1500 倍液或 70 % 甲基硫菌灵可湿性粉剂 1000 倍液，10 d～15 d</w:t>
            </w:r>
            <w:r>
              <w:rPr>
                <w:rFonts w:hAnsi="宋体" w:cs="宋体"/>
                <w:color w:val="000000"/>
                <w:szCs w:val="18"/>
              </w:rPr>
              <w:t xml:space="preserve"> </w:t>
            </w:r>
            <w:r>
              <w:rPr>
                <w:rFonts w:hint="eastAsia" w:hAnsi="宋体" w:cs="宋体"/>
                <w:color w:val="000000"/>
                <w:szCs w:val="18"/>
              </w:rPr>
              <w:t>喷 1 次，连续 2 次（安全间隔期 7 d）</w:t>
            </w:r>
          </w:p>
        </w:tc>
      </w:tr>
      <w:tr w14:paraId="08C5E5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shd w:val="clear" w:color="auto" w:fill="auto"/>
          </w:tcPr>
          <w:p w14:paraId="51FFA7C5">
            <w:pPr>
              <w:pStyle w:val="178"/>
              <w:rPr>
                <w:rFonts w:hAnsi="宋体" w:cs="宋体"/>
                <w:color w:val="000000"/>
                <w:szCs w:val="18"/>
              </w:rPr>
            </w:pPr>
            <w:r>
              <w:rPr>
                <w:rFonts w:hint="eastAsia" w:hAnsi="宋体" w:cs="宋体"/>
                <w:color w:val="000000"/>
                <w:szCs w:val="18"/>
              </w:rPr>
              <w:t>桑粉虱</w:t>
            </w:r>
          </w:p>
        </w:tc>
        <w:tc>
          <w:tcPr>
            <w:tcW w:w="3260" w:type="dxa"/>
            <w:shd w:val="clear" w:color="auto" w:fill="auto"/>
          </w:tcPr>
          <w:p w14:paraId="57D4132C">
            <w:pPr>
              <w:pStyle w:val="178"/>
              <w:rPr>
                <w:rFonts w:hAnsi="宋体" w:cs="宋体"/>
                <w:color w:val="000000"/>
                <w:szCs w:val="18"/>
              </w:rPr>
            </w:pPr>
            <w:r>
              <w:rPr>
                <w:rFonts w:hint="eastAsia" w:hAnsi="宋体" w:cs="宋体"/>
                <w:color w:val="000000"/>
                <w:szCs w:val="18"/>
              </w:rPr>
              <w:t>成虫群集新梢嫩叶产卵，幼虫吸食中部叶汁，出现很多淡黄色斑点，受害叶卷缩、干瘪、失水、老化，营养物质下降，严重的变黄、脱落。幼虫常分泌蜜汁，滴落在下部叶面上易诱发烟煤病。</w:t>
            </w:r>
          </w:p>
        </w:tc>
        <w:tc>
          <w:tcPr>
            <w:tcW w:w="5091" w:type="dxa"/>
            <w:shd w:val="clear" w:color="auto" w:fill="auto"/>
          </w:tcPr>
          <w:p w14:paraId="771065EE">
            <w:pPr>
              <w:widowControl/>
              <w:spacing w:line="240" w:lineRule="auto"/>
              <w:jc w:val="left"/>
              <w:rPr>
                <w:rFonts w:ascii="宋体" w:hAnsi="宋体" w:cs="宋体"/>
                <w:color w:val="000000"/>
                <w:kern w:val="0"/>
                <w:sz w:val="18"/>
                <w:szCs w:val="18"/>
              </w:rPr>
            </w:pPr>
            <w:r>
              <w:rPr>
                <w:rFonts w:hint="eastAsia" w:ascii="宋体" w:hAnsi="宋体" w:cs="宋体"/>
                <w:color w:val="000000"/>
                <w:kern w:val="0"/>
                <w:sz w:val="18"/>
                <w:szCs w:val="18"/>
              </w:rPr>
              <w:t>1.冬季清除枯枝、落叶、烧毁杂草，杀死越冬蛹。</w:t>
            </w:r>
          </w:p>
          <w:p w14:paraId="4B2346FC">
            <w:pPr>
              <w:widowControl/>
              <w:spacing w:line="240" w:lineRule="auto"/>
              <w:jc w:val="left"/>
              <w:rPr>
                <w:rFonts w:ascii="宋体" w:hAnsi="宋体" w:cs="宋体"/>
                <w:color w:val="000000"/>
                <w:kern w:val="0"/>
                <w:sz w:val="18"/>
                <w:szCs w:val="18"/>
              </w:rPr>
            </w:pPr>
            <w:r>
              <w:rPr>
                <w:rFonts w:hint="eastAsia" w:ascii="宋体" w:hAnsi="宋体" w:cs="宋体"/>
                <w:color w:val="000000"/>
                <w:kern w:val="0"/>
                <w:sz w:val="18"/>
                <w:szCs w:val="18"/>
              </w:rPr>
              <w:t>2.成虫群集新梢嫩叶上，网捕成虫。</w:t>
            </w:r>
          </w:p>
          <w:p w14:paraId="7DF05A52">
            <w:pPr>
              <w:pStyle w:val="178"/>
              <w:jc w:val="left"/>
              <w:rPr>
                <w:rFonts w:hAnsi="宋体" w:cs="宋体"/>
                <w:color w:val="000000"/>
                <w:szCs w:val="18"/>
              </w:rPr>
            </w:pPr>
            <w:r>
              <w:rPr>
                <w:rFonts w:hint="eastAsia" w:hAnsi="宋体" w:cs="宋体"/>
                <w:color w:val="000000"/>
                <w:szCs w:val="18"/>
              </w:rPr>
              <w:t>3.采果后 40 ％ 敌敌畏乳剂 1000 倍液喷杀（安全间隔期 4 d 天）。</w:t>
            </w:r>
          </w:p>
        </w:tc>
      </w:tr>
      <w:tr w14:paraId="1718FE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shd w:val="clear" w:color="auto" w:fill="auto"/>
          </w:tcPr>
          <w:p w14:paraId="2B0B5782">
            <w:pPr>
              <w:pStyle w:val="178"/>
              <w:rPr>
                <w:rFonts w:hAnsi="宋体" w:cs="宋体"/>
                <w:color w:val="000000"/>
                <w:szCs w:val="18"/>
              </w:rPr>
            </w:pPr>
            <w:r>
              <w:rPr>
                <w:rFonts w:hint="eastAsia" w:hAnsi="宋体" w:cs="宋体"/>
                <w:color w:val="000000"/>
                <w:szCs w:val="18"/>
              </w:rPr>
              <w:t>红蜘蛛</w:t>
            </w:r>
          </w:p>
        </w:tc>
        <w:tc>
          <w:tcPr>
            <w:tcW w:w="3260" w:type="dxa"/>
            <w:shd w:val="clear" w:color="auto" w:fill="auto"/>
          </w:tcPr>
          <w:p w14:paraId="6D28D384">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幼虫、若虫及成虫群集叶背吮食汁液，使叶组织萎缩，初害时叶正面出现黄褐色斑块，严重时全叶红褐枯焦。</w:t>
            </w:r>
          </w:p>
        </w:tc>
        <w:tc>
          <w:tcPr>
            <w:tcW w:w="5091" w:type="dxa"/>
            <w:shd w:val="clear" w:color="auto" w:fill="auto"/>
          </w:tcPr>
          <w:p w14:paraId="4A37A8D9">
            <w:pPr>
              <w:widowControl/>
              <w:spacing w:line="240" w:lineRule="auto"/>
              <w:jc w:val="left"/>
              <w:rPr>
                <w:rFonts w:ascii="宋体" w:hAnsi="宋体" w:cs="宋体"/>
                <w:color w:val="000000"/>
                <w:kern w:val="0"/>
                <w:sz w:val="18"/>
                <w:szCs w:val="18"/>
              </w:rPr>
            </w:pPr>
            <w:r>
              <w:rPr>
                <w:rFonts w:hint="eastAsia" w:ascii="宋体" w:hAnsi="宋体" w:cs="宋体"/>
                <w:color w:val="000000"/>
                <w:kern w:val="0"/>
                <w:sz w:val="18"/>
                <w:szCs w:val="18"/>
              </w:rPr>
              <w:t>1.冬季清除落叶、杂草，消灭越冬成虫。全年勤锄桑园及周边杂草，减少滋生场所。</w:t>
            </w:r>
          </w:p>
          <w:p w14:paraId="52475F1F">
            <w:pPr>
              <w:pStyle w:val="178"/>
              <w:jc w:val="left"/>
              <w:rPr>
                <w:rFonts w:hAnsi="宋体" w:cs="宋体"/>
                <w:color w:val="000000"/>
                <w:szCs w:val="18"/>
              </w:rPr>
            </w:pPr>
            <w:r>
              <w:rPr>
                <w:rFonts w:hint="eastAsia" w:hAnsi="宋体" w:cs="宋体"/>
                <w:color w:val="000000"/>
                <w:szCs w:val="18"/>
              </w:rPr>
              <w:t>2.采果以后发病初期用 73 % 炔螨特 3000 倍液喷叶，以叶背为主（安全间隔期 7 d）。</w:t>
            </w:r>
          </w:p>
        </w:tc>
      </w:tr>
      <w:tr w14:paraId="357426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shd w:val="clear" w:color="auto" w:fill="auto"/>
          </w:tcPr>
          <w:p w14:paraId="34F9B68D">
            <w:pPr>
              <w:pStyle w:val="178"/>
              <w:rPr>
                <w:rFonts w:hAnsi="宋体" w:cs="宋体"/>
                <w:color w:val="000000"/>
                <w:szCs w:val="18"/>
              </w:rPr>
            </w:pPr>
            <w:r>
              <w:rPr>
                <w:rFonts w:hint="eastAsia" w:hAnsi="宋体" w:cs="宋体"/>
                <w:color w:val="000000"/>
                <w:szCs w:val="18"/>
              </w:rPr>
              <w:t>桑瘿蚊</w:t>
            </w:r>
          </w:p>
        </w:tc>
        <w:tc>
          <w:tcPr>
            <w:tcW w:w="3260" w:type="dxa"/>
            <w:shd w:val="clear" w:color="auto" w:fill="auto"/>
          </w:tcPr>
          <w:p w14:paraId="6ADD05E1">
            <w:pPr>
              <w:pStyle w:val="178"/>
              <w:rPr>
                <w:rFonts w:hAnsi="宋体" w:cs="宋体"/>
                <w:color w:val="000000"/>
                <w:szCs w:val="18"/>
              </w:rPr>
            </w:pPr>
            <w:r>
              <w:rPr>
                <w:rFonts w:hint="eastAsia" w:hAnsi="宋体" w:cs="宋体"/>
                <w:color w:val="000000"/>
                <w:szCs w:val="18"/>
              </w:rPr>
              <w:t>幼虫吸食桑嫩梢顶芽芯，使桑树新梢一年多次发芽，多次止芯，严重造成桑树减产，一年发生 3 代～4 代，以老熟幼虫（休眠体）在土壤中越冬。</w:t>
            </w:r>
          </w:p>
        </w:tc>
        <w:tc>
          <w:tcPr>
            <w:tcW w:w="5091" w:type="dxa"/>
            <w:shd w:val="clear" w:color="auto" w:fill="auto"/>
          </w:tcPr>
          <w:p w14:paraId="7FA0C70F">
            <w:pPr>
              <w:widowControl/>
              <w:spacing w:line="240" w:lineRule="auto"/>
              <w:jc w:val="left"/>
              <w:rPr>
                <w:rFonts w:ascii="宋体" w:hAnsi="宋体" w:cs="宋体"/>
                <w:color w:val="000000"/>
                <w:kern w:val="0"/>
                <w:sz w:val="18"/>
                <w:szCs w:val="18"/>
              </w:rPr>
            </w:pPr>
            <w:r>
              <w:rPr>
                <w:rFonts w:hint="eastAsia" w:ascii="宋体" w:hAnsi="宋体" w:cs="宋体"/>
                <w:color w:val="000000"/>
                <w:kern w:val="0"/>
                <w:sz w:val="18"/>
                <w:szCs w:val="18"/>
              </w:rPr>
              <w:t>1.冬耕晒土、夏耕除草、春叶摘芯、剪侧复壮。</w:t>
            </w:r>
          </w:p>
          <w:p w14:paraId="56017944">
            <w:pPr>
              <w:widowControl/>
              <w:spacing w:line="240" w:lineRule="auto"/>
              <w:jc w:val="left"/>
              <w:rPr>
                <w:rFonts w:ascii="宋体" w:hAnsi="宋体" w:cs="宋体"/>
                <w:color w:val="000000"/>
                <w:kern w:val="0"/>
                <w:sz w:val="18"/>
                <w:szCs w:val="18"/>
              </w:rPr>
            </w:pPr>
            <w:r>
              <w:rPr>
                <w:rFonts w:hint="eastAsia" w:ascii="宋体" w:hAnsi="宋体" w:cs="宋体"/>
                <w:color w:val="000000"/>
                <w:kern w:val="0"/>
                <w:sz w:val="18"/>
                <w:szCs w:val="18"/>
              </w:rPr>
              <w:t>2. 土壤撒药。1月底，用5 % 喹硫磷颗粒剂，每亩拌土20 kg～25 kg撒于地表，翻耕入土。</w:t>
            </w:r>
          </w:p>
          <w:p w14:paraId="3C376D98">
            <w:pPr>
              <w:pStyle w:val="178"/>
              <w:jc w:val="left"/>
              <w:rPr>
                <w:rFonts w:hAnsi="宋体" w:cs="宋体"/>
                <w:color w:val="000000"/>
                <w:szCs w:val="18"/>
              </w:rPr>
            </w:pPr>
            <w:r>
              <w:rPr>
                <w:rFonts w:hint="eastAsia" w:hAnsi="宋体" w:cs="宋体"/>
                <w:color w:val="000000"/>
                <w:szCs w:val="18"/>
              </w:rPr>
              <w:t>3.顶梢喷药。在幼虫孵化盛期，用 40 ％ 敌敌畏 1000 倍</w:t>
            </w:r>
            <w:r>
              <w:rPr>
                <w:rFonts w:hAnsi="宋体" w:cs="宋体"/>
                <w:color w:val="000000"/>
                <w:szCs w:val="18"/>
              </w:rPr>
              <w:t>～</w:t>
            </w:r>
            <w:r>
              <w:rPr>
                <w:rFonts w:hint="eastAsia" w:hAnsi="宋体" w:cs="宋体"/>
                <w:color w:val="000000"/>
                <w:szCs w:val="18"/>
              </w:rPr>
              <w:t>1500 倍液喷顶梢。</w:t>
            </w:r>
          </w:p>
        </w:tc>
      </w:tr>
      <w:tr w14:paraId="7D9902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shd w:val="clear" w:color="auto" w:fill="auto"/>
          </w:tcPr>
          <w:p w14:paraId="43F8C4BF">
            <w:pPr>
              <w:pStyle w:val="178"/>
              <w:rPr>
                <w:rFonts w:hAnsi="宋体" w:cs="宋体"/>
                <w:color w:val="000000"/>
                <w:szCs w:val="18"/>
              </w:rPr>
            </w:pPr>
            <w:r>
              <w:rPr>
                <w:rFonts w:hint="eastAsia" w:hAnsi="宋体" w:cs="宋体"/>
                <w:color w:val="000000"/>
                <w:szCs w:val="18"/>
              </w:rPr>
              <w:t>桑蓟马</w:t>
            </w:r>
          </w:p>
        </w:tc>
        <w:tc>
          <w:tcPr>
            <w:tcW w:w="3260" w:type="dxa"/>
            <w:shd w:val="clear" w:color="auto" w:fill="auto"/>
          </w:tcPr>
          <w:p w14:paraId="39A0AA14">
            <w:pPr>
              <w:pStyle w:val="178"/>
              <w:rPr>
                <w:rFonts w:hAnsi="宋体" w:cs="宋体"/>
                <w:color w:val="000000"/>
                <w:szCs w:val="18"/>
              </w:rPr>
            </w:pPr>
            <w:r>
              <w:rPr>
                <w:rFonts w:hint="eastAsia" w:hAnsi="宋体" w:cs="宋体"/>
                <w:color w:val="000000"/>
                <w:szCs w:val="18"/>
              </w:rPr>
              <w:t>以成虫和若虫吸食桑叶汁液，被害叶片上先发生白色小点，以小点逐渐变淡黄，造成叶质下降，桑叶硬化。一年发生 8 代～10 代，每年 7 月份达到危害高峰。</w:t>
            </w:r>
          </w:p>
        </w:tc>
        <w:tc>
          <w:tcPr>
            <w:tcW w:w="5091" w:type="dxa"/>
            <w:shd w:val="clear" w:color="auto" w:fill="auto"/>
          </w:tcPr>
          <w:p w14:paraId="4848D4A2">
            <w:pPr>
              <w:widowControl/>
              <w:spacing w:line="240" w:lineRule="auto"/>
              <w:jc w:val="left"/>
              <w:rPr>
                <w:rFonts w:ascii="宋体" w:hAnsi="宋体" w:cs="宋体"/>
                <w:color w:val="000000"/>
                <w:kern w:val="0"/>
                <w:sz w:val="18"/>
                <w:szCs w:val="18"/>
              </w:rPr>
            </w:pPr>
            <w:r>
              <w:rPr>
                <w:rFonts w:hint="eastAsia" w:ascii="宋体" w:hAnsi="宋体" w:cs="宋体"/>
                <w:color w:val="000000"/>
                <w:kern w:val="0"/>
                <w:sz w:val="18"/>
                <w:szCs w:val="18"/>
              </w:rPr>
              <w:t>1.冬季清除枯枝、落叶、杂草，集中烧毁，消灭越冬虫体。</w:t>
            </w:r>
          </w:p>
          <w:p w14:paraId="63A9A12C">
            <w:pPr>
              <w:pStyle w:val="178"/>
              <w:jc w:val="left"/>
              <w:rPr>
                <w:rFonts w:hAnsi="宋体" w:cs="宋体"/>
                <w:color w:val="000000"/>
                <w:szCs w:val="18"/>
              </w:rPr>
            </w:pPr>
            <w:r>
              <w:rPr>
                <w:rFonts w:hint="eastAsia" w:hAnsi="宋体" w:cs="宋体"/>
                <w:color w:val="000000"/>
                <w:szCs w:val="18"/>
              </w:rPr>
              <w:t>2.用 40 ％ 敌敌畏 1000 倍液、灭蚕蝇 400 倍～500 倍、50 ％辛硫磷乳剂 2000 倍液在若虫孵化期或发生危害高峰期喷药毒杀。</w:t>
            </w:r>
          </w:p>
        </w:tc>
      </w:tr>
      <w:bookmarkEnd w:id="74"/>
    </w:tbl>
    <w:p w14:paraId="78C193DF">
      <w:pPr>
        <w:pStyle w:val="56"/>
        <w:ind w:firstLine="0" w:firstLineChars="0"/>
        <w:jc w:val="center"/>
      </w:pPr>
      <w:bookmarkStart w:id="77" w:name="BookMark8"/>
      <w:r>
        <w:rPr>
          <w:rFonts w:hint="eastAsia"/>
        </w:rPr>
        <w:drawing>
          <wp:inline distT="0" distB="0" distL="0" distR="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7"/>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Light">
    <w:altName w:val="宋体"/>
    <w:panose1 w:val="02010600030101010101"/>
    <w:charset w:val="86"/>
    <w:family w:val="auto"/>
    <w:pitch w:val="default"/>
    <w:sig w:usb0="00000000" w:usb1="00000000" w:usb2="00000016" w:usb3="00000000" w:csb0="0004000F" w:csb1="00000000"/>
  </w:font>
  <w:font w:name="等线">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CE106">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433610">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CC489">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6BEC3">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67C1E">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E75249">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94630">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4106BE">
    <w:pPr>
      <w:pStyle w:val="61"/>
    </w:pPr>
    <w:r>
      <w:fldChar w:fldCharType="begin"/>
    </w:r>
    <w:r>
      <w:instrText xml:space="preserve"> STYLEREF  标准文件_文件编号  \* MERGEFORMAT </w:instrText>
    </w:r>
    <w:r>
      <w:fldChar w:fldCharType="separate"/>
    </w:r>
    <w:r>
      <w:t>DB 5104/T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966F1">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5104/T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0"/>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2"/>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q1n2vw9ExJc6Xa0GzVwwtwHI1J8u/iiiklEqD0YfizQC+ciqQJ+mhPyHxx2jCdQbRJup9IGUd9fDCyCNgaJQsg==" w:salt="AcAkvE8I8hS0iB9OJmycH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3CB"/>
    <w:rsid w:val="0000040A"/>
    <w:rsid w:val="00000A94"/>
    <w:rsid w:val="00001972"/>
    <w:rsid w:val="00001D9A"/>
    <w:rsid w:val="00002D42"/>
    <w:rsid w:val="00003503"/>
    <w:rsid w:val="00007B3A"/>
    <w:rsid w:val="000107E0"/>
    <w:rsid w:val="00011235"/>
    <w:rsid w:val="00011FDE"/>
    <w:rsid w:val="00012FFD"/>
    <w:rsid w:val="00014162"/>
    <w:rsid w:val="00014340"/>
    <w:rsid w:val="00015899"/>
    <w:rsid w:val="00016A9C"/>
    <w:rsid w:val="00022184"/>
    <w:rsid w:val="00022762"/>
    <w:rsid w:val="000238E0"/>
    <w:rsid w:val="000249DB"/>
    <w:rsid w:val="0002595E"/>
    <w:rsid w:val="00026F6B"/>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301"/>
    <w:rsid w:val="00083D2C"/>
    <w:rsid w:val="00086AA1"/>
    <w:rsid w:val="00087A77"/>
    <w:rsid w:val="00090CA6"/>
    <w:rsid w:val="00092B8A"/>
    <w:rsid w:val="00092FB0"/>
    <w:rsid w:val="000934C5"/>
    <w:rsid w:val="00093D25"/>
    <w:rsid w:val="00093DAB"/>
    <w:rsid w:val="00094D73"/>
    <w:rsid w:val="00095A34"/>
    <w:rsid w:val="00096D63"/>
    <w:rsid w:val="000A0B60"/>
    <w:rsid w:val="000A0EB8"/>
    <w:rsid w:val="000A19FC"/>
    <w:rsid w:val="000A296B"/>
    <w:rsid w:val="000A3713"/>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4D2"/>
    <w:rsid w:val="000F19D5"/>
    <w:rsid w:val="000F4AEA"/>
    <w:rsid w:val="000F633F"/>
    <w:rsid w:val="000F67E9"/>
    <w:rsid w:val="00102EA7"/>
    <w:rsid w:val="00104926"/>
    <w:rsid w:val="00105139"/>
    <w:rsid w:val="00106D1F"/>
    <w:rsid w:val="0010713E"/>
    <w:rsid w:val="00113B1E"/>
    <w:rsid w:val="0011711C"/>
    <w:rsid w:val="0011748F"/>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4CC8"/>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6E9"/>
    <w:rsid w:val="00193A07"/>
    <w:rsid w:val="00194C95"/>
    <w:rsid w:val="00195C34"/>
    <w:rsid w:val="00196EF5"/>
    <w:rsid w:val="001A1A53"/>
    <w:rsid w:val="001A234A"/>
    <w:rsid w:val="001A4CF3"/>
    <w:rsid w:val="001A62AD"/>
    <w:rsid w:val="001B06E8"/>
    <w:rsid w:val="001B1487"/>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2555"/>
    <w:rsid w:val="001E3CC4"/>
    <w:rsid w:val="001E415C"/>
    <w:rsid w:val="001E4882"/>
    <w:rsid w:val="001E73AB"/>
    <w:rsid w:val="001F092D"/>
    <w:rsid w:val="001F143A"/>
    <w:rsid w:val="001F1605"/>
    <w:rsid w:val="001F2508"/>
    <w:rsid w:val="001F4816"/>
    <w:rsid w:val="001F4EE9"/>
    <w:rsid w:val="001F69B4"/>
    <w:rsid w:val="001F77C7"/>
    <w:rsid w:val="00200183"/>
    <w:rsid w:val="00200333"/>
    <w:rsid w:val="00200B7B"/>
    <w:rsid w:val="0020107D"/>
    <w:rsid w:val="00202AA4"/>
    <w:rsid w:val="002031F7"/>
    <w:rsid w:val="002040E6"/>
    <w:rsid w:val="00204A9D"/>
    <w:rsid w:val="0020527B"/>
    <w:rsid w:val="00205F2C"/>
    <w:rsid w:val="00210B15"/>
    <w:rsid w:val="002142EA"/>
    <w:rsid w:val="002204BB"/>
    <w:rsid w:val="00221B79"/>
    <w:rsid w:val="00221C6B"/>
    <w:rsid w:val="002253A1"/>
    <w:rsid w:val="00225CF8"/>
    <w:rsid w:val="0022794E"/>
    <w:rsid w:val="00233D64"/>
    <w:rsid w:val="0023482A"/>
    <w:rsid w:val="002359CB"/>
    <w:rsid w:val="00236EB4"/>
    <w:rsid w:val="00243540"/>
    <w:rsid w:val="0024497B"/>
    <w:rsid w:val="0024515B"/>
    <w:rsid w:val="00246021"/>
    <w:rsid w:val="0024666E"/>
    <w:rsid w:val="00247F52"/>
    <w:rsid w:val="00250B25"/>
    <w:rsid w:val="00250BBE"/>
    <w:rsid w:val="00250E00"/>
    <w:rsid w:val="002515C2"/>
    <w:rsid w:val="0025194F"/>
    <w:rsid w:val="002537C2"/>
    <w:rsid w:val="0026148A"/>
    <w:rsid w:val="00262696"/>
    <w:rsid w:val="00263D25"/>
    <w:rsid w:val="002643C3"/>
    <w:rsid w:val="00264A0C"/>
    <w:rsid w:val="002654B0"/>
    <w:rsid w:val="002669E3"/>
    <w:rsid w:val="00266EEB"/>
    <w:rsid w:val="00267EF4"/>
    <w:rsid w:val="00270CB8"/>
    <w:rsid w:val="00272B08"/>
    <w:rsid w:val="002771AC"/>
    <w:rsid w:val="00281BB8"/>
    <w:rsid w:val="00281E9E"/>
    <w:rsid w:val="00282405"/>
    <w:rsid w:val="00285170"/>
    <w:rsid w:val="00285361"/>
    <w:rsid w:val="00292D60"/>
    <w:rsid w:val="002936FA"/>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336D"/>
    <w:rsid w:val="002B4508"/>
    <w:rsid w:val="002B5779"/>
    <w:rsid w:val="002B7332"/>
    <w:rsid w:val="002B7F51"/>
    <w:rsid w:val="002C0809"/>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15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0064"/>
    <w:rsid w:val="003A1582"/>
    <w:rsid w:val="003A4077"/>
    <w:rsid w:val="003A40CD"/>
    <w:rsid w:val="003A40EC"/>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092"/>
    <w:rsid w:val="00400E72"/>
    <w:rsid w:val="00401400"/>
    <w:rsid w:val="00404869"/>
    <w:rsid w:val="00405884"/>
    <w:rsid w:val="00407D39"/>
    <w:rsid w:val="0041477A"/>
    <w:rsid w:val="004167A3"/>
    <w:rsid w:val="0042353E"/>
    <w:rsid w:val="00432DAA"/>
    <w:rsid w:val="00434305"/>
    <w:rsid w:val="00435DF7"/>
    <w:rsid w:val="0044083F"/>
    <w:rsid w:val="00441AE7"/>
    <w:rsid w:val="00445574"/>
    <w:rsid w:val="004458A5"/>
    <w:rsid w:val="004467FB"/>
    <w:rsid w:val="00452D6B"/>
    <w:rsid w:val="0045361F"/>
    <w:rsid w:val="00454484"/>
    <w:rsid w:val="0045517B"/>
    <w:rsid w:val="00463B77"/>
    <w:rsid w:val="00463C7B"/>
    <w:rsid w:val="004644A6"/>
    <w:rsid w:val="004659BD"/>
    <w:rsid w:val="00470775"/>
    <w:rsid w:val="004746B1"/>
    <w:rsid w:val="0047583F"/>
    <w:rsid w:val="00475C25"/>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47F6"/>
    <w:rsid w:val="004C54A2"/>
    <w:rsid w:val="004C7556"/>
    <w:rsid w:val="004C7E8B"/>
    <w:rsid w:val="004C7E9D"/>
    <w:rsid w:val="004C7F67"/>
    <w:rsid w:val="004D076D"/>
    <w:rsid w:val="004D0EF1"/>
    <w:rsid w:val="004D2253"/>
    <w:rsid w:val="004D3284"/>
    <w:rsid w:val="004D4406"/>
    <w:rsid w:val="004D7C42"/>
    <w:rsid w:val="004E0465"/>
    <w:rsid w:val="004E127B"/>
    <w:rsid w:val="004E1C0A"/>
    <w:rsid w:val="004E2B06"/>
    <w:rsid w:val="004E30C5"/>
    <w:rsid w:val="004E4AA5"/>
    <w:rsid w:val="004E4AEE"/>
    <w:rsid w:val="004E59E3"/>
    <w:rsid w:val="004E67C0"/>
    <w:rsid w:val="004F022E"/>
    <w:rsid w:val="004F1C14"/>
    <w:rsid w:val="004F391A"/>
    <w:rsid w:val="004F3CFB"/>
    <w:rsid w:val="004F6456"/>
    <w:rsid w:val="004F696E"/>
    <w:rsid w:val="004F6C71"/>
    <w:rsid w:val="00501139"/>
    <w:rsid w:val="0050363E"/>
    <w:rsid w:val="005039BC"/>
    <w:rsid w:val="005043BB"/>
    <w:rsid w:val="00504A3D"/>
    <w:rsid w:val="00505767"/>
    <w:rsid w:val="005073F0"/>
    <w:rsid w:val="00510A7B"/>
    <w:rsid w:val="005123CE"/>
    <w:rsid w:val="00512F6E"/>
    <w:rsid w:val="00513038"/>
    <w:rsid w:val="00514174"/>
    <w:rsid w:val="00516088"/>
    <w:rsid w:val="00516B0B"/>
    <w:rsid w:val="005220EC"/>
    <w:rsid w:val="00522CA2"/>
    <w:rsid w:val="00523F95"/>
    <w:rsid w:val="00524D65"/>
    <w:rsid w:val="00525B16"/>
    <w:rsid w:val="00533D04"/>
    <w:rsid w:val="00534804"/>
    <w:rsid w:val="00534BDF"/>
    <w:rsid w:val="005354EA"/>
    <w:rsid w:val="0053585F"/>
    <w:rsid w:val="00535EC4"/>
    <w:rsid w:val="00535ED9"/>
    <w:rsid w:val="0053692B"/>
    <w:rsid w:val="00541853"/>
    <w:rsid w:val="00542B2D"/>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549A"/>
    <w:rsid w:val="00586630"/>
    <w:rsid w:val="00587ADD"/>
    <w:rsid w:val="00591E27"/>
    <w:rsid w:val="00596160"/>
    <w:rsid w:val="005966E2"/>
    <w:rsid w:val="00597007"/>
    <w:rsid w:val="005A0966"/>
    <w:rsid w:val="005A11B7"/>
    <w:rsid w:val="005A260B"/>
    <w:rsid w:val="005A4A1B"/>
    <w:rsid w:val="005A7830"/>
    <w:rsid w:val="005A7FCE"/>
    <w:rsid w:val="005B0960"/>
    <w:rsid w:val="005B0F3F"/>
    <w:rsid w:val="005B3CFF"/>
    <w:rsid w:val="005B4903"/>
    <w:rsid w:val="005B51CE"/>
    <w:rsid w:val="005B5885"/>
    <w:rsid w:val="005B5CD7"/>
    <w:rsid w:val="005B6CF6"/>
    <w:rsid w:val="005B7422"/>
    <w:rsid w:val="005C29B8"/>
    <w:rsid w:val="005C5F21"/>
    <w:rsid w:val="005C7156"/>
    <w:rsid w:val="005D0C75"/>
    <w:rsid w:val="005D4171"/>
    <w:rsid w:val="005D4900"/>
    <w:rsid w:val="005D6A95"/>
    <w:rsid w:val="005D6B2C"/>
    <w:rsid w:val="005D6D9C"/>
    <w:rsid w:val="005D719E"/>
    <w:rsid w:val="005E2335"/>
    <w:rsid w:val="005E34CA"/>
    <w:rsid w:val="005E3C18"/>
    <w:rsid w:val="005E6812"/>
    <w:rsid w:val="005E7881"/>
    <w:rsid w:val="005E78E0"/>
    <w:rsid w:val="005F0D9C"/>
    <w:rsid w:val="005F284E"/>
    <w:rsid w:val="005F2FAF"/>
    <w:rsid w:val="005F4712"/>
    <w:rsid w:val="006015CE"/>
    <w:rsid w:val="00604784"/>
    <w:rsid w:val="00606419"/>
    <w:rsid w:val="00607D29"/>
    <w:rsid w:val="00612952"/>
    <w:rsid w:val="00614CC1"/>
    <w:rsid w:val="0061516C"/>
    <w:rsid w:val="00615A9D"/>
    <w:rsid w:val="006161E5"/>
    <w:rsid w:val="00617387"/>
    <w:rsid w:val="006203CB"/>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570AD"/>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69D7"/>
    <w:rsid w:val="00687627"/>
    <w:rsid w:val="00692FD2"/>
    <w:rsid w:val="00695D22"/>
    <w:rsid w:val="006A07AA"/>
    <w:rsid w:val="006A25E5"/>
    <w:rsid w:val="006A2B46"/>
    <w:rsid w:val="006A336D"/>
    <w:rsid w:val="006A37B9"/>
    <w:rsid w:val="006A54FF"/>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0FC"/>
    <w:rsid w:val="00707669"/>
    <w:rsid w:val="00711CBA"/>
    <w:rsid w:val="00711FB5"/>
    <w:rsid w:val="00712A01"/>
    <w:rsid w:val="00714F58"/>
    <w:rsid w:val="0071597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6FD8"/>
    <w:rsid w:val="007501A8"/>
    <w:rsid w:val="00750D61"/>
    <w:rsid w:val="00750EE1"/>
    <w:rsid w:val="00752B4D"/>
    <w:rsid w:val="007548F8"/>
    <w:rsid w:val="00755402"/>
    <w:rsid w:val="00756B26"/>
    <w:rsid w:val="00756EDF"/>
    <w:rsid w:val="007600E3"/>
    <w:rsid w:val="00765C43"/>
    <w:rsid w:val="00765EFB"/>
    <w:rsid w:val="007671CA"/>
    <w:rsid w:val="00767C61"/>
    <w:rsid w:val="0077008A"/>
    <w:rsid w:val="00770E3A"/>
    <w:rsid w:val="00773C1F"/>
    <w:rsid w:val="00774DA4"/>
    <w:rsid w:val="00776599"/>
    <w:rsid w:val="0078114B"/>
    <w:rsid w:val="00781DD2"/>
    <w:rsid w:val="00783ECF"/>
    <w:rsid w:val="0078413A"/>
    <w:rsid w:val="00791778"/>
    <w:rsid w:val="00793673"/>
    <w:rsid w:val="0079435F"/>
    <w:rsid w:val="007959E8"/>
    <w:rsid w:val="00795E9C"/>
    <w:rsid w:val="007A0521"/>
    <w:rsid w:val="007A095F"/>
    <w:rsid w:val="007A2E12"/>
    <w:rsid w:val="007A3475"/>
    <w:rsid w:val="007A41C8"/>
    <w:rsid w:val="007A54CE"/>
    <w:rsid w:val="007A6FD9"/>
    <w:rsid w:val="007A7FFA"/>
    <w:rsid w:val="007B04EB"/>
    <w:rsid w:val="007B0D4F"/>
    <w:rsid w:val="007B4F79"/>
    <w:rsid w:val="007B5A3D"/>
    <w:rsid w:val="007B5B95"/>
    <w:rsid w:val="007B68EA"/>
    <w:rsid w:val="007B7453"/>
    <w:rsid w:val="007C1E8B"/>
    <w:rsid w:val="007C2D89"/>
    <w:rsid w:val="007C4593"/>
    <w:rsid w:val="007C5309"/>
    <w:rsid w:val="007C6069"/>
    <w:rsid w:val="007D06C4"/>
    <w:rsid w:val="007D0FA2"/>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2806"/>
    <w:rsid w:val="00823303"/>
    <w:rsid w:val="008233B2"/>
    <w:rsid w:val="00823A9F"/>
    <w:rsid w:val="00823C85"/>
    <w:rsid w:val="00825138"/>
    <w:rsid w:val="008269DD"/>
    <w:rsid w:val="00827E6F"/>
    <w:rsid w:val="00830621"/>
    <w:rsid w:val="0083348C"/>
    <w:rsid w:val="008373D3"/>
    <w:rsid w:val="00840617"/>
    <w:rsid w:val="00840F84"/>
    <w:rsid w:val="00842A47"/>
    <w:rsid w:val="00843C13"/>
    <w:rsid w:val="008454F8"/>
    <w:rsid w:val="008503A8"/>
    <w:rsid w:val="0085173A"/>
    <w:rsid w:val="00855D9C"/>
    <w:rsid w:val="00856316"/>
    <w:rsid w:val="008603CE"/>
    <w:rsid w:val="008620FC"/>
    <w:rsid w:val="008627A5"/>
    <w:rsid w:val="00863E05"/>
    <w:rsid w:val="00865ACA"/>
    <w:rsid w:val="00865D28"/>
    <w:rsid w:val="00865F85"/>
    <w:rsid w:val="00867C10"/>
    <w:rsid w:val="00870439"/>
    <w:rsid w:val="00870DA1"/>
    <w:rsid w:val="00873292"/>
    <w:rsid w:val="00883BBF"/>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44C"/>
    <w:rsid w:val="008F0CDC"/>
    <w:rsid w:val="008F17A3"/>
    <w:rsid w:val="008F1ED3"/>
    <w:rsid w:val="008F2231"/>
    <w:rsid w:val="008F23A5"/>
    <w:rsid w:val="008F4C29"/>
    <w:rsid w:val="008F70BD"/>
    <w:rsid w:val="008F788F"/>
    <w:rsid w:val="008F7EA2"/>
    <w:rsid w:val="00900316"/>
    <w:rsid w:val="00902722"/>
    <w:rsid w:val="009027BC"/>
    <w:rsid w:val="0090517C"/>
    <w:rsid w:val="009062E6"/>
    <w:rsid w:val="00911BE5"/>
    <w:rsid w:val="00913CA9"/>
    <w:rsid w:val="009145AE"/>
    <w:rsid w:val="009146CE"/>
    <w:rsid w:val="00914CA7"/>
    <w:rsid w:val="00915C3E"/>
    <w:rsid w:val="009161A8"/>
    <w:rsid w:val="009245F5"/>
    <w:rsid w:val="009249EC"/>
    <w:rsid w:val="00926AE8"/>
    <w:rsid w:val="009273B3"/>
    <w:rsid w:val="009305B5"/>
    <w:rsid w:val="0093409F"/>
    <w:rsid w:val="00941C46"/>
    <w:rsid w:val="009429D5"/>
    <w:rsid w:val="00942BF1"/>
    <w:rsid w:val="00944608"/>
    <w:rsid w:val="00945180"/>
    <w:rsid w:val="00945428"/>
    <w:rsid w:val="0094607B"/>
    <w:rsid w:val="00951501"/>
    <w:rsid w:val="00953604"/>
    <w:rsid w:val="00953C9E"/>
    <w:rsid w:val="0095496B"/>
    <w:rsid w:val="0095630E"/>
    <w:rsid w:val="009610DC"/>
    <w:rsid w:val="00961490"/>
    <w:rsid w:val="0096381A"/>
    <w:rsid w:val="00963A8D"/>
    <w:rsid w:val="00965E04"/>
    <w:rsid w:val="009674AD"/>
    <w:rsid w:val="00970CDC"/>
    <w:rsid w:val="00974241"/>
    <w:rsid w:val="00977010"/>
    <w:rsid w:val="00977D02"/>
    <w:rsid w:val="009809BB"/>
    <w:rsid w:val="0098364B"/>
    <w:rsid w:val="00983D7E"/>
    <w:rsid w:val="009911AF"/>
    <w:rsid w:val="00991875"/>
    <w:rsid w:val="00991F92"/>
    <w:rsid w:val="00992985"/>
    <w:rsid w:val="00992F3A"/>
    <w:rsid w:val="00993889"/>
    <w:rsid w:val="0099551B"/>
    <w:rsid w:val="009974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607"/>
    <w:rsid w:val="00A31984"/>
    <w:rsid w:val="00A322E9"/>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489"/>
    <w:rsid w:val="00A8473F"/>
    <w:rsid w:val="00A862D6"/>
    <w:rsid w:val="00A8715E"/>
    <w:rsid w:val="00A9295B"/>
    <w:rsid w:val="00A93B09"/>
    <w:rsid w:val="00A94247"/>
    <w:rsid w:val="00A952D7"/>
    <w:rsid w:val="00A963F7"/>
    <w:rsid w:val="00A96AD8"/>
    <w:rsid w:val="00AA052C"/>
    <w:rsid w:val="00AA1E45"/>
    <w:rsid w:val="00AA4286"/>
    <w:rsid w:val="00AA456B"/>
    <w:rsid w:val="00AA4C28"/>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16438"/>
    <w:rsid w:val="00B213A0"/>
    <w:rsid w:val="00B21F61"/>
    <w:rsid w:val="00B261F1"/>
    <w:rsid w:val="00B265BC"/>
    <w:rsid w:val="00B27ACD"/>
    <w:rsid w:val="00B30556"/>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07E7"/>
    <w:rsid w:val="00B939B1"/>
    <w:rsid w:val="00B96D40"/>
    <w:rsid w:val="00B97386"/>
    <w:rsid w:val="00BA21D9"/>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80E"/>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820"/>
    <w:rsid w:val="00C44BF5"/>
    <w:rsid w:val="00C467B8"/>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6E56"/>
    <w:rsid w:val="00CA7AFD"/>
    <w:rsid w:val="00CA7C3C"/>
    <w:rsid w:val="00CB0189"/>
    <w:rsid w:val="00CB0BA2"/>
    <w:rsid w:val="00CB1A42"/>
    <w:rsid w:val="00CB1B0C"/>
    <w:rsid w:val="00CB2C0B"/>
    <w:rsid w:val="00CB517D"/>
    <w:rsid w:val="00CC038D"/>
    <w:rsid w:val="00CC08DB"/>
    <w:rsid w:val="00CC128D"/>
    <w:rsid w:val="00CC39FF"/>
    <w:rsid w:val="00CC3C2F"/>
    <w:rsid w:val="00CC4858"/>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6640"/>
    <w:rsid w:val="00CF048A"/>
    <w:rsid w:val="00CF155A"/>
    <w:rsid w:val="00CF165F"/>
    <w:rsid w:val="00CF2947"/>
    <w:rsid w:val="00CF4880"/>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38AE"/>
    <w:rsid w:val="00D25E37"/>
    <w:rsid w:val="00D2661A"/>
    <w:rsid w:val="00D27582"/>
    <w:rsid w:val="00D27EC4"/>
    <w:rsid w:val="00D32719"/>
    <w:rsid w:val="00D33333"/>
    <w:rsid w:val="00D33441"/>
    <w:rsid w:val="00D33457"/>
    <w:rsid w:val="00D352A2"/>
    <w:rsid w:val="00D3660F"/>
    <w:rsid w:val="00D400A2"/>
    <w:rsid w:val="00D4162B"/>
    <w:rsid w:val="00D4514F"/>
    <w:rsid w:val="00D451E2"/>
    <w:rsid w:val="00D45E89"/>
    <w:rsid w:val="00D45E8D"/>
    <w:rsid w:val="00D466AE"/>
    <w:rsid w:val="00D4734F"/>
    <w:rsid w:val="00D511CE"/>
    <w:rsid w:val="00D51BF3"/>
    <w:rsid w:val="00D529F3"/>
    <w:rsid w:val="00D640AC"/>
    <w:rsid w:val="00D66846"/>
    <w:rsid w:val="00D675FB"/>
    <w:rsid w:val="00D71F25"/>
    <w:rsid w:val="00D729EA"/>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A6FE4"/>
    <w:rsid w:val="00DB0258"/>
    <w:rsid w:val="00DB38EE"/>
    <w:rsid w:val="00DB498B"/>
    <w:rsid w:val="00DB66CA"/>
    <w:rsid w:val="00DB6BCA"/>
    <w:rsid w:val="00DB73F7"/>
    <w:rsid w:val="00DC0321"/>
    <w:rsid w:val="00DC3067"/>
    <w:rsid w:val="00DC370B"/>
    <w:rsid w:val="00DC5B90"/>
    <w:rsid w:val="00DD00FF"/>
    <w:rsid w:val="00DD01BA"/>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69C"/>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39E2"/>
    <w:rsid w:val="00E664CC"/>
    <w:rsid w:val="00E70388"/>
    <w:rsid w:val="00E70F92"/>
    <w:rsid w:val="00E74C54"/>
    <w:rsid w:val="00E7622A"/>
    <w:rsid w:val="00E77A03"/>
    <w:rsid w:val="00E81C44"/>
    <w:rsid w:val="00E822E8"/>
    <w:rsid w:val="00E82554"/>
    <w:rsid w:val="00E82606"/>
    <w:rsid w:val="00E846C8"/>
    <w:rsid w:val="00E84957"/>
    <w:rsid w:val="00E84A55"/>
    <w:rsid w:val="00E85BFF"/>
    <w:rsid w:val="00E87E43"/>
    <w:rsid w:val="00E90391"/>
    <w:rsid w:val="00E906C2"/>
    <w:rsid w:val="00E9311F"/>
    <w:rsid w:val="00E934D1"/>
    <w:rsid w:val="00E93755"/>
    <w:rsid w:val="00E94AF0"/>
    <w:rsid w:val="00E95D13"/>
    <w:rsid w:val="00E95DD3"/>
    <w:rsid w:val="00E969D5"/>
    <w:rsid w:val="00E97F7F"/>
    <w:rsid w:val="00EA58D1"/>
    <w:rsid w:val="00EA61BC"/>
    <w:rsid w:val="00EA681A"/>
    <w:rsid w:val="00EA735B"/>
    <w:rsid w:val="00EB17DE"/>
    <w:rsid w:val="00EB1E69"/>
    <w:rsid w:val="00EB2086"/>
    <w:rsid w:val="00EB5EDF"/>
    <w:rsid w:val="00EB60FE"/>
    <w:rsid w:val="00EB63FF"/>
    <w:rsid w:val="00EB74DB"/>
    <w:rsid w:val="00EC1B3E"/>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3AD1"/>
    <w:rsid w:val="00F1409D"/>
    <w:rsid w:val="00F14214"/>
    <w:rsid w:val="00F157A9"/>
    <w:rsid w:val="00F25BB6"/>
    <w:rsid w:val="00F26B7E"/>
    <w:rsid w:val="00F27470"/>
    <w:rsid w:val="00F278BC"/>
    <w:rsid w:val="00F27A3B"/>
    <w:rsid w:val="00F33817"/>
    <w:rsid w:val="00F37042"/>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3344"/>
    <w:rsid w:val="00F81141"/>
    <w:rsid w:val="00F833BA"/>
    <w:rsid w:val="00F84FD0"/>
    <w:rsid w:val="00F859A8"/>
    <w:rsid w:val="00F86D87"/>
    <w:rsid w:val="00F90216"/>
    <w:rsid w:val="00F9108B"/>
    <w:rsid w:val="00F91349"/>
    <w:rsid w:val="00F92BC6"/>
    <w:rsid w:val="00F93A8A"/>
    <w:rsid w:val="00F95248"/>
    <w:rsid w:val="00F956A9"/>
    <w:rsid w:val="00F963ED"/>
    <w:rsid w:val="00F966CF"/>
    <w:rsid w:val="00F96CAE"/>
    <w:rsid w:val="00F97C99"/>
    <w:rsid w:val="00FA4832"/>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0C42"/>
    <w:rsid w:val="00FD2A7C"/>
    <w:rsid w:val="00FD59EB"/>
    <w:rsid w:val="00FD7299"/>
    <w:rsid w:val="00FE004D"/>
    <w:rsid w:val="00FE1FBE"/>
    <w:rsid w:val="00FE3901"/>
    <w:rsid w:val="00FE39D3"/>
    <w:rsid w:val="00FE4BCE"/>
    <w:rsid w:val="00FE54AE"/>
    <w:rsid w:val="00FE576A"/>
    <w:rsid w:val="00FE7E79"/>
    <w:rsid w:val="00FF3E7D"/>
    <w:rsid w:val="00FF5B99"/>
    <w:rsid w:val="00FF730C"/>
    <w:rsid w:val="00FF73F4"/>
    <w:rsid w:val="00FF7CE4"/>
    <w:rsid w:val="00FF7E39"/>
    <w:rsid w:val="10137CE9"/>
    <w:rsid w:val="6A0F4D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qFormat="1" w:uiPriority="39" w:semiHidden="0" w:name="toc 4"/>
    <w:lsdException w:uiPriority="39" w:semiHidden="0" w:name="toc 5"/>
    <w:lsdException w:qFormat="1" w:uiPriority="39" w:semiHidden="0" w:name="toc 6"/>
    <w:lsdException w:uiPriority="39" w:semiHidden="0" w:name="toc 7"/>
    <w:lsdException w:uiPriority="0" w:name="toc 8"/>
    <w:lsdException w:uiPriority="0" w:name="toc 9"/>
    <w:lsdException w:qFormat="1" w:unhideWhenUsed="0" w:uiPriority="0" w:semiHidden="0" w:name="Normal Indent"/>
    <w:lsdException w:unhideWhenUsed="0" w:uiPriority="0"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uiPriority w:val="0"/>
    <w:rPr>
      <w:rFonts w:ascii="Arial" w:hAnsi="Arial" w:eastAsia="黑体"/>
      <w:b/>
      <w:bCs/>
      <w:kern w:val="2"/>
      <w:sz w:val="28"/>
      <w:szCs w:val="28"/>
    </w:rPr>
  </w:style>
  <w:style w:type="character" w:customStyle="1" w:styleId="38">
    <w:name w:val="标题 5 字符"/>
    <w:link w:val="6"/>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uiPriority w:val="99"/>
    <w:rPr>
      <w:kern w:val="2"/>
      <w:sz w:val="18"/>
      <w:szCs w:val="18"/>
    </w:rPr>
  </w:style>
  <w:style w:type="character" w:customStyle="1" w:styleId="44">
    <w:name w:val="页脚 字符"/>
    <w:link w:val="17"/>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章标题"/>
    <w:next w:val="231"/>
    <w:qFormat/>
    <w:uiPriority w:val="0"/>
    <w:pPr>
      <w:numPr>
        <w:ilvl w:val="0"/>
        <w:numId w:val="32"/>
      </w:numPr>
      <w:spacing w:beforeLines="100" w:afterLines="100"/>
      <w:jc w:val="both"/>
      <w:outlineLvl w:val="1"/>
    </w:pPr>
    <w:rPr>
      <w:rFonts w:ascii="黑体" w:hAnsi="Times New Roman" w:eastAsia="黑体" w:cs="Times New Roman"/>
      <w:sz w:val="21"/>
      <w:lang w:val="en-US" w:eastAsia="zh-CN" w:bidi="ar-SA"/>
    </w:rPr>
  </w:style>
  <w:style w:type="paragraph" w:customStyle="1" w:styleId="23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2">
    <w:name w:val="一级条标题"/>
    <w:next w:val="1"/>
    <w:qFormat/>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3722A555CC044B5A945D55696FDFD33"/>
        <w:style w:val=""/>
        <w:category>
          <w:name w:val="常规"/>
          <w:gallery w:val="placeholder"/>
        </w:category>
        <w:types>
          <w:type w:val="bbPlcHdr"/>
        </w:types>
        <w:behaviors>
          <w:behavior w:val="content"/>
        </w:behaviors>
        <w:description w:val=""/>
        <w:guid w:val="{9BA63E7B-446C-4594-BB5D-DC60AB9F127D}"/>
      </w:docPartPr>
      <w:docPartBody>
        <w:p w14:paraId="4CCA6D13">
          <w:pPr>
            <w:pStyle w:val="5"/>
          </w:pPr>
          <w:r>
            <w:rPr>
              <w:rStyle w:val="4"/>
              <w:rFonts w:hint="eastAsia"/>
            </w:rPr>
            <w:t>单击或点击此处输入文字。</w:t>
          </w:r>
        </w:p>
      </w:docPartBody>
    </w:docPart>
    <w:docPart>
      <w:docPartPr>
        <w:name w:val="A40558F49585489AAFB89D04B2E462E1"/>
        <w:style w:val=""/>
        <w:category>
          <w:name w:val="常规"/>
          <w:gallery w:val="placeholder"/>
        </w:category>
        <w:types>
          <w:type w:val="bbPlcHdr"/>
        </w:types>
        <w:behaviors>
          <w:behavior w:val="content"/>
        </w:behaviors>
        <w:description w:val=""/>
        <w:guid w:val="{E51EA203-B1AB-468A-8B47-A2A0FF7B0BD5}"/>
      </w:docPartPr>
      <w:docPartBody>
        <w:p w14:paraId="52498E07">
          <w:pPr>
            <w:pStyle w:val="6"/>
          </w:pPr>
          <w:r>
            <w:rPr>
              <w:rStyle w:val="4"/>
              <w:rFonts w:hint="eastAsia"/>
            </w:rPr>
            <w:t>选择一项。</w:t>
          </w:r>
        </w:p>
      </w:docPartBody>
    </w:docPart>
    <w:docPart>
      <w:docPartPr>
        <w:name w:val="9C4A8C4B603A4FFB92E71023CB7D2BDC"/>
        <w:style w:val=""/>
        <w:category>
          <w:name w:val="常规"/>
          <w:gallery w:val="placeholder"/>
        </w:category>
        <w:types>
          <w:type w:val="bbPlcHdr"/>
        </w:types>
        <w:behaviors>
          <w:behavior w:val="content"/>
        </w:behaviors>
        <w:description w:val=""/>
        <w:guid w:val="{C035C1D9-D29A-42EB-A259-D295AC3C62F0}"/>
      </w:docPartPr>
      <w:docPartBody>
        <w:p w14:paraId="37A54C65">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05E"/>
    <w:rsid w:val="002C3504"/>
    <w:rsid w:val="007F405E"/>
    <w:rsid w:val="00822806"/>
    <w:rsid w:val="009340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73722A555CC044B5A945D55696FDFD3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A40558F49585489AAFB89D04B2E462E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9C4A8C4B603A4FFB92E71023CB7D2BD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C284A2-A65F-460F-852E-65C60503B800}">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11</Pages>
  <Words>3328</Words>
  <Characters>3682</Characters>
  <Lines>60</Lines>
  <Paragraphs>17</Paragraphs>
  <TotalTime>6</TotalTime>
  <ScaleCrop>false</ScaleCrop>
  <LinksUpToDate>false</LinksUpToDate>
  <CharactersWithSpaces>3970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2025-01-02T12:37:00Z</dcterms:created>
  <dc:creator>Jinna</dc:creator>
  <dc:description>&lt;config cover="true" show_menu="true" version="1.0.0" doctype="SDKXY"&gt;_x000d_
&lt;/config&gt;</dc:description>
  <cp:lastModifiedBy>Administrator</cp:lastModifiedBy>
  <cp:lastPrinted>2020-08-30T10:00:00Z</cp:lastPrinted>
  <dcterms:modified xsi:type="dcterms:W3CDTF">2025-01-07T08:29:18Z</dcterms:modified>
  <dc:title>地方标准</dc:title>
  <cp:revision>126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eyJoZGlkIjoiNWM0NmZhYTZhODUwZjg1YmNjZjBmYTg1OGUwN2M1ZDQiLCJ1c2VySWQiOiIxMTYxMjYxODczIn0=</vt:lpwstr>
  </property>
  <property fmtid="{D5CDD505-2E9C-101B-9397-08002B2CF9AE}" pid="15" name="KSOProductBuildVer">
    <vt:lpwstr>2052-12.1.0.19770</vt:lpwstr>
  </property>
  <property fmtid="{D5CDD505-2E9C-101B-9397-08002B2CF9AE}" pid="16" name="ICV">
    <vt:lpwstr>08BE85F20C9C47F9AC18A2AA4731600B_12</vt:lpwstr>
  </property>
</Properties>
</file>