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D76E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299FFF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8FD035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1BADA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61B1A4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8CC2B8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7A09F8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F868B73">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5104</w:t>
            </w:r>
            <w:r>
              <w:fldChar w:fldCharType="end"/>
            </w:r>
            <w:bookmarkEnd w:id="3"/>
          </w:p>
        </w:tc>
      </w:tr>
    </w:tbl>
    <w:p w14:paraId="0815F044">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四川省（攀枝花市）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CAF26D6">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5104/T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7671BA2D">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40059C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809324">
      <w:pPr>
        <w:pStyle w:val="50"/>
        <w:framePr w:w="9639" w:h="6976" w:hRule="exact" w:hSpace="0" w:vSpace="0" w:wrap="around" w:hAnchor="page" w:y="6408"/>
        <w:jc w:val="center"/>
        <w:rPr>
          <w:rFonts w:ascii="黑体" w:hAnsi="黑体" w:eastAsia="黑体"/>
          <w:b w:val="0"/>
          <w:bCs w:val="0"/>
          <w:w w:val="100"/>
        </w:rPr>
      </w:pPr>
    </w:p>
    <w:p w14:paraId="0B9984E1">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桑椹等级规格</w:t>
      </w:r>
      <w:r>
        <w:fldChar w:fldCharType="end"/>
      </w:r>
      <w:bookmarkEnd w:id="9"/>
    </w:p>
    <w:p w14:paraId="1B8B5314">
      <w:pPr>
        <w:framePr w:w="9639" w:h="6974" w:hRule="exact" w:wrap="around" w:vAnchor="page" w:hAnchor="page" w:x="1419" w:y="6408" w:anchorLock="1"/>
        <w:ind w:left="-1418"/>
      </w:pPr>
    </w:p>
    <w:p w14:paraId="4AFEE79A">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3007E7C5">
      <w:pPr>
        <w:framePr w:w="9639" w:h="6974" w:hRule="exact" w:wrap="around" w:vAnchor="page" w:hAnchor="page" w:x="1419" w:y="6408" w:anchorLock="1"/>
        <w:spacing w:line="760" w:lineRule="exact"/>
        <w:ind w:left="-1418"/>
      </w:pPr>
    </w:p>
    <w:p w14:paraId="3A534ED4">
      <w:pPr>
        <w:pStyle w:val="125"/>
        <w:framePr w:w="9639" w:h="6974" w:hRule="exact" w:wrap="around" w:vAnchor="page" w:hAnchor="page" w:x="1419" w:y="6408" w:anchorLock="1"/>
        <w:textAlignment w:val="bottom"/>
        <w:rPr>
          <w:rFonts w:eastAsia="黑体"/>
          <w:szCs w:val="28"/>
        </w:rPr>
      </w:pPr>
    </w:p>
    <w:p w14:paraId="2903E1D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4FB281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23D6B9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9558861">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15DA2C5">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03A2C81">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攀枝花市市场监督管理局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AC260BA">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A0F011E">
      <w:pPr>
        <w:pStyle w:val="91"/>
        <w:spacing w:after="468"/>
      </w:pPr>
      <w:bookmarkStart w:id="21" w:name="BookMark1"/>
      <w:r>
        <w:rPr>
          <w:rFonts w:hint="eastAsia"/>
          <w:spacing w:val="320"/>
        </w:rPr>
        <w:t>目</w:t>
      </w:r>
      <w:r>
        <w:rPr>
          <w:rFonts w:hint="eastAsia"/>
        </w:rPr>
        <w:t>次</w:t>
      </w:r>
    </w:p>
    <w:p w14:paraId="76CDA1D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w:instrText>
      </w:r>
      <w:r>
        <w:rPr>
          <w:rFonts w:hint="eastAsia"/>
        </w:rPr>
        <w:instrText xml:space="preserve">TOC \o "1-1" \h \t "标准文件_一级条标题,2,标准文件_附录一级条标题,2,"</w:instrText>
      </w:r>
      <w:r>
        <w:instrText xml:space="preserve"> </w:instrText>
      </w:r>
      <w:r>
        <w:fldChar w:fldCharType="separate"/>
      </w:r>
      <w:r>
        <w:fldChar w:fldCharType="begin"/>
      </w:r>
      <w:r>
        <w:instrText xml:space="preserve"> HYPERLINK \l "_Toc186824913"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_Toc186824913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9C7CEA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"_Toc186824914"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_Toc186824914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15023E8">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"_Toc186824915"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_Toc186824915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A7E2E15">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"_Toc186824916" </w:instrText>
      </w:r>
      <w:r>
        <w:fldChar w:fldCharType="separate"/>
      </w:r>
      <w:r>
        <w:rPr>
          <w:rStyle w:val="32"/>
          <w:rFonts w:hint="eastAsia"/>
        </w:rPr>
        <w:t>4</w:t>
      </w:r>
      <w:r>
        <w:rPr>
          <w:rStyle w:val="32"/>
        </w:rPr>
        <w:t xml:space="preserve"> </w:t>
      </w:r>
      <w:r>
        <w:rPr>
          <w:rStyle w:val="32"/>
          <w:rFonts w:hint="eastAsia"/>
        </w:rPr>
        <w:t xml:space="preserve"> 一般要求</w:t>
      </w:r>
      <w:r>
        <w:rPr>
          <w:rFonts w:hint="eastAsia"/>
        </w:rPr>
        <w:tab/>
      </w:r>
      <w:r>
        <w:rPr>
          <w:rFonts w:hint="eastAsia"/>
        </w:rPr>
        <w:fldChar w:fldCharType="begin"/>
      </w:r>
      <w:r>
        <w:rPr>
          <w:rFonts w:hint="eastAsia"/>
        </w:rPr>
        <w:instrText xml:space="preserve"> </w:instrText>
      </w:r>
      <w:r>
        <w:instrText xml:space="preserve">PAGEREF _Toc186824916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5BABB4F">
      <w:pPr>
        <w:pStyle w:val="24"/>
        <w:rPr>
          <w:rFonts w:asciiTheme="minorHAnsi" w:hAnsiTheme="minorHAnsi" w:eastAsiaTheme="minorEastAsia" w:cstheme="minorBidi"/>
          <w:szCs w:val="22"/>
          <w14:ligatures w14:val="standardContextual"/>
        </w:rPr>
      </w:pPr>
      <w:r>
        <w:fldChar w:fldCharType="begin"/>
      </w:r>
      <w:r>
        <w:instrText xml:space="preserve"> HYPERLINK \l "_Toc186824917" </w:instrText>
      </w:r>
      <w:r>
        <w:fldChar w:fldCharType="separate"/>
      </w:r>
      <w:r>
        <w:rPr>
          <w:rStyle w:val="32"/>
          <w:rFonts w:hint="eastAsia"/>
          <w14:scene3d w14:prst="orthographicFront">
            <w14:lightRig w14:rig="threePt" w14:dir="t">
              <w14:rot w14:lat="0" w14:lon="0" w14:rev="0"/>
            </w14:lightRig>
          </w14:scene3d>
        </w:rPr>
        <w:t>4.1</w:t>
      </w:r>
      <w:r>
        <w:rPr>
          <w:rStyle w:val="32"/>
          <w14:scene3d w14:prst="orthographicFront">
            <w14:lightRig w14:rig="threePt" w14:dir="t">
              <w14:rot w14:lat="0" w14:lon="0" w14:rev="0"/>
            </w14:lightRig>
          </w14:scene3d>
        </w:rPr>
        <w:t xml:space="preserve"> </w:t>
      </w:r>
      <w:r>
        <w:rPr>
          <w:rStyle w:val="32"/>
          <w:rFonts w:hint="eastAsia"/>
        </w:rPr>
        <w:t xml:space="preserve"> 鲜食</w:t>
      </w:r>
      <w:r>
        <w:rPr>
          <w:rStyle w:val="32"/>
          <w:rFonts w:hint="eastAsia" w:ascii="Times New Roman"/>
        </w:rPr>
        <w:t>桑椹等级评价的基本要求</w:t>
      </w:r>
      <w:r>
        <w:rPr>
          <w:rFonts w:hint="eastAsia"/>
        </w:rPr>
        <w:tab/>
      </w:r>
      <w:r>
        <w:rPr>
          <w:rFonts w:hint="eastAsia"/>
        </w:rPr>
        <w:fldChar w:fldCharType="begin"/>
      </w:r>
      <w:r>
        <w:rPr>
          <w:rFonts w:hint="eastAsia"/>
        </w:rPr>
        <w:instrText xml:space="preserve"> </w:instrText>
      </w:r>
      <w:r>
        <w:instrText xml:space="preserve">PAGEREF _Toc186824917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7B0C42E">
      <w:pPr>
        <w:pStyle w:val="24"/>
        <w:rPr>
          <w:rFonts w:asciiTheme="minorHAnsi" w:hAnsiTheme="minorHAnsi" w:eastAsiaTheme="minorEastAsia" w:cstheme="minorBidi"/>
          <w:szCs w:val="22"/>
          <w14:ligatures w14:val="standardContextual"/>
        </w:rPr>
      </w:pPr>
      <w:r>
        <w:fldChar w:fldCharType="begin"/>
      </w:r>
      <w:r>
        <w:instrText xml:space="preserve"> HYPERLINK \l "_Toc186824918" </w:instrText>
      </w:r>
      <w:r>
        <w:fldChar w:fldCharType="separate"/>
      </w:r>
      <w:r>
        <w:rPr>
          <w:rStyle w:val="32"/>
          <w:rFonts w:hint="eastAsia"/>
          <w14:scene3d w14:prst="orthographicFront">
            <w14:lightRig w14:rig="threePt" w14:dir="t">
              <w14:rot w14:lat="0" w14:lon="0" w14:rev="0"/>
            </w14:lightRig>
          </w14:scene3d>
        </w:rPr>
        <w:t>4.2</w:t>
      </w:r>
      <w:r>
        <w:rPr>
          <w:rStyle w:val="32"/>
          <w14:scene3d w14:prst="orthographicFront">
            <w14:lightRig w14:rig="threePt" w14:dir="t">
              <w14:rot w14:lat="0" w14:lon="0" w14:rev="0"/>
            </w14:lightRig>
          </w14:scene3d>
        </w:rPr>
        <w:t xml:space="preserve"> </w:t>
      </w:r>
      <w:r>
        <w:rPr>
          <w:rStyle w:val="32"/>
          <w:rFonts w:hint="eastAsia"/>
        </w:rPr>
        <w:t xml:space="preserve"> 鲜食</w:t>
      </w:r>
      <w:r>
        <w:rPr>
          <w:rStyle w:val="32"/>
          <w:rFonts w:hint="eastAsia" w:ascii="Times New Roman"/>
        </w:rPr>
        <w:t>桑椹的规格</w:t>
      </w:r>
      <w:r>
        <w:rPr>
          <w:rFonts w:hint="eastAsia"/>
        </w:rPr>
        <w:tab/>
      </w:r>
      <w:r>
        <w:rPr>
          <w:rFonts w:hint="eastAsia"/>
        </w:rPr>
        <w:fldChar w:fldCharType="begin"/>
      </w:r>
      <w:r>
        <w:rPr>
          <w:rFonts w:hint="eastAsia"/>
        </w:rPr>
        <w:instrText xml:space="preserve"> </w:instrText>
      </w:r>
      <w:r>
        <w:instrText xml:space="preserve">PAGEREF _Toc186824918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362E390">
      <w:pPr>
        <w:pStyle w:val="24"/>
        <w:rPr>
          <w:rFonts w:asciiTheme="minorHAnsi" w:hAnsiTheme="minorHAnsi" w:eastAsiaTheme="minorEastAsia" w:cstheme="minorBidi"/>
          <w:szCs w:val="22"/>
          <w14:ligatures w14:val="standardContextual"/>
        </w:rPr>
      </w:pPr>
      <w:r>
        <w:fldChar w:fldCharType="begin"/>
      </w:r>
      <w:r>
        <w:instrText xml:space="preserve"> HYPERLINK \l "_Toc186824919" </w:instrText>
      </w:r>
      <w:r>
        <w:fldChar w:fldCharType="separate"/>
      </w:r>
      <w:r>
        <w:rPr>
          <w:rStyle w:val="32"/>
          <w:rFonts w:hint="eastAsia"/>
          <w14:scene3d w14:prst="orthographicFront">
            <w14:lightRig w14:rig="threePt" w14:dir="t">
              <w14:rot w14:lat="0" w14:lon="0" w14:rev="0"/>
            </w14:lightRig>
          </w14:scene3d>
        </w:rPr>
        <w:t>4.3</w:t>
      </w:r>
      <w:r>
        <w:rPr>
          <w:rStyle w:val="32"/>
          <w14:scene3d w14:prst="orthographicFront">
            <w14:lightRig w14:rig="threePt" w14:dir="t">
              <w14:rot w14:lat="0" w14:lon="0" w14:rev="0"/>
            </w14:lightRig>
          </w14:scene3d>
        </w:rPr>
        <w:t xml:space="preserve"> </w:t>
      </w:r>
      <w:r>
        <w:rPr>
          <w:rStyle w:val="32"/>
          <w:rFonts w:hint="eastAsia"/>
        </w:rPr>
        <w:t xml:space="preserve"> 鲜食桑椹的等级</w:t>
      </w:r>
      <w:r>
        <w:rPr>
          <w:rFonts w:hint="eastAsia"/>
        </w:rPr>
        <w:tab/>
      </w:r>
      <w:r>
        <w:rPr>
          <w:rFonts w:hint="eastAsia"/>
        </w:rPr>
        <w:fldChar w:fldCharType="begin"/>
      </w:r>
      <w:r>
        <w:rPr>
          <w:rFonts w:hint="eastAsia"/>
        </w:rPr>
        <w:instrText xml:space="preserve"> </w:instrText>
      </w:r>
      <w:r>
        <w:instrText xml:space="preserve">PAGEREF _Toc186824919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3C0F6C2">
      <w:pPr>
        <w:pStyle w:val="24"/>
        <w:rPr>
          <w:rFonts w:asciiTheme="minorHAnsi" w:hAnsiTheme="minorHAnsi" w:eastAsiaTheme="minorEastAsia" w:cstheme="minorBidi"/>
          <w:szCs w:val="22"/>
          <w14:ligatures w14:val="standardContextual"/>
        </w:rPr>
      </w:pPr>
      <w:r>
        <w:fldChar w:fldCharType="begin"/>
      </w:r>
      <w:r>
        <w:instrText xml:space="preserve"> HYPERLINK \l "_Toc186824920" </w:instrText>
      </w:r>
      <w:r>
        <w:fldChar w:fldCharType="separate"/>
      </w:r>
      <w:r>
        <w:rPr>
          <w:rStyle w:val="32"/>
          <w:rFonts w:hint="eastAsia"/>
          <w14:scene3d w14:prst="orthographicFront">
            <w14:lightRig w14:rig="threePt" w14:dir="t">
              <w14:rot w14:lat="0" w14:lon="0" w14:rev="0"/>
            </w14:lightRig>
          </w14:scene3d>
        </w:rPr>
        <w:t>4.4</w:t>
      </w:r>
      <w:r>
        <w:rPr>
          <w:rStyle w:val="32"/>
          <w14:scene3d w14:prst="orthographicFront">
            <w14:lightRig w14:rig="threePt" w14:dir="t">
              <w14:rot w14:lat="0" w14:lon="0" w14:rev="0"/>
            </w14:lightRig>
          </w14:scene3d>
        </w:rPr>
        <w:t xml:space="preserve"> </w:t>
      </w:r>
      <w:r>
        <w:rPr>
          <w:rStyle w:val="32"/>
          <w:rFonts w:hint="eastAsia"/>
        </w:rPr>
        <w:t xml:space="preserve"> 误差允许范围</w:t>
      </w:r>
      <w:r>
        <w:rPr>
          <w:rFonts w:hint="eastAsia"/>
        </w:rPr>
        <w:tab/>
      </w:r>
      <w:r>
        <w:rPr>
          <w:rFonts w:hint="eastAsia"/>
        </w:rPr>
        <w:fldChar w:fldCharType="begin"/>
      </w:r>
      <w:r>
        <w:rPr>
          <w:rFonts w:hint="eastAsia"/>
        </w:rPr>
        <w:instrText xml:space="preserve"> </w:instrText>
      </w:r>
      <w:r>
        <w:instrText xml:space="preserve">PAGEREF _Toc186824920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CC75C72">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"_Toc186824921" </w:instrText>
      </w:r>
      <w:r>
        <w:fldChar w:fldCharType="separate"/>
      </w:r>
      <w:r>
        <w:rPr>
          <w:rStyle w:val="32"/>
          <w:rFonts w:hint="eastAsia"/>
        </w:rPr>
        <w:t>5</w:t>
      </w:r>
      <w:r>
        <w:rPr>
          <w:rStyle w:val="32"/>
        </w:rPr>
        <w:t xml:space="preserve"> </w:t>
      </w:r>
      <w:r>
        <w:rPr>
          <w:rStyle w:val="32"/>
          <w:rFonts w:hint="eastAsia"/>
        </w:rPr>
        <w:t xml:space="preserve"> 抽样和检验方法</w:t>
      </w:r>
      <w:r>
        <w:rPr>
          <w:rFonts w:hint="eastAsia"/>
        </w:rPr>
        <w:tab/>
      </w:r>
      <w:r>
        <w:rPr>
          <w:rFonts w:hint="eastAsia"/>
        </w:rPr>
        <w:fldChar w:fldCharType="begin"/>
      </w:r>
      <w:r>
        <w:rPr>
          <w:rFonts w:hint="eastAsia"/>
        </w:rPr>
        <w:instrText xml:space="preserve"> </w:instrText>
      </w:r>
      <w:r>
        <w:instrText xml:space="preserve">PAGEREF _Toc186824921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73277CE">
      <w:pPr>
        <w:pStyle w:val="24"/>
        <w:rPr>
          <w:rFonts w:asciiTheme="minorHAnsi" w:hAnsiTheme="minorHAnsi" w:eastAsiaTheme="minorEastAsia" w:cstheme="minorBidi"/>
          <w:szCs w:val="22"/>
          <w14:ligatures w14:val="standardContextual"/>
        </w:rPr>
      </w:pPr>
      <w:r>
        <w:fldChar w:fldCharType="begin"/>
      </w:r>
      <w:r>
        <w:instrText xml:space="preserve"> HYPERLINK \l "_Toc186824922" </w:instrText>
      </w:r>
      <w:r>
        <w:fldChar w:fldCharType="separate"/>
      </w:r>
      <w:r>
        <w:rPr>
          <w:rStyle w:val="32"/>
          <w:rFonts w:hint="eastAsia"/>
          <w14:scene3d w14:prst="orthographicFront">
            <w14:lightRig w14:rig="threePt" w14:dir="t">
              <w14:rot w14:lat="0" w14:lon="0" w14:rev="0"/>
            </w14:lightRig>
          </w14:scene3d>
        </w:rPr>
        <w:t>5.1</w:t>
      </w:r>
      <w:r>
        <w:rPr>
          <w:rStyle w:val="32"/>
          <w14:scene3d w14:prst="orthographicFront">
            <w14:lightRig w14:rig="threePt" w14:dir="t">
              <w14:rot w14:lat="0" w14:lon="0" w14:rev="0"/>
            </w14:lightRig>
          </w14:scene3d>
        </w:rPr>
        <w:t xml:space="preserve"> </w:t>
      </w:r>
      <w:r>
        <w:rPr>
          <w:rStyle w:val="32"/>
          <w:rFonts w:hint="eastAsia"/>
        </w:rPr>
        <w:t xml:space="preserve"> 抽样方法</w:t>
      </w:r>
      <w:r>
        <w:rPr>
          <w:rFonts w:hint="eastAsia"/>
        </w:rPr>
        <w:tab/>
      </w:r>
      <w:r>
        <w:rPr>
          <w:rFonts w:hint="eastAsia"/>
        </w:rPr>
        <w:fldChar w:fldCharType="begin"/>
      </w:r>
      <w:r>
        <w:rPr>
          <w:rFonts w:hint="eastAsia"/>
        </w:rPr>
        <w:instrText xml:space="preserve"> </w:instrText>
      </w:r>
      <w:r>
        <w:instrText xml:space="preserve">PAGEREF _Toc186824922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62ACD03">
      <w:pPr>
        <w:pStyle w:val="24"/>
        <w:rPr>
          <w:rFonts w:asciiTheme="minorHAnsi" w:hAnsiTheme="minorHAnsi" w:eastAsiaTheme="minorEastAsia" w:cstheme="minorBidi"/>
          <w:szCs w:val="22"/>
          <w14:ligatures w14:val="standardContextual"/>
        </w:rPr>
      </w:pPr>
      <w:r>
        <w:fldChar w:fldCharType="begin"/>
      </w:r>
      <w:r>
        <w:instrText xml:space="preserve"> HYPERLINK \l "_Toc186824923" </w:instrText>
      </w:r>
      <w:r>
        <w:fldChar w:fldCharType="separate"/>
      </w:r>
      <w:r>
        <w:rPr>
          <w:rStyle w:val="32"/>
          <w:rFonts w:hint="eastAsia"/>
          <w14:scene3d w14:prst="orthographicFront">
            <w14:lightRig w14:rig="threePt" w14:dir="t">
              <w14:rot w14:lat="0" w14:lon="0" w14:rev="0"/>
            </w14:lightRig>
          </w14:scene3d>
        </w:rPr>
        <w:t>5.2</w:t>
      </w:r>
      <w:r>
        <w:rPr>
          <w:rStyle w:val="32"/>
          <w14:scene3d w14:prst="orthographicFront">
            <w14:lightRig w14:rig="threePt" w14:dir="t">
              <w14:rot w14:lat="0" w14:lon="0" w14:rev="0"/>
            </w14:lightRig>
          </w14:scene3d>
        </w:rPr>
        <w:t xml:space="preserve"> </w:t>
      </w:r>
      <w:r>
        <w:rPr>
          <w:rStyle w:val="32"/>
          <w:rFonts w:hint="eastAsia"/>
        </w:rPr>
        <w:t xml:space="preserve"> 感官要求</w:t>
      </w:r>
      <w:r>
        <w:rPr>
          <w:rFonts w:hint="eastAsia"/>
        </w:rPr>
        <w:tab/>
      </w:r>
      <w:r>
        <w:rPr>
          <w:rFonts w:hint="eastAsia"/>
        </w:rPr>
        <w:fldChar w:fldCharType="begin"/>
      </w:r>
      <w:r>
        <w:rPr>
          <w:rFonts w:hint="eastAsia"/>
        </w:rPr>
        <w:instrText xml:space="preserve"> </w:instrText>
      </w:r>
      <w:r>
        <w:instrText xml:space="preserve">PAGEREF _Toc186824923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307C841">
      <w:pPr>
        <w:pStyle w:val="24"/>
        <w:rPr>
          <w:rFonts w:asciiTheme="minorHAnsi" w:hAnsiTheme="minorHAnsi" w:eastAsiaTheme="minorEastAsia" w:cstheme="minorBidi"/>
          <w:szCs w:val="22"/>
          <w14:ligatures w14:val="standardContextual"/>
        </w:rPr>
      </w:pPr>
      <w:r>
        <w:fldChar w:fldCharType="begin"/>
      </w:r>
      <w:r>
        <w:instrText xml:space="preserve"> HYPERLINK \l "_Toc186824924" </w:instrText>
      </w:r>
      <w:r>
        <w:fldChar w:fldCharType="separate"/>
      </w:r>
      <w:r>
        <w:rPr>
          <w:rStyle w:val="32"/>
          <w:rFonts w:hint="eastAsia"/>
          <w14:scene3d w14:prst="orthographicFront">
            <w14:lightRig w14:rig="threePt" w14:dir="t">
              <w14:rot w14:lat="0" w14:lon="0" w14:rev="0"/>
            </w14:lightRig>
          </w14:scene3d>
        </w:rPr>
        <w:t>5.3</w:t>
      </w:r>
      <w:r>
        <w:rPr>
          <w:rStyle w:val="32"/>
          <w14:scene3d w14:prst="orthographicFront">
            <w14:lightRig w14:rig="threePt" w14:dir="t">
              <w14:rot w14:lat="0" w14:lon="0" w14:rev="0"/>
            </w14:lightRig>
          </w14:scene3d>
        </w:rPr>
        <w:t xml:space="preserve"> </w:t>
      </w:r>
      <w:r>
        <w:rPr>
          <w:rStyle w:val="32"/>
          <w:rFonts w:hint="eastAsia"/>
        </w:rPr>
        <w:t xml:space="preserve"> 桑</w:t>
      </w:r>
      <w:r>
        <w:rPr>
          <w:rStyle w:val="32"/>
          <w:rFonts w:hint="eastAsia" w:ascii="Times New Roman"/>
        </w:rPr>
        <w:t>椹质量及缺陷果检测</w:t>
      </w:r>
      <w:r>
        <w:rPr>
          <w:rFonts w:hint="eastAsia"/>
        </w:rPr>
        <w:tab/>
      </w:r>
      <w:r>
        <w:rPr>
          <w:rFonts w:hint="eastAsia"/>
        </w:rPr>
        <w:fldChar w:fldCharType="begin"/>
      </w:r>
      <w:r>
        <w:rPr>
          <w:rFonts w:hint="eastAsia"/>
        </w:rPr>
        <w:instrText xml:space="preserve"> </w:instrText>
      </w:r>
      <w:r>
        <w:instrText xml:space="preserve">PAGEREF _Toc186824924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C9A291F">
      <w:pPr>
        <w:pStyle w:val="24"/>
        <w:rPr>
          <w:rFonts w:asciiTheme="minorHAnsi" w:hAnsiTheme="minorHAnsi" w:eastAsiaTheme="minorEastAsia" w:cstheme="minorBidi"/>
          <w:szCs w:val="22"/>
          <w14:ligatures w14:val="standardContextual"/>
        </w:rPr>
      </w:pPr>
      <w:r>
        <w:fldChar w:fldCharType="begin"/>
      </w:r>
      <w:r>
        <w:instrText xml:space="preserve"> HYPERLINK \l "_Toc186824925" </w:instrText>
      </w:r>
      <w:r>
        <w:fldChar w:fldCharType="separate"/>
      </w:r>
      <w:r>
        <w:rPr>
          <w:rStyle w:val="32"/>
          <w:rFonts w:hint="eastAsia"/>
          <w14:scene3d w14:prst="orthographicFront">
            <w14:lightRig w14:rig="threePt" w14:dir="t">
              <w14:rot w14:lat="0" w14:lon="0" w14:rev="0"/>
            </w14:lightRig>
          </w14:scene3d>
        </w:rPr>
        <w:t>5.4</w:t>
      </w:r>
      <w:r>
        <w:rPr>
          <w:rStyle w:val="32"/>
          <w14:scene3d w14:prst="orthographicFront">
            <w14:lightRig w14:rig="threePt" w14:dir="t">
              <w14:rot w14:lat="0" w14:lon="0" w14:rev="0"/>
            </w14:lightRig>
          </w14:scene3d>
        </w:rPr>
        <w:t xml:space="preserve"> </w:t>
      </w:r>
      <w:r>
        <w:rPr>
          <w:rStyle w:val="32"/>
          <w:rFonts w:hint="eastAsia"/>
        </w:rPr>
        <w:t xml:space="preserve"> 可溶性固定物含量</w:t>
      </w:r>
      <w:r>
        <w:rPr>
          <w:rFonts w:hint="eastAsia"/>
        </w:rPr>
        <w:tab/>
      </w:r>
      <w:r>
        <w:rPr>
          <w:rFonts w:hint="eastAsia"/>
        </w:rPr>
        <w:fldChar w:fldCharType="begin"/>
      </w:r>
      <w:r>
        <w:rPr>
          <w:rFonts w:hint="eastAsia"/>
        </w:rPr>
        <w:instrText xml:space="preserve"> </w:instrText>
      </w:r>
      <w:r>
        <w:instrText xml:space="preserve">PAGEREF _Toc186824925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1287D5A">
      <w:pPr>
        <w:pStyle w:val="24"/>
        <w:rPr>
          <w:rFonts w:asciiTheme="minorHAnsi" w:hAnsiTheme="minorHAnsi" w:eastAsiaTheme="minorEastAsia" w:cstheme="minorBidi"/>
          <w:szCs w:val="22"/>
          <w14:ligatures w14:val="standardContextual"/>
        </w:rPr>
      </w:pPr>
      <w:r>
        <w:fldChar w:fldCharType="begin"/>
      </w:r>
      <w:r>
        <w:instrText xml:space="preserve"> HYPERLINK \l "_Toc186824926" </w:instrText>
      </w:r>
      <w:r>
        <w:fldChar w:fldCharType="separate"/>
      </w:r>
      <w:r>
        <w:rPr>
          <w:rStyle w:val="32"/>
          <w:rFonts w:hint="eastAsia"/>
          <w14:scene3d w14:prst="orthographicFront">
            <w14:lightRig w14:rig="threePt" w14:dir="t">
              <w14:rot w14:lat="0" w14:lon="0" w14:rev="0"/>
            </w14:lightRig>
          </w14:scene3d>
        </w:rPr>
        <w:t>5.5</w:t>
      </w:r>
      <w:r>
        <w:rPr>
          <w:rStyle w:val="32"/>
          <w14:scene3d w14:prst="orthographicFront">
            <w14:lightRig w14:rig="threePt" w14:dir="t">
              <w14:rot w14:lat="0" w14:lon="0" w14:rev="0"/>
            </w14:lightRig>
          </w14:scene3d>
        </w:rPr>
        <w:t xml:space="preserve"> </w:t>
      </w:r>
      <w:r>
        <w:rPr>
          <w:rStyle w:val="32"/>
          <w:rFonts w:hint="eastAsia"/>
        </w:rPr>
        <w:t xml:space="preserve"> 安全卫生指标</w:t>
      </w:r>
      <w:r>
        <w:rPr>
          <w:rFonts w:hint="eastAsia"/>
        </w:rPr>
        <w:tab/>
      </w:r>
      <w:r>
        <w:rPr>
          <w:rFonts w:hint="eastAsia"/>
        </w:rPr>
        <w:fldChar w:fldCharType="begin"/>
      </w:r>
      <w:r>
        <w:rPr>
          <w:rFonts w:hint="eastAsia"/>
        </w:rPr>
        <w:instrText xml:space="preserve"> </w:instrText>
      </w:r>
      <w:r>
        <w:instrText xml:space="preserve">PAGEREF _Toc186824926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95DBF89">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"_Toc186824927" </w:instrText>
      </w:r>
      <w:r>
        <w:fldChar w:fldCharType="separate"/>
      </w:r>
      <w:r>
        <w:rPr>
          <w:rStyle w:val="32"/>
          <w:rFonts w:hint="eastAsia"/>
        </w:rPr>
        <w:t>6</w:t>
      </w:r>
      <w:r>
        <w:rPr>
          <w:rStyle w:val="32"/>
        </w:rPr>
        <w:t xml:space="preserve"> </w:t>
      </w:r>
      <w:r>
        <w:rPr>
          <w:rStyle w:val="32"/>
          <w:rFonts w:hint="eastAsia"/>
        </w:rPr>
        <w:t xml:space="preserve"> 分选贮运</w:t>
      </w:r>
      <w:r>
        <w:rPr>
          <w:rFonts w:hint="eastAsia"/>
        </w:rPr>
        <w:tab/>
      </w:r>
      <w:r>
        <w:rPr>
          <w:rFonts w:hint="eastAsia"/>
        </w:rPr>
        <w:fldChar w:fldCharType="begin"/>
      </w:r>
      <w:r>
        <w:rPr>
          <w:rFonts w:hint="eastAsia"/>
        </w:rPr>
        <w:instrText xml:space="preserve"> </w:instrText>
      </w:r>
      <w:r>
        <w:instrText xml:space="preserve">PAGEREF _Toc186824927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C89BC71">
      <w:pPr>
        <w:pStyle w:val="24"/>
        <w:rPr>
          <w:rFonts w:asciiTheme="minorHAnsi" w:hAnsiTheme="minorHAnsi" w:eastAsiaTheme="minorEastAsia" w:cstheme="minorBidi"/>
          <w:szCs w:val="22"/>
          <w14:ligatures w14:val="standardContextual"/>
        </w:rPr>
      </w:pPr>
      <w:r>
        <w:fldChar w:fldCharType="begin"/>
      </w:r>
      <w:r>
        <w:instrText xml:space="preserve"> HYPERLINK \l "_Toc186824928" </w:instrText>
      </w:r>
      <w:r>
        <w:fldChar w:fldCharType="separate"/>
      </w:r>
      <w:r>
        <w:rPr>
          <w:rStyle w:val="32"/>
          <w:rFonts w:hint="eastAsia"/>
          <w14:scene3d w14:prst="orthographicFront">
            <w14:lightRig w14:rig="threePt" w14:dir="t">
              <w14:rot w14:lat="0" w14:lon="0" w14:rev="0"/>
            </w14:lightRig>
          </w14:scene3d>
        </w:rPr>
        <w:t>6.1</w:t>
      </w:r>
      <w:r>
        <w:rPr>
          <w:rStyle w:val="32"/>
          <w14:scene3d w14:prst="orthographicFront">
            <w14:lightRig w14:rig="threePt" w14:dir="t">
              <w14:rot w14:lat="0" w14:lon="0" w14:rev="0"/>
            </w14:lightRig>
          </w14:scene3d>
        </w:rPr>
        <w:t xml:space="preserve"> </w:t>
      </w:r>
      <w:r>
        <w:rPr>
          <w:rStyle w:val="32"/>
          <w:rFonts w:hint="eastAsia"/>
        </w:rPr>
        <w:t xml:space="preserve"> 分选包装</w:t>
      </w:r>
      <w:r>
        <w:rPr>
          <w:rFonts w:hint="eastAsia"/>
        </w:rPr>
        <w:tab/>
      </w:r>
      <w:r>
        <w:rPr>
          <w:rFonts w:hint="eastAsia"/>
        </w:rPr>
        <w:fldChar w:fldCharType="begin"/>
      </w:r>
      <w:r>
        <w:rPr>
          <w:rFonts w:hint="eastAsia"/>
        </w:rPr>
        <w:instrText xml:space="preserve"> </w:instrText>
      </w:r>
      <w:r>
        <w:instrText xml:space="preserve">PAGEREF _Toc186824928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B0F1471">
      <w:pPr>
        <w:pStyle w:val="24"/>
        <w:rPr>
          <w:rFonts w:asciiTheme="minorHAnsi" w:hAnsiTheme="minorHAnsi" w:eastAsiaTheme="minorEastAsia" w:cstheme="minorBidi"/>
          <w:szCs w:val="22"/>
          <w14:ligatures w14:val="standardContextual"/>
        </w:rPr>
      </w:pPr>
      <w:r>
        <w:fldChar w:fldCharType="begin"/>
      </w:r>
      <w:r>
        <w:instrText xml:space="preserve"> HYPERLINK \l "_Toc186824929" </w:instrText>
      </w:r>
      <w:r>
        <w:fldChar w:fldCharType="separate"/>
      </w:r>
      <w:r>
        <w:rPr>
          <w:rStyle w:val="32"/>
          <w:rFonts w:hint="eastAsia"/>
          <w14:scene3d w14:prst="orthographicFront">
            <w14:lightRig w14:rig="threePt" w14:dir="t">
              <w14:rot w14:lat="0" w14:lon="0" w14:rev="0"/>
            </w14:lightRig>
          </w14:scene3d>
        </w:rPr>
        <w:t>6.2</w:t>
      </w:r>
      <w:r>
        <w:rPr>
          <w:rStyle w:val="32"/>
          <w14:scene3d w14:prst="orthographicFront">
            <w14:lightRig w14:rig="threePt" w14:dir="t">
              <w14:rot w14:lat="0" w14:lon="0" w14:rev="0"/>
            </w14:lightRig>
          </w14:scene3d>
        </w:rPr>
        <w:t xml:space="preserve"> </w:t>
      </w:r>
      <w:r>
        <w:rPr>
          <w:rStyle w:val="32"/>
          <w:rFonts w:hint="eastAsia"/>
        </w:rPr>
        <w:t xml:space="preserve"> 贮藏运输</w:t>
      </w:r>
      <w:r>
        <w:rPr>
          <w:rFonts w:hint="eastAsia"/>
        </w:rPr>
        <w:tab/>
      </w:r>
      <w:r>
        <w:rPr>
          <w:rFonts w:hint="eastAsia"/>
        </w:rPr>
        <w:fldChar w:fldCharType="begin"/>
      </w:r>
      <w:r>
        <w:rPr>
          <w:rFonts w:hint="eastAsia"/>
        </w:rPr>
        <w:instrText xml:space="preserve"> </w:instrText>
      </w:r>
      <w:r>
        <w:instrText xml:space="preserve">PAGEREF _Toc186824929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B1C3BDB">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13905F89">
      <w:pPr>
        <w:pStyle w:val="89"/>
        <w:spacing w:before="900" w:after="468"/>
      </w:pPr>
      <w:bookmarkStart w:id="22" w:name="BookMark2"/>
      <w:r>
        <w:rPr>
          <w:rFonts w:hint="eastAsia"/>
          <w:spacing w:val="320"/>
        </w:rPr>
        <w:t>前</w:t>
      </w:r>
      <w:r>
        <w:rPr>
          <w:rFonts w:hint="eastAsia"/>
        </w:rPr>
        <w:t>言</w:t>
      </w:r>
    </w:p>
    <w:p w14:paraId="39EC5590">
      <w:pPr>
        <w:pStyle w:val="56"/>
        <w:ind w:firstLine="420"/>
      </w:pPr>
      <w:r>
        <w:rPr>
          <w:rFonts w:hint="eastAsia"/>
        </w:rPr>
        <w:t>本文件按照GB/T 1.1—2020《标准化工作导则  第1部分：标准化文件的结构和起草规则》的规定起草。</w:t>
      </w:r>
    </w:p>
    <w:p w14:paraId="3C9EFD35">
      <w:pPr>
        <w:pStyle w:val="56"/>
        <w:ind w:firstLine="420"/>
      </w:pPr>
      <w:r>
        <w:rPr>
          <w:rFonts w:hint="eastAsia"/>
        </w:rPr>
        <w:t>本文件由攀枝花市农业农村局提出并归口。</w:t>
      </w:r>
    </w:p>
    <w:p w14:paraId="44832CB6">
      <w:pPr>
        <w:pStyle w:val="56"/>
        <w:ind w:firstLine="420"/>
      </w:pPr>
      <w:r>
        <w:rPr>
          <w:rFonts w:hint="eastAsia"/>
        </w:rPr>
        <w:t>本文件由</w:t>
      </w:r>
      <w:r>
        <w:rPr>
          <w:rFonts w:hint="eastAsia" w:ascii="Times New Roman"/>
        </w:rPr>
        <w:t>攀枝花市市场监督管理局发布</w:t>
      </w:r>
      <w:r>
        <w:rPr>
          <w:rFonts w:hint="eastAsia"/>
        </w:rPr>
        <w:t>。</w:t>
      </w:r>
    </w:p>
    <w:p w14:paraId="617F92B4">
      <w:pPr>
        <w:pStyle w:val="56"/>
        <w:ind w:firstLine="420"/>
      </w:pPr>
      <w:r>
        <w:rPr>
          <w:rFonts w:hint="eastAsia"/>
        </w:rPr>
        <w:t>本文件起草单位：攀枝花市农业技术推广服务中心、四川省农科院农业资源与环境研究所、四川省三台蚕种场、</w:t>
      </w:r>
      <w:r>
        <w:rPr>
          <w:rFonts w:hint="eastAsia"/>
          <w:color w:val="000000"/>
          <w:szCs w:val="32"/>
        </w:rPr>
        <w:t>盐边县农业农村局、中丝天成（攀枝花）丝绸有限公司。</w:t>
      </w:r>
    </w:p>
    <w:p w14:paraId="7EB207C7">
      <w:pPr>
        <w:pStyle w:val="230"/>
        <w:ind w:left="2310" w:leftChars="200" w:hanging="1890" w:hangingChars="900"/>
        <w:rPr>
          <w:color w:val="000000"/>
          <w:szCs w:val="32"/>
        </w:rPr>
        <w:sectPr>
          <w:footerReference r:id="rId14" w:type="default"/>
          <w:footerReference r:id="rId15" w:type="even"/>
          <w:pgSz w:w="11906" w:h="16838"/>
          <w:pgMar w:top="567" w:right="1134" w:bottom="1134" w:left="1417" w:header="1418" w:footer="1134" w:gutter="0"/>
          <w:pgNumType w:fmt="upperRoman" w:start="1"/>
          <w:cols w:space="720" w:num="1"/>
          <w:formProt w:val="0"/>
          <w:docGrid w:type="lines" w:linePitch="312" w:charSpace="0"/>
        </w:sectPr>
      </w:pPr>
      <w:r>
        <w:rPr>
          <w:rFonts w:hint="eastAsia"/>
        </w:rPr>
        <w:t>本文件主要起草人：</w:t>
      </w:r>
      <w:bookmarkEnd w:id="22"/>
      <w:bookmarkStart w:id="23" w:name="BookMark4"/>
      <w:r>
        <w:rPr>
          <w:rFonts w:hint="eastAsia"/>
        </w:rPr>
        <w:t>胡</w:t>
      </w:r>
      <w:r>
        <w:rPr>
          <w:rFonts w:hint="eastAsia"/>
          <w:lang w:val="en-US" w:eastAsia="zh-CN"/>
        </w:rPr>
        <w:t xml:space="preserve"> </w:t>
      </w:r>
      <w:r>
        <w:rPr>
          <w:rFonts w:hint="eastAsia"/>
        </w:rPr>
        <w:t>涛 王</w:t>
      </w:r>
      <w:r>
        <w:rPr>
          <w:rFonts w:hint="eastAsia"/>
          <w:lang w:val="en-US" w:eastAsia="zh-CN"/>
        </w:rPr>
        <w:t xml:space="preserve"> </w:t>
      </w:r>
      <w:r>
        <w:rPr>
          <w:rFonts w:hint="eastAsia"/>
        </w:rPr>
        <w:t xml:space="preserve">谢 </w:t>
      </w:r>
      <w:r>
        <w:rPr>
          <w:rFonts w:hint="eastAsia"/>
          <w:color w:val="000000"/>
          <w:szCs w:val="32"/>
        </w:rPr>
        <w:t>谢琳玲</w:t>
      </w:r>
      <w:r>
        <w:rPr>
          <w:rFonts w:hint="eastAsia"/>
        </w:rPr>
        <w:t xml:space="preserve"> 黄朝举 陈</w:t>
      </w:r>
      <w:r>
        <w:rPr>
          <w:rFonts w:hint="eastAsia"/>
          <w:lang w:val="en-US" w:eastAsia="zh-CN"/>
        </w:rPr>
        <w:t xml:space="preserve"> </w:t>
      </w:r>
      <w:bookmarkStart w:id="63" w:name="_GoBack"/>
      <w:bookmarkEnd w:id="63"/>
      <w:r>
        <w:rPr>
          <w:rFonts w:hint="eastAsia"/>
        </w:rPr>
        <w:t>宏</w:t>
      </w:r>
      <w:r>
        <w:rPr>
          <w:rFonts w:hint="eastAsia"/>
          <w:lang w:val="en-US" w:eastAsia="zh-CN"/>
        </w:rPr>
        <w:t xml:space="preserve"> </w:t>
      </w:r>
      <w:r>
        <w:rPr>
          <w:rFonts w:hint="eastAsia"/>
          <w:lang w:eastAsia="zh-CN"/>
        </w:rPr>
        <w:t>潘媛琴</w:t>
      </w:r>
      <w:r>
        <w:rPr>
          <w:rFonts w:hint="eastAsia"/>
        </w:rPr>
        <w:t xml:space="preserve"> </w:t>
      </w:r>
      <w:r>
        <w:rPr>
          <w:rFonts w:hint="eastAsia"/>
          <w:lang w:eastAsia="zh-CN"/>
        </w:rPr>
        <w:t>张莉芝</w:t>
      </w:r>
      <w:r>
        <w:rPr>
          <w:rFonts w:hint="eastAsia"/>
          <w:lang w:val="en-US" w:eastAsia="zh-CN"/>
        </w:rPr>
        <w:t xml:space="preserve"> </w:t>
      </w:r>
      <w:r>
        <w:rPr>
          <w:rFonts w:hint="eastAsia"/>
          <w:color w:val="000000"/>
          <w:szCs w:val="32"/>
        </w:rPr>
        <w:t xml:space="preserve">李衍颖 罗红梅 </w:t>
      </w:r>
      <w:r>
        <w:rPr>
          <w:rFonts w:hint="eastAsia"/>
        </w:rPr>
        <w:t>胡启华</w:t>
      </w:r>
      <w:r>
        <w:rPr>
          <w:rFonts w:hint="eastAsia"/>
          <w:color w:val="000000"/>
          <w:szCs w:val="32"/>
        </w:rPr>
        <w:t xml:space="preserve"> 罗兴华 </w:t>
      </w:r>
      <w:r>
        <w:rPr>
          <w:rFonts w:hint="eastAsia"/>
          <w:color w:val="000000"/>
          <w:szCs w:val="32"/>
          <w:lang w:eastAsia="zh-CN"/>
        </w:rPr>
        <w:t>谢成德</w:t>
      </w:r>
      <w:r>
        <w:rPr>
          <w:rFonts w:hint="eastAsia"/>
          <w:color w:val="000000"/>
          <w:szCs w:val="32"/>
          <w:lang w:val="en-US" w:eastAsia="zh-CN"/>
        </w:rPr>
        <w:t xml:space="preserve"> </w:t>
      </w:r>
      <w:r>
        <w:rPr>
          <w:rFonts w:hint="eastAsia"/>
          <w:color w:val="000000"/>
          <w:szCs w:val="32"/>
          <w:lang w:eastAsia="zh-CN"/>
        </w:rPr>
        <w:t>何杨平</w:t>
      </w:r>
      <w:r>
        <w:rPr>
          <w:rFonts w:hint="eastAsia"/>
          <w:color w:val="000000"/>
          <w:szCs w:val="32"/>
          <w:lang w:val="en-US" w:eastAsia="zh-CN"/>
        </w:rPr>
        <w:t xml:space="preserve"> </w:t>
      </w:r>
      <w:r>
        <w:rPr>
          <w:rFonts w:hint="eastAsia"/>
          <w:color w:val="000000"/>
          <w:szCs w:val="32"/>
        </w:rPr>
        <w:t>张建华</w:t>
      </w:r>
    </w:p>
    <w:p w14:paraId="38DEDBCE">
      <w:pPr>
        <w:spacing w:line="20" w:lineRule="exact"/>
        <w:jc w:val="center"/>
        <w:rPr>
          <w:rFonts w:ascii="黑体" w:hAnsi="黑体" w:eastAsia="黑体"/>
          <w:sz w:val="32"/>
          <w:szCs w:val="32"/>
        </w:rPr>
      </w:pPr>
    </w:p>
    <w:p w14:paraId="3AFF4AC7">
      <w:pPr>
        <w:spacing w:line="20" w:lineRule="exact"/>
        <w:jc w:val="center"/>
        <w:rPr>
          <w:rFonts w:ascii="黑体" w:hAnsi="黑体" w:eastAsia="黑体"/>
          <w:sz w:val="32"/>
          <w:szCs w:val="32"/>
        </w:rPr>
      </w:pPr>
    </w:p>
    <w:sdt>
      <w:sdtPr>
        <w:tag w:val="NEW_STAND_NAME"/>
        <w:id w:val="595910757"/>
        <w:lock w:val="sdtLocked"/>
        <w:placeholder>
          <w:docPart w:val="631BDAE65EAE40A1A99E0C7A3217F37D"/>
        </w:placeholder>
      </w:sdtPr>
      <w:sdtContent>
        <w:p w14:paraId="6EE47614">
          <w:pPr>
            <w:pStyle w:val="177"/>
            <w:spacing w:before="3" w:beforeLines="1" w:after="686" w:afterLines="220"/>
          </w:pPr>
          <w:bookmarkStart w:id="24" w:name="NEW_STAND_NAME"/>
          <w:r>
            <w:rPr>
              <w:rFonts w:hint="eastAsia"/>
            </w:rPr>
            <w:t>桑椹等级规格</w:t>
          </w:r>
        </w:p>
      </w:sdtContent>
    </w:sdt>
    <w:bookmarkEnd w:id="24"/>
    <w:p w14:paraId="4D92C989">
      <w:pPr>
        <w:pStyle w:val="104"/>
        <w:spacing w:before="312" w:after="312"/>
      </w:pPr>
      <w:bookmarkStart w:id="25" w:name="_Toc26986771"/>
      <w:bookmarkStart w:id="26" w:name="_Toc26986530"/>
      <w:bookmarkStart w:id="27" w:name="_Toc17233333"/>
      <w:bookmarkStart w:id="28" w:name="_Toc97191423"/>
      <w:bookmarkStart w:id="29" w:name="_Toc186824913"/>
      <w:bookmarkStart w:id="30" w:name="_Toc24884211"/>
      <w:bookmarkStart w:id="31" w:name="_Toc24884218"/>
      <w:bookmarkStart w:id="32" w:name="_Toc26718930"/>
      <w:bookmarkStart w:id="33" w:name="_Toc26648465"/>
      <w:bookmarkStart w:id="34" w:name="_Toc17233325"/>
      <w:r>
        <w:rPr>
          <w:rFonts w:hint="eastAsia"/>
        </w:rPr>
        <w:t>范围</w:t>
      </w:r>
      <w:bookmarkEnd w:id="25"/>
      <w:bookmarkEnd w:id="26"/>
      <w:bookmarkEnd w:id="27"/>
      <w:bookmarkEnd w:id="28"/>
      <w:bookmarkEnd w:id="29"/>
      <w:bookmarkEnd w:id="30"/>
      <w:bookmarkEnd w:id="31"/>
      <w:bookmarkEnd w:id="32"/>
      <w:bookmarkEnd w:id="33"/>
      <w:bookmarkEnd w:id="34"/>
    </w:p>
    <w:p w14:paraId="134A78BF">
      <w:pPr>
        <w:pStyle w:val="56"/>
        <w:ind w:firstLine="420"/>
        <w:rPr>
          <w:rFonts w:ascii="Times New Roman"/>
          <w:color w:val="000000"/>
          <w:szCs w:val="21"/>
        </w:rPr>
      </w:pPr>
      <w:bookmarkStart w:id="35" w:name="_Toc26648466"/>
      <w:bookmarkStart w:id="36" w:name="_Toc24884212"/>
      <w:bookmarkStart w:id="37" w:name="_Toc24884219"/>
      <w:bookmarkStart w:id="38" w:name="_Toc17233334"/>
      <w:bookmarkStart w:id="39" w:name="_Toc17233326"/>
      <w:r>
        <w:rPr>
          <w:rFonts w:hint="eastAsia"/>
        </w:rPr>
        <w:t>本标准</w:t>
      </w:r>
      <w:r>
        <w:rPr>
          <w:rFonts w:ascii="Times New Roman"/>
          <w:color w:val="000000"/>
          <w:szCs w:val="21"/>
        </w:rPr>
        <w:t>规定了鲜食桑椹的等级规格要求</w:t>
      </w:r>
      <w:r>
        <w:rPr>
          <w:rFonts w:hint="eastAsia" w:ascii="Times New Roman"/>
          <w:color w:val="000000"/>
          <w:szCs w:val="21"/>
        </w:rPr>
        <w:t>，</w:t>
      </w:r>
      <w:r>
        <w:rPr>
          <w:rFonts w:ascii="Times New Roman"/>
          <w:color w:val="000000"/>
          <w:szCs w:val="21"/>
        </w:rPr>
        <w:t>抽样</w:t>
      </w:r>
      <w:r>
        <w:rPr>
          <w:rFonts w:hint="eastAsia" w:ascii="Times New Roman"/>
          <w:color w:val="000000"/>
          <w:szCs w:val="21"/>
        </w:rPr>
        <w:t>和</w:t>
      </w:r>
      <w:r>
        <w:rPr>
          <w:rFonts w:ascii="Times New Roman"/>
          <w:color w:val="000000"/>
          <w:szCs w:val="21"/>
        </w:rPr>
        <w:t>检测方法</w:t>
      </w:r>
      <w:r>
        <w:rPr>
          <w:rFonts w:hint="eastAsia" w:ascii="Times New Roman"/>
          <w:color w:val="000000"/>
          <w:szCs w:val="21"/>
        </w:rPr>
        <w:t>，分选贮运</w:t>
      </w:r>
      <w:r>
        <w:rPr>
          <w:rFonts w:ascii="Times New Roman"/>
          <w:color w:val="000000"/>
          <w:szCs w:val="21"/>
        </w:rPr>
        <w:t>。</w:t>
      </w:r>
    </w:p>
    <w:p w14:paraId="2B06E10C">
      <w:pPr>
        <w:pStyle w:val="56"/>
        <w:ind w:firstLine="420"/>
      </w:pPr>
      <w:r>
        <w:rPr>
          <w:rFonts w:hint="eastAsia"/>
        </w:rPr>
        <w:t>本标准</w:t>
      </w:r>
      <w:r>
        <w:rPr>
          <w:rFonts w:ascii="Times New Roman"/>
        </w:rPr>
        <w:t>适用于攀枝花市鲜食桑椹的生产</w:t>
      </w:r>
      <w:r>
        <w:rPr>
          <w:rFonts w:hint="eastAsia" w:ascii="Times New Roman"/>
        </w:rPr>
        <w:t>和流通</w:t>
      </w:r>
      <w:r>
        <w:rPr>
          <w:rFonts w:ascii="Times New Roman"/>
        </w:rPr>
        <w:t>。</w:t>
      </w:r>
    </w:p>
    <w:p w14:paraId="41F462E6">
      <w:pPr>
        <w:pStyle w:val="104"/>
        <w:spacing w:before="312" w:after="312"/>
      </w:pPr>
      <w:bookmarkStart w:id="40" w:name="_Toc97191424"/>
      <w:bookmarkStart w:id="41" w:name="_Toc186824914"/>
      <w:bookmarkStart w:id="42" w:name="_Toc26986531"/>
      <w:bookmarkStart w:id="43" w:name="_Toc26986772"/>
      <w:bookmarkStart w:id="44" w:name="_Toc26718931"/>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E2FE0F71F03B4F82B82890A94AD972B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782EDB7">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E66F5A">
      <w:pPr>
        <w:pStyle w:val="56"/>
        <w:ind w:firstLine="420"/>
        <w:rPr>
          <w:rFonts w:ascii="Times New Roman"/>
          <w:color w:val="000000" w:themeColor="text1"/>
          <w14:textFill>
            <w14:solidFill>
              <w14:schemeClr w14:val="tx1"/>
            </w14:solidFill>
          </w14:textFill>
        </w:rPr>
      </w:pPr>
      <w:r>
        <w:rPr>
          <w:rFonts w:hint="eastAsia"/>
        </w:rPr>
        <w:t>G</w:t>
      </w:r>
      <w:r>
        <w:t>B 2762</w:t>
      </w:r>
      <w:r>
        <w:rPr>
          <w:rFonts w:hint="eastAsia"/>
        </w:rPr>
        <w:t>—</w:t>
      </w:r>
      <w:r>
        <w:t xml:space="preserve">2022  </w:t>
      </w:r>
      <w:r>
        <w:rPr>
          <w:rFonts w:hint="eastAsia"/>
        </w:rPr>
        <w:t>食品</w:t>
      </w:r>
      <w:r>
        <w:rPr>
          <w:rFonts w:ascii="Times New Roman"/>
          <w:color w:val="000000" w:themeColor="text1"/>
          <w14:textFill>
            <w14:solidFill>
              <w14:schemeClr w14:val="tx1"/>
            </w14:solidFill>
          </w14:textFill>
        </w:rPr>
        <w:t>安全国家标准 食品中</w:t>
      </w:r>
      <w:r>
        <w:rPr>
          <w:rFonts w:hint="eastAsia" w:ascii="Times New Roman"/>
          <w:color w:val="000000" w:themeColor="text1"/>
          <w14:textFill>
            <w14:solidFill>
              <w14:schemeClr w14:val="tx1"/>
            </w14:solidFill>
          </w14:textFill>
        </w:rPr>
        <w:t>污染物限量</w:t>
      </w:r>
    </w:p>
    <w:p w14:paraId="274AC2C9">
      <w:pPr>
        <w:pStyle w:val="56"/>
        <w:ind w:firstLine="420"/>
        <w:rPr>
          <w:rFonts w:ascii="Times New Roman"/>
          <w:color w:val="000000" w:themeColor="text1"/>
          <w14:textFill>
            <w14:solidFill>
              <w14:schemeClr w14:val="tx1"/>
            </w14:solidFill>
          </w14:textFill>
        </w:rPr>
      </w:pPr>
      <w:r>
        <w:rPr>
          <w:rFonts w:hint="eastAsia"/>
        </w:rPr>
        <w:t>G</w:t>
      </w:r>
      <w:r>
        <w:t xml:space="preserve">B 2763  </w:t>
      </w:r>
      <w:r>
        <w:rPr>
          <w:rFonts w:hint="eastAsia"/>
        </w:rPr>
        <w:t>食品</w:t>
      </w:r>
      <w:r>
        <w:rPr>
          <w:rFonts w:ascii="Times New Roman"/>
          <w:color w:val="000000" w:themeColor="text1"/>
          <w14:textFill>
            <w14:solidFill>
              <w14:schemeClr w14:val="tx1"/>
            </w14:solidFill>
          </w14:textFill>
        </w:rPr>
        <w:t>安全国家标准 食品中农药最大残留限量</w:t>
      </w:r>
    </w:p>
    <w:p w14:paraId="7A1F72DB">
      <w:pPr>
        <w:pStyle w:val="56"/>
        <w:ind w:firstLine="420"/>
        <w:rPr>
          <w:rFonts w:ascii="Times New Roman"/>
        </w:rPr>
      </w:pPr>
      <w:r>
        <w:rPr>
          <w:rFonts w:hint="eastAsia"/>
        </w:rPr>
        <w:t>G</w:t>
      </w:r>
      <w:r>
        <w:t>B 5009.12</w:t>
      </w:r>
      <w:r>
        <w:rPr>
          <w:rFonts w:ascii="Times New Roman"/>
        </w:rPr>
        <w:tab/>
      </w:r>
      <w:r>
        <w:rPr>
          <w:rFonts w:ascii="Times New Roman"/>
        </w:rPr>
        <w:t>食品安全国家标准 食品中铅的测定</w:t>
      </w:r>
    </w:p>
    <w:p w14:paraId="23863399">
      <w:pPr>
        <w:pStyle w:val="56"/>
        <w:ind w:firstLine="420"/>
        <w:rPr>
          <w:rFonts w:ascii="Times New Roman"/>
        </w:rPr>
      </w:pPr>
      <w:r>
        <w:rPr>
          <w:rFonts w:hint="eastAsia"/>
        </w:rPr>
        <w:t>G</w:t>
      </w:r>
      <w:r>
        <w:t xml:space="preserve">B 5009.15  </w:t>
      </w:r>
      <w:r>
        <w:rPr>
          <w:rFonts w:hint="eastAsia"/>
        </w:rPr>
        <w:t>食品</w:t>
      </w:r>
      <w:r>
        <w:rPr>
          <w:rFonts w:ascii="Times New Roman"/>
        </w:rPr>
        <w:t>安全国家标准 食品中镉的测定</w:t>
      </w:r>
    </w:p>
    <w:p w14:paraId="6E7627C1">
      <w:pPr>
        <w:pStyle w:val="56"/>
        <w:ind w:firstLine="420"/>
        <w:rPr>
          <w:rFonts w:ascii="Times New Roman"/>
        </w:rPr>
      </w:pPr>
      <w:r>
        <w:rPr>
          <w:rFonts w:hint="eastAsia"/>
        </w:rPr>
        <w:t>G</w:t>
      </w:r>
      <w:r>
        <w:t xml:space="preserve">B 23200.8  </w:t>
      </w:r>
      <w:r>
        <w:rPr>
          <w:rFonts w:hint="eastAsia"/>
        </w:rPr>
        <w:t>食品</w:t>
      </w:r>
      <w:r>
        <w:rPr>
          <w:rFonts w:ascii="Times New Roman"/>
        </w:rPr>
        <w:t>安全国家标准 水果和蔬菜中500种农药及相关化学品残留量的测定</w:t>
      </w:r>
    </w:p>
    <w:p w14:paraId="45E019A3">
      <w:pPr>
        <w:pStyle w:val="56"/>
        <w:ind w:firstLine="420"/>
      </w:pPr>
      <w:r>
        <w:rPr>
          <w:rFonts w:hint="eastAsia"/>
        </w:rPr>
        <w:t>G</w:t>
      </w:r>
      <w:r>
        <w:t xml:space="preserve">B/T 29572  </w:t>
      </w:r>
      <w:r>
        <w:rPr>
          <w:rFonts w:hint="eastAsia"/>
        </w:rPr>
        <w:t>桑椹（桑果）</w:t>
      </w:r>
    </w:p>
    <w:p w14:paraId="41446C3D">
      <w:pPr>
        <w:pStyle w:val="56"/>
        <w:ind w:firstLine="420"/>
        <w:rPr>
          <w:rFonts w:ascii="Times New Roman"/>
          <w:color w:val="000000" w:themeColor="text1"/>
          <w14:textFill>
            <w14:solidFill>
              <w14:schemeClr w14:val="tx1"/>
            </w14:solidFill>
          </w14:textFill>
        </w:rPr>
      </w:pPr>
      <w:r>
        <w:rPr>
          <w:rFonts w:hint="eastAsia"/>
        </w:rPr>
        <w:t>G</w:t>
      </w:r>
      <w:r>
        <w:t xml:space="preserve">B/T 29605  </w:t>
      </w:r>
      <w:r>
        <w:rPr>
          <w:rFonts w:hint="eastAsia"/>
        </w:rPr>
        <w:t>感官</w:t>
      </w:r>
      <w:r>
        <w:rPr>
          <w:rFonts w:ascii="Times New Roman"/>
          <w:color w:val="000000" w:themeColor="text1"/>
          <w14:textFill>
            <w14:solidFill>
              <w14:schemeClr w14:val="tx1"/>
            </w14:solidFill>
          </w14:textFill>
        </w:rPr>
        <w:t>分析 食品感官质量控制导则</w:t>
      </w:r>
    </w:p>
    <w:p w14:paraId="78F93AD2">
      <w:pPr>
        <w:pStyle w:val="56"/>
        <w:ind w:firstLine="420"/>
      </w:pPr>
      <w:r>
        <w:rPr>
          <w:rFonts w:hint="eastAsia"/>
        </w:rPr>
        <w:t>N</w:t>
      </w:r>
      <w:r>
        <w:t xml:space="preserve">Y/T 1778  </w:t>
      </w:r>
      <w:r>
        <w:rPr>
          <w:rFonts w:hint="eastAsia"/>
        </w:rPr>
        <w:t>新鲜水果包装标识 通则</w:t>
      </w:r>
    </w:p>
    <w:p w14:paraId="0C528241">
      <w:pPr>
        <w:pStyle w:val="56"/>
        <w:ind w:firstLine="420"/>
        <w:rPr>
          <w:rFonts w:ascii="Times New Roman"/>
          <w:color w:val="000000" w:themeColor="text1"/>
          <w:kern w:val="2"/>
          <w:szCs w:val="24"/>
          <w14:textFill>
            <w14:solidFill>
              <w14:schemeClr w14:val="tx1"/>
            </w14:solidFill>
          </w14:textFill>
        </w:rPr>
      </w:pPr>
      <w:r>
        <w:rPr>
          <w:rFonts w:hint="eastAsia"/>
        </w:rPr>
        <w:t>N</w:t>
      </w:r>
      <w:r>
        <w:t>Y/T 2637</w:t>
      </w:r>
      <w:r>
        <w:rPr>
          <w:rFonts w:hint="eastAsia"/>
        </w:rPr>
        <w:t>—</w:t>
      </w:r>
      <w:r>
        <w:t xml:space="preserve">2014  </w:t>
      </w:r>
      <w:r>
        <w:rPr>
          <w:rFonts w:hint="eastAsia"/>
        </w:rPr>
        <w:t>水果</w:t>
      </w:r>
      <w:r>
        <w:rPr>
          <w:rFonts w:hint="eastAsia" w:ascii="Times New Roman"/>
          <w:color w:val="000000" w:themeColor="text1"/>
          <w:kern w:val="2"/>
          <w:szCs w:val="24"/>
          <w14:textFill>
            <w14:solidFill>
              <w14:schemeClr w14:val="tx1"/>
            </w14:solidFill>
          </w14:textFill>
        </w:rPr>
        <w:t>和蔬菜可溶性固形物含量的测定 折射仪法</w:t>
      </w:r>
    </w:p>
    <w:p w14:paraId="545BA3BF">
      <w:pPr>
        <w:pStyle w:val="56"/>
        <w:ind w:firstLine="420"/>
      </w:pPr>
      <w:r>
        <w:rPr>
          <w:rFonts w:hint="eastAsia"/>
        </w:rPr>
        <w:t>D</w:t>
      </w:r>
      <w:r>
        <w:t>B5104/T 95</w:t>
      </w:r>
      <w:r>
        <w:rPr>
          <w:rFonts w:hint="eastAsia"/>
        </w:rPr>
        <w:t>—</w:t>
      </w:r>
      <w:r>
        <w:t xml:space="preserve">2024  </w:t>
      </w:r>
      <w:r>
        <w:rPr>
          <w:rFonts w:hint="eastAsia"/>
        </w:rPr>
        <w:t>农产品</w:t>
      </w:r>
      <w:r>
        <w:rPr>
          <w:rFonts w:hint="eastAsia" w:ascii="Times New Roman"/>
          <w:color w:val="000000" w:themeColor="text1"/>
          <w14:textFill>
            <w14:solidFill>
              <w14:schemeClr w14:val="tx1"/>
            </w14:solidFill>
          </w14:textFill>
        </w:rPr>
        <w:t>监测抽样技术规范 种植业产品</w:t>
      </w:r>
    </w:p>
    <w:p w14:paraId="5AA5AFB3">
      <w:pPr>
        <w:pStyle w:val="104"/>
        <w:spacing w:before="312" w:after="312"/>
      </w:pPr>
      <w:bookmarkStart w:id="45" w:name="_Toc97191425"/>
      <w:bookmarkStart w:id="46" w:name="_Toc186824915"/>
      <w:r>
        <w:rPr>
          <w:rFonts w:hint="eastAsia"/>
          <w:szCs w:val="21"/>
        </w:rPr>
        <w:t>术语和定义</w:t>
      </w:r>
      <w:bookmarkEnd w:id="45"/>
      <w:bookmarkEnd w:id="46"/>
    </w:p>
    <w:sdt>
      <w:sdtPr>
        <w:id w:val="-1909835108"/>
        <w:placeholder>
          <w:docPart w:val="CDCE73D064794ACD8B2666DE214FC6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15253A6">
          <w:pPr>
            <w:pStyle w:val="56"/>
            <w:ind w:firstLine="420"/>
          </w:pPr>
          <w:bookmarkStart w:id="47" w:name="_Toc26986532"/>
          <w:bookmarkEnd w:id="47"/>
          <w:r>
            <w:t>下列术语和定义适用于本文件。</w:t>
          </w:r>
        </w:p>
      </w:sdtContent>
    </w:sdt>
    <w:p w14:paraId="6E5FD72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果桑 </w:t>
      </w:r>
      <w:r>
        <w:rPr>
          <w:rFonts w:ascii="黑体" w:hAnsi="黑体" w:eastAsia="黑体"/>
        </w:rPr>
        <w:t xml:space="preserve"> </w:t>
      </w:r>
      <w:r>
        <w:rPr>
          <w:rFonts w:hint="eastAsia" w:ascii="黑体" w:hAnsi="黑体" w:eastAsia="黑体"/>
        </w:rPr>
        <w:t>f</w:t>
      </w:r>
      <w:r>
        <w:rPr>
          <w:rFonts w:ascii="黑体" w:hAnsi="黑体" w:eastAsia="黑体"/>
        </w:rPr>
        <w:t>ruiting mulberry tree</w:t>
      </w:r>
    </w:p>
    <w:p w14:paraId="6DCECB50">
      <w:pPr>
        <w:pStyle w:val="56"/>
        <w:ind w:firstLine="420"/>
        <w:rPr>
          <w:rFonts w:ascii="Times New Roman"/>
        </w:rPr>
      </w:pPr>
      <w:r>
        <w:rPr>
          <w:rFonts w:hint="eastAsia"/>
        </w:rPr>
        <w:t>具有</w:t>
      </w:r>
      <w:r>
        <w:rPr>
          <w:rFonts w:ascii="Times New Roman"/>
        </w:rPr>
        <w:t>高产优质桑椹（Mulberries）生产能力的桑属植物（</w:t>
      </w:r>
      <w:r>
        <w:rPr>
          <w:rFonts w:ascii="Times New Roman"/>
          <w:i/>
          <w:iCs/>
        </w:rPr>
        <w:t>Morus</w:t>
      </w:r>
      <w:r>
        <w:rPr>
          <w:rFonts w:ascii="Times New Roman"/>
        </w:rPr>
        <w:t xml:space="preserve"> species）</w:t>
      </w:r>
      <w:r>
        <w:rPr>
          <w:rFonts w:hint="eastAsia" w:ascii="Times New Roman"/>
        </w:rPr>
        <w:t>。</w:t>
      </w:r>
    </w:p>
    <w:p w14:paraId="315AA08B">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鲜食桑椹 </w:t>
      </w:r>
      <w:r>
        <w:rPr>
          <w:rFonts w:ascii="黑体" w:hAnsi="黑体" w:eastAsia="黑体"/>
        </w:rPr>
        <w:t xml:space="preserve"> </w:t>
      </w:r>
      <w:r>
        <w:rPr>
          <w:rFonts w:hint="eastAsia" w:ascii="黑体" w:hAnsi="黑体" w:eastAsia="黑体"/>
        </w:rPr>
        <w:t>f</w:t>
      </w:r>
      <w:r>
        <w:rPr>
          <w:rFonts w:ascii="黑体" w:hAnsi="黑体" w:eastAsia="黑体"/>
        </w:rPr>
        <w:t>resh mulberries</w:t>
      </w:r>
    </w:p>
    <w:p w14:paraId="7CCDBE4C">
      <w:pPr>
        <w:pStyle w:val="56"/>
        <w:ind w:firstLine="420"/>
      </w:pPr>
      <w:r>
        <w:rPr>
          <w:rFonts w:hint="eastAsia"/>
        </w:rPr>
        <w:t>直接</w:t>
      </w:r>
      <w:r>
        <w:t>从桑树（</w:t>
      </w:r>
      <w:r>
        <w:rPr>
          <w:i/>
          <w:iCs/>
        </w:rPr>
        <w:t>Morus alba</w:t>
      </w:r>
      <w:r>
        <w:t>）上采摘，且在短时间内保持其自然状态，未经加工的、经表面处理的、去皮或预切的、冷冻的水果（如烘干、腌制、冷冻等）的富含花青素的新鲜紫色桑椹果实。</w:t>
      </w:r>
    </w:p>
    <w:p w14:paraId="7C0A6696">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规格 </w:t>
      </w:r>
      <w:r>
        <w:rPr>
          <w:rFonts w:ascii="黑体" w:hAnsi="黑体" w:eastAsia="黑体"/>
        </w:rPr>
        <w:t xml:space="preserve"> </w:t>
      </w:r>
      <w:r>
        <w:rPr>
          <w:rFonts w:hint="eastAsia" w:ascii="黑体" w:hAnsi="黑体" w:eastAsia="黑体"/>
        </w:rPr>
        <w:t>sp</w:t>
      </w:r>
      <w:r>
        <w:rPr>
          <w:rFonts w:ascii="黑体" w:hAnsi="黑体" w:eastAsia="黑体"/>
        </w:rPr>
        <w:t>ecification</w:t>
      </w:r>
    </w:p>
    <w:p w14:paraId="360E87CC">
      <w:pPr>
        <w:pStyle w:val="56"/>
        <w:ind w:firstLine="420"/>
        <w:rPr>
          <w:rFonts w:ascii="Times New Roman"/>
          <w:szCs w:val="21"/>
        </w:rPr>
      </w:pPr>
      <w:r>
        <w:rPr>
          <w:rFonts w:hint="eastAsia"/>
        </w:rPr>
        <w:t>桑</w:t>
      </w:r>
      <w:r>
        <w:rPr>
          <w:rFonts w:ascii="Times New Roman"/>
          <w:szCs w:val="21"/>
        </w:rPr>
        <w:t>椹在流通过程中用于区分不同交易品类的依据。</w:t>
      </w:r>
    </w:p>
    <w:p w14:paraId="667C67F6">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等级 </w:t>
      </w:r>
      <w:r>
        <w:rPr>
          <w:rFonts w:ascii="黑体" w:hAnsi="黑体" w:eastAsia="黑体"/>
        </w:rPr>
        <w:t xml:space="preserve"> </w:t>
      </w:r>
      <w:r>
        <w:rPr>
          <w:rFonts w:hint="eastAsia" w:ascii="黑体" w:hAnsi="黑体" w:eastAsia="黑体"/>
        </w:rPr>
        <w:t>g</w:t>
      </w:r>
      <w:r>
        <w:rPr>
          <w:rFonts w:ascii="黑体" w:hAnsi="黑体" w:eastAsia="黑体"/>
        </w:rPr>
        <w:t>rade</w:t>
      </w:r>
    </w:p>
    <w:p w14:paraId="4DAD33D0">
      <w:pPr>
        <w:pStyle w:val="56"/>
        <w:ind w:firstLine="420"/>
        <w:rPr>
          <w:rFonts w:ascii="Times New Roman"/>
          <w:szCs w:val="21"/>
        </w:rPr>
      </w:pPr>
      <w:r>
        <w:rPr>
          <w:rFonts w:hint="eastAsia"/>
        </w:rPr>
        <w:t>在鲜</w:t>
      </w:r>
      <w:r>
        <w:rPr>
          <w:rFonts w:ascii="Times New Roman"/>
          <w:szCs w:val="21"/>
        </w:rPr>
        <w:t>桑椹各规格下，用于区分鲜桑椹品质的交易品种的依据。</w:t>
      </w:r>
    </w:p>
    <w:p w14:paraId="08A99E8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缺陷果 </w:t>
      </w:r>
      <w:r>
        <w:rPr>
          <w:rFonts w:ascii="黑体" w:hAnsi="黑体" w:eastAsia="黑体"/>
        </w:rPr>
        <w:t xml:space="preserve"> </w:t>
      </w:r>
      <w:r>
        <w:rPr>
          <w:rFonts w:hint="eastAsia" w:ascii="黑体" w:hAnsi="黑体" w:eastAsia="黑体"/>
        </w:rPr>
        <w:t>de</w:t>
      </w:r>
      <w:r>
        <w:rPr>
          <w:rFonts w:ascii="黑体" w:hAnsi="黑体" w:eastAsia="黑体"/>
        </w:rPr>
        <w:t>fect fruit</w:t>
      </w:r>
    </w:p>
    <w:p w14:paraId="6E33BDCA">
      <w:pPr>
        <w:pStyle w:val="56"/>
        <w:ind w:firstLine="420"/>
      </w:pPr>
      <w:r>
        <w:rPr>
          <w:rFonts w:hint="eastAsia"/>
        </w:rPr>
        <w:t>存在</w:t>
      </w:r>
      <w:r>
        <w:rPr>
          <w:rFonts w:ascii="Times New Roman"/>
          <w:szCs w:val="21"/>
        </w:rPr>
        <w:t>刺伤、碰伤、压伤、病虫危害、药斑、泥土污染等一种或多种缺陷新鲜桑椹。</w:t>
      </w:r>
    </w:p>
    <w:p w14:paraId="5204EE49">
      <w:pPr>
        <w:pStyle w:val="104"/>
        <w:spacing w:before="312" w:after="312"/>
      </w:pPr>
      <w:bookmarkStart w:id="48" w:name="_Toc186824916"/>
      <w:r>
        <w:rPr>
          <w:rFonts w:hint="eastAsia"/>
        </w:rPr>
        <w:t>一般要求</w:t>
      </w:r>
      <w:bookmarkEnd w:id="48"/>
    </w:p>
    <w:p w14:paraId="223642C2">
      <w:pPr>
        <w:pStyle w:val="105"/>
        <w:spacing w:before="156" w:after="156"/>
        <w:rPr>
          <w:rFonts w:ascii="Times New Roman"/>
        </w:rPr>
      </w:pPr>
      <w:bookmarkStart w:id="49" w:name="_Toc186824917"/>
      <w:r>
        <w:rPr>
          <w:rFonts w:hint="eastAsia"/>
        </w:rPr>
        <w:t>鲜食</w:t>
      </w:r>
      <w:r>
        <w:rPr>
          <w:rFonts w:ascii="Times New Roman"/>
        </w:rPr>
        <w:t>桑椹等级评价的基本要求</w:t>
      </w:r>
      <w:bookmarkEnd w:id="49"/>
    </w:p>
    <w:p w14:paraId="16ABD6F5">
      <w:pPr>
        <w:pStyle w:val="165"/>
      </w:pPr>
      <w:r>
        <w:rPr>
          <w:rFonts w:hint="eastAsia"/>
        </w:rPr>
        <w:t>所有</w:t>
      </w:r>
      <w:r>
        <w:rPr>
          <w:rFonts w:ascii="Times New Roman"/>
        </w:rPr>
        <w:t>鲜食桑椹均应满足以下基本要求：</w:t>
      </w:r>
    </w:p>
    <w:p w14:paraId="59623D9C">
      <w:pPr>
        <w:pStyle w:val="132"/>
      </w:pPr>
      <w:r>
        <w:rPr>
          <w:rFonts w:hint="eastAsia"/>
        </w:rPr>
        <w:t>果</w:t>
      </w:r>
      <w:r>
        <w:rPr>
          <w:rFonts w:ascii="Times New Roman"/>
        </w:rPr>
        <w:t>实新鲜。果面洁净，无肉眼可见杂质</w:t>
      </w:r>
      <w:r>
        <w:rPr>
          <w:rFonts w:hint="eastAsia" w:ascii="Times New Roman"/>
        </w:rPr>
        <w:t>；</w:t>
      </w:r>
    </w:p>
    <w:p w14:paraId="28E263E3">
      <w:pPr>
        <w:pStyle w:val="132"/>
      </w:pPr>
      <w:r>
        <w:rPr>
          <w:rFonts w:ascii="Times New Roman"/>
        </w:rPr>
        <w:t>果形端正。具有该品种固有特征，无畸形果</w:t>
      </w:r>
      <w:r>
        <w:rPr>
          <w:rFonts w:hint="eastAsia" w:ascii="Times New Roman"/>
        </w:rPr>
        <w:t>；</w:t>
      </w:r>
    </w:p>
    <w:p w14:paraId="101EC99E">
      <w:pPr>
        <w:pStyle w:val="132"/>
      </w:pPr>
      <w:r>
        <w:rPr>
          <w:rFonts w:ascii="Times New Roman"/>
        </w:rPr>
        <w:t>色泽明亮。具有该品种成熟时特征色泽，如紫黑色、紫色、紫红色等</w:t>
      </w:r>
      <w:r>
        <w:rPr>
          <w:rFonts w:hint="eastAsia" w:ascii="Times New Roman"/>
        </w:rPr>
        <w:t>；</w:t>
      </w:r>
    </w:p>
    <w:p w14:paraId="08297730">
      <w:pPr>
        <w:pStyle w:val="132"/>
      </w:pPr>
      <w:r>
        <w:rPr>
          <w:rFonts w:ascii="Times New Roman"/>
        </w:rPr>
        <w:t>风味浓郁。在该品种成熟适度时具有其固有风味和香气，无异味</w:t>
      </w:r>
      <w:r>
        <w:rPr>
          <w:rFonts w:hint="eastAsia" w:ascii="Times New Roman"/>
        </w:rPr>
        <w:t>；</w:t>
      </w:r>
    </w:p>
    <w:p w14:paraId="39CE162C">
      <w:pPr>
        <w:pStyle w:val="132"/>
      </w:pPr>
      <w:r>
        <w:rPr>
          <w:rFonts w:ascii="Times New Roman"/>
        </w:rPr>
        <w:t>果实完好。无腐烂、霉变，无药害、无病虫果。</w:t>
      </w:r>
    </w:p>
    <w:p w14:paraId="3235767E">
      <w:pPr>
        <w:pStyle w:val="165"/>
      </w:pPr>
      <w:r>
        <w:rPr>
          <w:rFonts w:hint="eastAsia"/>
        </w:rPr>
        <w:t>桑椹</w:t>
      </w:r>
      <w:r>
        <w:t>的安全卫生指标应符合</w:t>
      </w:r>
      <w:r>
        <w:rPr>
          <w:rFonts w:hint="eastAsia"/>
        </w:rPr>
        <w:t xml:space="preserve"> </w:t>
      </w:r>
      <w:r>
        <w:t>GB 2763中关于</w:t>
      </w:r>
      <w:r>
        <w:rPr>
          <w:rFonts w:hAnsi="宋体"/>
        </w:rPr>
        <w:t>“</w:t>
      </w:r>
      <w:r>
        <w:t>浆果和其他小型类水果</w:t>
      </w:r>
      <w:r>
        <w:rPr>
          <w:rFonts w:hint="eastAsia"/>
        </w:rPr>
        <w:t>”农药最大残留量</w:t>
      </w:r>
      <w:r>
        <w:t>规定和GB 2762</w:t>
      </w:r>
      <w:r>
        <w:rPr>
          <w:rFonts w:hint="eastAsia"/>
        </w:rPr>
        <w:t>—</w:t>
      </w:r>
      <w:r>
        <w:t>2022</w:t>
      </w:r>
      <w:r>
        <w:rPr>
          <w:rFonts w:hint="eastAsia"/>
        </w:rPr>
        <w:t xml:space="preserve"> </w:t>
      </w:r>
      <w:r>
        <w:t>中</w:t>
      </w:r>
      <w:r>
        <w:rPr>
          <w:rFonts w:hint="eastAsia"/>
        </w:rPr>
        <w:t>“</w:t>
      </w:r>
      <w:r>
        <w:t>新鲜水果</w:t>
      </w:r>
      <w:r>
        <w:rPr>
          <w:rFonts w:hint="eastAsia"/>
        </w:rPr>
        <w:t>”的污染物限量</w:t>
      </w:r>
      <w:r>
        <w:t>规定。</w:t>
      </w:r>
    </w:p>
    <w:p w14:paraId="480F97D0">
      <w:pPr>
        <w:pStyle w:val="105"/>
        <w:spacing w:before="156" w:after="156"/>
        <w:rPr>
          <w:rFonts w:ascii="Times New Roman"/>
        </w:rPr>
      </w:pPr>
      <w:bookmarkStart w:id="50" w:name="_Toc186824918"/>
      <w:r>
        <w:rPr>
          <w:rFonts w:hint="eastAsia"/>
        </w:rPr>
        <w:t>鲜食</w:t>
      </w:r>
      <w:r>
        <w:rPr>
          <w:rFonts w:ascii="Times New Roman"/>
        </w:rPr>
        <w:t>桑椹的规格</w:t>
      </w:r>
      <w:bookmarkEnd w:id="50"/>
    </w:p>
    <w:p w14:paraId="193FF0D0">
      <w:pPr>
        <w:pStyle w:val="56"/>
        <w:ind w:firstLine="420"/>
      </w:pPr>
      <w:r>
        <w:rPr>
          <w:rFonts w:hint="eastAsia"/>
        </w:rPr>
        <w:t>鲜</w:t>
      </w:r>
      <w:r>
        <w:rPr>
          <w:rFonts w:ascii="Times New Roman"/>
        </w:rPr>
        <w:t>食桑椹以单果质量为指标，分为大（L）、中（M）、小（S）三个规格，各规格的划分标准见表1。</w:t>
      </w:r>
    </w:p>
    <w:p w14:paraId="450624C4">
      <w:pPr>
        <w:pStyle w:val="112"/>
        <w:spacing w:before="156" w:after="156"/>
      </w:pPr>
      <w:r>
        <w:rPr>
          <w:rFonts w:hint="eastAsia"/>
        </w:rPr>
        <w:t>鲜食桑椹的规格</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6"/>
        <w:gridCol w:w="2336"/>
        <w:gridCol w:w="2336"/>
        <w:gridCol w:w="2336"/>
      </w:tblGrid>
      <w:tr w14:paraId="7DA704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6" w:type="dxa"/>
            <w:tcBorders>
              <w:top w:val="single" w:color="auto" w:sz="8" w:space="0"/>
              <w:bottom w:val="single" w:color="auto" w:sz="8" w:space="0"/>
            </w:tcBorders>
            <w:shd w:val="clear" w:color="auto" w:fill="auto"/>
            <w:vAlign w:val="center"/>
          </w:tcPr>
          <w:p w14:paraId="17BD5ECE">
            <w:pPr>
              <w:pStyle w:val="178"/>
            </w:pPr>
            <w:r>
              <w:rPr>
                <w:rFonts w:hint="eastAsia"/>
              </w:rPr>
              <w:t>规格</w:t>
            </w:r>
          </w:p>
        </w:tc>
        <w:tc>
          <w:tcPr>
            <w:tcW w:w="2336" w:type="dxa"/>
            <w:tcBorders>
              <w:top w:val="single" w:color="auto" w:sz="8" w:space="0"/>
              <w:bottom w:val="single" w:color="auto" w:sz="8" w:space="0"/>
            </w:tcBorders>
            <w:shd w:val="clear" w:color="auto" w:fill="auto"/>
            <w:vAlign w:val="center"/>
          </w:tcPr>
          <w:p w14:paraId="56EAB204">
            <w:pPr>
              <w:pStyle w:val="178"/>
            </w:pPr>
            <w:r>
              <w:rPr>
                <w:rFonts w:hint="eastAsia"/>
              </w:rPr>
              <w:t>大（L）</w:t>
            </w:r>
          </w:p>
        </w:tc>
        <w:tc>
          <w:tcPr>
            <w:tcW w:w="2336" w:type="dxa"/>
            <w:tcBorders>
              <w:top w:val="single" w:color="auto" w:sz="8" w:space="0"/>
              <w:bottom w:val="single" w:color="auto" w:sz="8" w:space="0"/>
            </w:tcBorders>
            <w:shd w:val="clear" w:color="auto" w:fill="auto"/>
            <w:vAlign w:val="center"/>
          </w:tcPr>
          <w:p w14:paraId="04BC319A">
            <w:pPr>
              <w:pStyle w:val="178"/>
            </w:pPr>
            <w:r>
              <w:rPr>
                <w:rFonts w:hint="eastAsia"/>
              </w:rPr>
              <w:t>中（M）</w:t>
            </w:r>
          </w:p>
        </w:tc>
        <w:tc>
          <w:tcPr>
            <w:tcW w:w="2336" w:type="dxa"/>
            <w:tcBorders>
              <w:top w:val="single" w:color="auto" w:sz="8" w:space="0"/>
              <w:bottom w:val="single" w:color="auto" w:sz="8" w:space="0"/>
            </w:tcBorders>
            <w:shd w:val="clear" w:color="auto" w:fill="auto"/>
            <w:vAlign w:val="center"/>
          </w:tcPr>
          <w:p w14:paraId="42C794DF">
            <w:pPr>
              <w:pStyle w:val="178"/>
            </w:pPr>
            <w:r>
              <w:rPr>
                <w:rFonts w:hint="eastAsia"/>
              </w:rPr>
              <w:t>小（S）</w:t>
            </w:r>
          </w:p>
        </w:tc>
      </w:tr>
      <w:tr w14:paraId="6BCD17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tcBorders>
              <w:top w:val="single" w:color="auto" w:sz="8" w:space="0"/>
            </w:tcBorders>
            <w:shd w:val="clear" w:color="auto" w:fill="auto"/>
            <w:vAlign w:val="center"/>
          </w:tcPr>
          <w:p w14:paraId="0B564D05">
            <w:pPr>
              <w:pStyle w:val="178"/>
            </w:pPr>
            <w:r>
              <w:rPr>
                <w:rFonts w:hint="eastAsia"/>
              </w:rPr>
              <w:t>单果质量</w:t>
            </w:r>
            <w:r>
              <w:rPr>
                <w:rFonts w:hint="eastAsia"/>
                <w:i/>
                <w:iCs/>
              </w:rPr>
              <w:t>M</w:t>
            </w:r>
            <w:r>
              <w:rPr>
                <w:rFonts w:hint="eastAsia"/>
              </w:rPr>
              <w:t>（</w:t>
            </w:r>
            <w:r>
              <w:rPr>
                <w:rFonts w:hint="eastAsia" w:hAnsi="宋体"/>
              </w:rPr>
              <w:t>g</w:t>
            </w:r>
            <w:r>
              <w:rPr>
                <w:rFonts w:hint="eastAsia"/>
              </w:rPr>
              <w:t>）</w:t>
            </w:r>
          </w:p>
        </w:tc>
        <w:tc>
          <w:tcPr>
            <w:tcW w:w="2336" w:type="dxa"/>
            <w:tcBorders>
              <w:top w:val="single" w:color="auto" w:sz="8" w:space="0"/>
            </w:tcBorders>
            <w:shd w:val="clear" w:color="auto" w:fill="auto"/>
            <w:vAlign w:val="center"/>
          </w:tcPr>
          <w:p w14:paraId="08D56301">
            <w:pPr>
              <w:pStyle w:val="178"/>
            </w:pPr>
            <w:r>
              <w:rPr>
                <w:rFonts w:hint="eastAsia"/>
                <w:i/>
                <w:iCs/>
              </w:rPr>
              <w:t>M</w:t>
            </w:r>
            <w:r>
              <w:rPr>
                <w:rFonts w:hint="eastAsia"/>
              </w:rPr>
              <w:t>≥4</w:t>
            </w:r>
            <w:r>
              <w:t>.0</w:t>
            </w:r>
          </w:p>
        </w:tc>
        <w:tc>
          <w:tcPr>
            <w:tcW w:w="2336" w:type="dxa"/>
            <w:tcBorders>
              <w:top w:val="single" w:color="auto" w:sz="8" w:space="0"/>
            </w:tcBorders>
            <w:shd w:val="clear" w:color="auto" w:fill="auto"/>
            <w:vAlign w:val="center"/>
          </w:tcPr>
          <w:p w14:paraId="7D43DAF3">
            <w:pPr>
              <w:pStyle w:val="178"/>
            </w:pPr>
            <w:r>
              <w:rPr>
                <w:rFonts w:hint="eastAsia"/>
              </w:rPr>
              <w:t>4</w:t>
            </w:r>
            <w:r>
              <w:t>.0</w:t>
            </w:r>
            <w:r>
              <w:rPr>
                <w:rFonts w:hint="eastAsia"/>
              </w:rPr>
              <w:t>＞</w:t>
            </w:r>
            <w:r>
              <w:rPr>
                <w:rFonts w:hint="eastAsia"/>
                <w:i/>
                <w:iCs/>
              </w:rPr>
              <w:t>M</w:t>
            </w:r>
            <w:r>
              <w:rPr>
                <w:rFonts w:hint="eastAsia"/>
              </w:rPr>
              <w:t>≥2</w:t>
            </w:r>
            <w:r>
              <w:t>.0</w:t>
            </w:r>
          </w:p>
        </w:tc>
        <w:tc>
          <w:tcPr>
            <w:tcW w:w="2336" w:type="dxa"/>
            <w:tcBorders>
              <w:top w:val="single" w:color="auto" w:sz="8" w:space="0"/>
            </w:tcBorders>
            <w:shd w:val="clear" w:color="auto" w:fill="auto"/>
            <w:vAlign w:val="center"/>
          </w:tcPr>
          <w:p w14:paraId="2F33A852">
            <w:pPr>
              <w:pStyle w:val="178"/>
            </w:pPr>
            <w:r>
              <w:rPr>
                <w:rFonts w:hint="eastAsia"/>
                <w:i/>
                <w:iCs/>
              </w:rPr>
              <w:t>M</w:t>
            </w:r>
            <w:r>
              <w:rPr>
                <w:rFonts w:hint="eastAsia"/>
              </w:rPr>
              <w:t>＜2</w:t>
            </w:r>
            <w:r>
              <w:t>.0</w:t>
            </w:r>
          </w:p>
        </w:tc>
      </w:tr>
    </w:tbl>
    <w:p w14:paraId="361E730B">
      <w:pPr>
        <w:pStyle w:val="105"/>
        <w:spacing w:before="156" w:after="156"/>
      </w:pPr>
      <w:bookmarkStart w:id="51" w:name="_Toc186824919"/>
      <w:r>
        <w:rPr>
          <w:rFonts w:hint="eastAsia"/>
        </w:rPr>
        <w:t>鲜食桑椹的等级</w:t>
      </w:r>
      <w:bookmarkEnd w:id="51"/>
    </w:p>
    <w:p w14:paraId="49304BEE">
      <w:pPr>
        <w:pStyle w:val="56"/>
        <w:ind w:firstLine="420"/>
      </w:pPr>
      <w:r>
        <w:rPr>
          <w:rFonts w:hint="eastAsia"/>
        </w:rPr>
        <w:t>鲜食</w:t>
      </w:r>
      <w:r>
        <w:t>桑椹的等级主要依据其果实的饱满度、果梗的新鲜度、缺陷果的比例和碰压伤情况，划分为特级、一级和二级（表</w:t>
      </w:r>
      <w:r>
        <w:rPr>
          <w:rFonts w:hint="eastAsia"/>
        </w:rPr>
        <w:t xml:space="preserve"> </w:t>
      </w:r>
      <w:r>
        <w:t>2</w:t>
      </w:r>
      <w:r>
        <w:rPr>
          <w:rFonts w:hint="eastAsia"/>
        </w:rPr>
        <w:t>）</w:t>
      </w:r>
      <w:r>
        <w:t>。</w:t>
      </w:r>
    </w:p>
    <w:p w14:paraId="5CDDC89E">
      <w:pPr>
        <w:pStyle w:val="112"/>
        <w:spacing w:before="156" w:after="156"/>
        <w:rPr>
          <w:rFonts w:ascii="Times New Roman"/>
        </w:rPr>
      </w:pPr>
      <w:r>
        <w:rPr>
          <w:rFonts w:hint="eastAsia"/>
        </w:rPr>
        <w:t>鲜食</w:t>
      </w:r>
      <w:r>
        <w:rPr>
          <w:rFonts w:ascii="Times New Roman"/>
        </w:rPr>
        <w:t>桑椹的等级</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276"/>
        <w:gridCol w:w="992"/>
        <w:gridCol w:w="2126"/>
        <w:gridCol w:w="1431"/>
        <w:gridCol w:w="1334"/>
        <w:gridCol w:w="1334"/>
      </w:tblGrid>
      <w:tr w14:paraId="6CD44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1" w:type="dxa"/>
            <w:tcBorders>
              <w:top w:val="single" w:color="auto" w:sz="8" w:space="0"/>
              <w:bottom w:val="single" w:color="auto" w:sz="8" w:space="0"/>
            </w:tcBorders>
            <w:shd w:val="clear" w:color="auto" w:fill="auto"/>
            <w:vAlign w:val="center"/>
          </w:tcPr>
          <w:p w14:paraId="43664976">
            <w:pPr>
              <w:pStyle w:val="178"/>
            </w:pPr>
            <w:r>
              <w:rPr>
                <w:rFonts w:hint="eastAsia"/>
              </w:rPr>
              <w:t>等级</w:t>
            </w:r>
          </w:p>
        </w:tc>
        <w:tc>
          <w:tcPr>
            <w:tcW w:w="1276" w:type="dxa"/>
            <w:tcBorders>
              <w:top w:val="single" w:color="auto" w:sz="8" w:space="0"/>
              <w:bottom w:val="single" w:color="auto" w:sz="8" w:space="0"/>
            </w:tcBorders>
            <w:shd w:val="clear" w:color="auto" w:fill="auto"/>
            <w:vAlign w:val="center"/>
          </w:tcPr>
          <w:p w14:paraId="461D1B91">
            <w:pPr>
              <w:pStyle w:val="178"/>
            </w:pPr>
            <w:r>
              <w:rPr>
                <w:rFonts w:hint="eastAsia"/>
              </w:rPr>
              <w:t>可</w:t>
            </w:r>
            <w:r>
              <w:t>溶性固形物</w:t>
            </w:r>
          </w:p>
        </w:tc>
        <w:tc>
          <w:tcPr>
            <w:tcW w:w="992" w:type="dxa"/>
            <w:tcBorders>
              <w:top w:val="single" w:color="auto" w:sz="8" w:space="0"/>
              <w:bottom w:val="single" w:color="auto" w:sz="8" w:space="0"/>
            </w:tcBorders>
            <w:shd w:val="clear" w:color="auto" w:fill="auto"/>
            <w:vAlign w:val="center"/>
          </w:tcPr>
          <w:p w14:paraId="65B77280">
            <w:pPr>
              <w:pStyle w:val="178"/>
            </w:pPr>
            <w:r>
              <w:rPr>
                <w:rFonts w:hint="eastAsia"/>
              </w:rPr>
              <w:t>果</w:t>
            </w:r>
            <w:r>
              <w:rPr>
                <w:rFonts w:ascii="Times New Roman"/>
              </w:rPr>
              <w:t>穗</w:t>
            </w:r>
          </w:p>
        </w:tc>
        <w:tc>
          <w:tcPr>
            <w:tcW w:w="2126" w:type="dxa"/>
            <w:tcBorders>
              <w:top w:val="single" w:color="auto" w:sz="8" w:space="0"/>
              <w:bottom w:val="single" w:color="auto" w:sz="8" w:space="0"/>
            </w:tcBorders>
            <w:shd w:val="clear" w:color="auto" w:fill="auto"/>
            <w:vAlign w:val="center"/>
          </w:tcPr>
          <w:p w14:paraId="49B076C2">
            <w:pPr>
              <w:pStyle w:val="178"/>
            </w:pPr>
            <w:r>
              <w:rPr>
                <w:rFonts w:hint="eastAsia"/>
              </w:rPr>
              <w:t>果</w:t>
            </w:r>
            <w:r>
              <w:rPr>
                <w:rFonts w:ascii="Times New Roman"/>
              </w:rPr>
              <w:t>梗</w:t>
            </w:r>
          </w:p>
        </w:tc>
        <w:tc>
          <w:tcPr>
            <w:tcW w:w="1431" w:type="dxa"/>
            <w:tcBorders>
              <w:top w:val="single" w:color="auto" w:sz="8" w:space="0"/>
              <w:bottom w:val="single" w:color="auto" w:sz="8" w:space="0"/>
            </w:tcBorders>
            <w:shd w:val="clear" w:color="auto" w:fill="auto"/>
            <w:vAlign w:val="center"/>
          </w:tcPr>
          <w:p w14:paraId="11C8DDA6">
            <w:pPr>
              <w:pStyle w:val="178"/>
            </w:pPr>
            <w:r>
              <w:rPr>
                <w:rFonts w:hint="eastAsia"/>
              </w:rPr>
              <w:t>碰</w:t>
            </w:r>
            <w:r>
              <w:rPr>
                <w:rFonts w:ascii="Times New Roman"/>
              </w:rPr>
              <w:t>压伤</w:t>
            </w:r>
          </w:p>
        </w:tc>
        <w:tc>
          <w:tcPr>
            <w:tcW w:w="1334" w:type="dxa"/>
            <w:tcBorders>
              <w:top w:val="single" w:color="auto" w:sz="8" w:space="0"/>
              <w:bottom w:val="single" w:color="auto" w:sz="8" w:space="0"/>
            </w:tcBorders>
            <w:shd w:val="clear" w:color="auto" w:fill="auto"/>
            <w:vAlign w:val="center"/>
          </w:tcPr>
          <w:p w14:paraId="61EBF5BB">
            <w:pPr>
              <w:pStyle w:val="178"/>
            </w:pPr>
            <w:r>
              <w:rPr>
                <w:rFonts w:hint="eastAsia"/>
              </w:rPr>
              <w:t>虫</w:t>
            </w:r>
            <w:r>
              <w:rPr>
                <w:rFonts w:ascii="Times New Roman"/>
              </w:rPr>
              <w:t>伤</w:t>
            </w:r>
          </w:p>
        </w:tc>
        <w:tc>
          <w:tcPr>
            <w:tcW w:w="1334" w:type="dxa"/>
            <w:tcBorders>
              <w:top w:val="single" w:color="auto" w:sz="8" w:space="0"/>
              <w:bottom w:val="single" w:color="auto" w:sz="8" w:space="0"/>
            </w:tcBorders>
            <w:shd w:val="clear" w:color="auto" w:fill="auto"/>
            <w:vAlign w:val="center"/>
          </w:tcPr>
          <w:p w14:paraId="343EEB43">
            <w:pPr>
              <w:pStyle w:val="178"/>
            </w:pPr>
            <w:r>
              <w:rPr>
                <w:rFonts w:hint="eastAsia"/>
              </w:rPr>
              <w:t>杂质</w:t>
            </w:r>
          </w:p>
        </w:tc>
      </w:tr>
      <w:tr w14:paraId="4D1F0B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Borders>
              <w:top w:val="single" w:color="auto" w:sz="8" w:space="0"/>
            </w:tcBorders>
            <w:shd w:val="clear" w:color="auto" w:fill="auto"/>
            <w:vAlign w:val="center"/>
          </w:tcPr>
          <w:p w14:paraId="27611F08">
            <w:pPr>
              <w:pStyle w:val="178"/>
            </w:pPr>
            <w:r>
              <w:rPr>
                <w:rFonts w:hint="eastAsia"/>
              </w:rPr>
              <w:t>特级</w:t>
            </w:r>
          </w:p>
        </w:tc>
        <w:tc>
          <w:tcPr>
            <w:tcW w:w="1276" w:type="dxa"/>
            <w:tcBorders>
              <w:top w:val="single" w:color="auto" w:sz="8" w:space="0"/>
            </w:tcBorders>
            <w:shd w:val="clear" w:color="auto" w:fill="auto"/>
            <w:vAlign w:val="center"/>
          </w:tcPr>
          <w:p w14:paraId="53F02BEE">
            <w:pPr>
              <w:pStyle w:val="178"/>
            </w:pPr>
            <w:r>
              <w:rPr>
                <w:rFonts w:hint="eastAsia"/>
              </w:rPr>
              <w:t>≥1</w:t>
            </w:r>
            <w:r>
              <w:t xml:space="preserve">6 </w:t>
            </w:r>
            <w:r>
              <w:rPr>
                <w:rFonts w:hint="eastAsia" w:hAnsi="宋体"/>
              </w:rPr>
              <w:t>％</w:t>
            </w:r>
          </w:p>
        </w:tc>
        <w:tc>
          <w:tcPr>
            <w:tcW w:w="992" w:type="dxa"/>
            <w:tcBorders>
              <w:top w:val="single" w:color="auto" w:sz="8" w:space="0"/>
            </w:tcBorders>
            <w:shd w:val="clear" w:color="auto" w:fill="auto"/>
            <w:vAlign w:val="center"/>
          </w:tcPr>
          <w:p w14:paraId="3FD221E0">
            <w:pPr>
              <w:pStyle w:val="178"/>
            </w:pPr>
            <w:r>
              <w:rPr>
                <w:rFonts w:hint="eastAsia"/>
              </w:rPr>
              <w:t>饱满</w:t>
            </w:r>
          </w:p>
        </w:tc>
        <w:tc>
          <w:tcPr>
            <w:tcW w:w="2126" w:type="dxa"/>
            <w:tcBorders>
              <w:top w:val="single" w:color="auto" w:sz="8" w:space="0"/>
            </w:tcBorders>
            <w:shd w:val="clear" w:color="auto" w:fill="auto"/>
            <w:vAlign w:val="center"/>
          </w:tcPr>
          <w:p w14:paraId="7B6A7519">
            <w:pPr>
              <w:pStyle w:val="178"/>
            </w:pPr>
            <w:r>
              <w:rPr>
                <w:rFonts w:hint="eastAsia"/>
              </w:rPr>
              <w:t>新鲜（</w:t>
            </w:r>
            <w:r>
              <w:t>颜色翠绿，不干枯，无萎蔫，无褐变</w:t>
            </w:r>
            <w:r>
              <w:rPr>
                <w:rFonts w:hint="eastAsia"/>
              </w:rPr>
              <w:t>）</w:t>
            </w:r>
          </w:p>
        </w:tc>
        <w:tc>
          <w:tcPr>
            <w:tcW w:w="1431" w:type="dxa"/>
            <w:tcBorders>
              <w:top w:val="single" w:color="auto" w:sz="8" w:space="0"/>
            </w:tcBorders>
            <w:shd w:val="clear" w:color="auto" w:fill="auto"/>
            <w:vAlign w:val="center"/>
          </w:tcPr>
          <w:p w14:paraId="3E1B4169">
            <w:pPr>
              <w:pStyle w:val="178"/>
            </w:pPr>
            <w:r>
              <w:rPr>
                <w:rFonts w:hint="eastAsia"/>
              </w:rPr>
              <w:t>允许</w:t>
            </w:r>
            <w:r>
              <w:rPr>
                <w:rFonts w:ascii="Times New Roman"/>
              </w:rPr>
              <w:t>轻微碰压伤，</w:t>
            </w:r>
            <w:r>
              <w:rPr>
                <w:rFonts w:hint="eastAsia" w:ascii="Times New Roman"/>
              </w:rPr>
              <w:t>损伤率≤1</w:t>
            </w:r>
            <w:r>
              <w:rPr>
                <w:rFonts w:ascii="Times New Roman"/>
              </w:rPr>
              <w:t xml:space="preserve"> </w:t>
            </w:r>
            <w:r>
              <w:rPr>
                <w:rFonts w:hint="eastAsia" w:hAnsi="宋体"/>
              </w:rPr>
              <w:t>％</w:t>
            </w:r>
          </w:p>
        </w:tc>
        <w:tc>
          <w:tcPr>
            <w:tcW w:w="1334" w:type="dxa"/>
            <w:tcBorders>
              <w:top w:val="single" w:color="auto" w:sz="8" w:space="0"/>
            </w:tcBorders>
            <w:shd w:val="clear" w:color="auto" w:fill="auto"/>
            <w:vAlign w:val="center"/>
          </w:tcPr>
          <w:p w14:paraId="36A92067">
            <w:pPr>
              <w:pStyle w:val="178"/>
            </w:pPr>
            <w:r>
              <w:rPr>
                <w:rFonts w:hint="eastAsia"/>
              </w:rPr>
              <w:t>无</w:t>
            </w:r>
          </w:p>
        </w:tc>
        <w:tc>
          <w:tcPr>
            <w:tcW w:w="1334" w:type="dxa"/>
            <w:tcBorders>
              <w:top w:val="single" w:color="auto" w:sz="8" w:space="0"/>
            </w:tcBorders>
            <w:shd w:val="clear" w:color="auto" w:fill="auto"/>
            <w:vAlign w:val="center"/>
          </w:tcPr>
          <w:p w14:paraId="114CDF4B">
            <w:pPr>
              <w:pStyle w:val="178"/>
            </w:pPr>
            <w:r>
              <w:rPr>
                <w:rFonts w:hint="eastAsia"/>
              </w:rPr>
              <w:t>无</w:t>
            </w:r>
          </w:p>
        </w:tc>
      </w:tr>
      <w:tr w14:paraId="53502E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3B16683D">
            <w:pPr>
              <w:pStyle w:val="178"/>
            </w:pPr>
            <w:r>
              <w:rPr>
                <w:rFonts w:hint="eastAsia"/>
              </w:rPr>
              <w:t>一级</w:t>
            </w:r>
          </w:p>
        </w:tc>
        <w:tc>
          <w:tcPr>
            <w:tcW w:w="1276" w:type="dxa"/>
            <w:shd w:val="clear" w:color="auto" w:fill="auto"/>
            <w:vAlign w:val="center"/>
          </w:tcPr>
          <w:p w14:paraId="65A9AEEB">
            <w:pPr>
              <w:pStyle w:val="178"/>
            </w:pPr>
            <w:r>
              <w:rPr>
                <w:rFonts w:hint="eastAsia"/>
              </w:rPr>
              <w:t>≥1</w:t>
            </w:r>
            <w:r>
              <w:t xml:space="preserve">4 </w:t>
            </w:r>
            <w:r>
              <w:rPr>
                <w:rFonts w:hint="eastAsia" w:hAnsi="宋体"/>
              </w:rPr>
              <w:t>％</w:t>
            </w:r>
          </w:p>
        </w:tc>
        <w:tc>
          <w:tcPr>
            <w:tcW w:w="992" w:type="dxa"/>
            <w:shd w:val="clear" w:color="auto" w:fill="auto"/>
            <w:vAlign w:val="center"/>
          </w:tcPr>
          <w:p w14:paraId="39A86781">
            <w:pPr>
              <w:pStyle w:val="178"/>
            </w:pPr>
            <w:r>
              <w:rPr>
                <w:rFonts w:hint="eastAsia"/>
              </w:rPr>
              <w:t>饱满</w:t>
            </w:r>
          </w:p>
        </w:tc>
        <w:tc>
          <w:tcPr>
            <w:tcW w:w="2126" w:type="dxa"/>
            <w:shd w:val="clear" w:color="auto" w:fill="auto"/>
            <w:vAlign w:val="center"/>
          </w:tcPr>
          <w:p w14:paraId="0C979C8E">
            <w:pPr>
              <w:pStyle w:val="178"/>
            </w:pPr>
            <w:r>
              <w:rPr>
                <w:rFonts w:hint="eastAsia"/>
              </w:rPr>
              <w:t>基本新鲜（颜色呈</w:t>
            </w:r>
            <w:r>
              <w:rPr>
                <w:rFonts w:ascii="Times New Roman"/>
              </w:rPr>
              <w:t>淡绿色或黄绿色，轻度失水，稍有褐变</w:t>
            </w:r>
            <w:r>
              <w:rPr>
                <w:rFonts w:hint="eastAsia"/>
              </w:rPr>
              <w:t>）</w:t>
            </w:r>
          </w:p>
        </w:tc>
        <w:tc>
          <w:tcPr>
            <w:tcW w:w="1431" w:type="dxa"/>
            <w:shd w:val="clear" w:color="auto" w:fill="auto"/>
            <w:vAlign w:val="center"/>
          </w:tcPr>
          <w:p w14:paraId="2F5D9B26">
            <w:pPr>
              <w:pStyle w:val="178"/>
            </w:pPr>
            <w:r>
              <w:rPr>
                <w:rFonts w:hint="eastAsia" w:ascii="Times New Roman"/>
              </w:rPr>
              <w:t xml:space="preserve">损伤率≤ </w:t>
            </w:r>
            <w:r>
              <w:rPr>
                <w:rFonts w:ascii="Times New Roman"/>
              </w:rPr>
              <w:t xml:space="preserve">3 </w:t>
            </w:r>
            <w:r>
              <w:rPr>
                <w:rFonts w:hint="eastAsia" w:hAnsi="宋体"/>
              </w:rPr>
              <w:t>％</w:t>
            </w:r>
          </w:p>
        </w:tc>
        <w:tc>
          <w:tcPr>
            <w:tcW w:w="1334" w:type="dxa"/>
            <w:shd w:val="clear" w:color="auto" w:fill="auto"/>
            <w:vAlign w:val="center"/>
          </w:tcPr>
          <w:p w14:paraId="3515D70C">
            <w:pPr>
              <w:pStyle w:val="178"/>
            </w:pPr>
            <w:r>
              <w:rPr>
                <w:rFonts w:hint="eastAsia" w:ascii="Times New Roman"/>
              </w:rPr>
              <w:t xml:space="preserve">损伤率≤ </w:t>
            </w:r>
            <w:r>
              <w:rPr>
                <w:rFonts w:ascii="Times New Roman"/>
              </w:rPr>
              <w:t xml:space="preserve">6 </w:t>
            </w:r>
            <w:r>
              <w:rPr>
                <w:rFonts w:hint="eastAsia" w:hAnsi="宋体"/>
              </w:rPr>
              <w:t>％</w:t>
            </w:r>
          </w:p>
        </w:tc>
        <w:tc>
          <w:tcPr>
            <w:tcW w:w="1334" w:type="dxa"/>
            <w:shd w:val="clear" w:color="auto" w:fill="auto"/>
            <w:vAlign w:val="center"/>
          </w:tcPr>
          <w:p w14:paraId="21E7C3D3">
            <w:pPr>
              <w:pStyle w:val="178"/>
            </w:pPr>
            <w:r>
              <w:rPr>
                <w:rFonts w:hint="eastAsia"/>
              </w:rPr>
              <w:t>无</w:t>
            </w:r>
          </w:p>
        </w:tc>
      </w:tr>
      <w:tr w14:paraId="4FC837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14:paraId="461B5F17">
            <w:pPr>
              <w:pStyle w:val="178"/>
            </w:pPr>
            <w:r>
              <w:rPr>
                <w:rFonts w:hint="eastAsia"/>
              </w:rPr>
              <w:t>二级</w:t>
            </w:r>
          </w:p>
        </w:tc>
        <w:tc>
          <w:tcPr>
            <w:tcW w:w="1276" w:type="dxa"/>
            <w:shd w:val="clear" w:color="auto" w:fill="auto"/>
            <w:vAlign w:val="center"/>
          </w:tcPr>
          <w:p w14:paraId="231BD0B2">
            <w:pPr>
              <w:pStyle w:val="178"/>
            </w:pPr>
            <w:r>
              <w:rPr>
                <w:rFonts w:hint="eastAsia"/>
              </w:rPr>
              <w:t>≥1</w:t>
            </w:r>
            <w:r>
              <w:t xml:space="preserve">2 </w:t>
            </w:r>
            <w:r>
              <w:rPr>
                <w:rFonts w:hint="eastAsia" w:hAnsi="宋体"/>
              </w:rPr>
              <w:t>％</w:t>
            </w:r>
          </w:p>
        </w:tc>
        <w:tc>
          <w:tcPr>
            <w:tcW w:w="992" w:type="dxa"/>
            <w:shd w:val="clear" w:color="auto" w:fill="auto"/>
            <w:vAlign w:val="center"/>
          </w:tcPr>
          <w:p w14:paraId="7D22003F">
            <w:pPr>
              <w:pStyle w:val="178"/>
            </w:pPr>
            <w:r>
              <w:rPr>
                <w:rFonts w:hint="eastAsia"/>
              </w:rPr>
              <w:t>比较饱满</w:t>
            </w:r>
          </w:p>
        </w:tc>
        <w:tc>
          <w:tcPr>
            <w:tcW w:w="2126" w:type="dxa"/>
            <w:shd w:val="clear" w:color="auto" w:fill="auto"/>
            <w:vAlign w:val="center"/>
          </w:tcPr>
          <w:p w14:paraId="1C706AF3">
            <w:pPr>
              <w:pStyle w:val="178"/>
            </w:pPr>
            <w:r>
              <w:rPr>
                <w:rFonts w:hint="eastAsia"/>
              </w:rPr>
              <w:t>基本新鲜</w:t>
            </w:r>
          </w:p>
        </w:tc>
        <w:tc>
          <w:tcPr>
            <w:tcW w:w="1431" w:type="dxa"/>
            <w:shd w:val="clear" w:color="auto" w:fill="auto"/>
            <w:vAlign w:val="center"/>
          </w:tcPr>
          <w:p w14:paraId="1FC39BB6">
            <w:pPr>
              <w:pStyle w:val="178"/>
            </w:pPr>
            <w:r>
              <w:rPr>
                <w:rFonts w:hint="eastAsia" w:ascii="Times New Roman"/>
              </w:rPr>
              <w:t xml:space="preserve">损伤率≤ </w:t>
            </w:r>
            <w:r>
              <w:rPr>
                <w:rFonts w:ascii="Times New Roman"/>
              </w:rPr>
              <w:t xml:space="preserve">5 </w:t>
            </w:r>
            <w:r>
              <w:rPr>
                <w:rFonts w:hint="eastAsia" w:hAnsi="宋体"/>
              </w:rPr>
              <w:t>％</w:t>
            </w:r>
          </w:p>
        </w:tc>
        <w:tc>
          <w:tcPr>
            <w:tcW w:w="1334" w:type="dxa"/>
            <w:shd w:val="clear" w:color="auto" w:fill="auto"/>
            <w:vAlign w:val="center"/>
          </w:tcPr>
          <w:p w14:paraId="2E3947C5">
            <w:pPr>
              <w:pStyle w:val="178"/>
            </w:pPr>
            <w:r>
              <w:rPr>
                <w:rFonts w:hint="eastAsia" w:ascii="Times New Roman"/>
              </w:rPr>
              <w:t xml:space="preserve">损伤率≤ </w:t>
            </w:r>
            <w:r>
              <w:rPr>
                <w:rFonts w:ascii="Times New Roman"/>
              </w:rPr>
              <w:t xml:space="preserve">10 </w:t>
            </w:r>
            <w:r>
              <w:rPr>
                <w:rFonts w:hint="eastAsia" w:hAnsi="宋体"/>
              </w:rPr>
              <w:t>％</w:t>
            </w:r>
          </w:p>
        </w:tc>
        <w:tc>
          <w:tcPr>
            <w:tcW w:w="1334" w:type="dxa"/>
            <w:shd w:val="clear" w:color="auto" w:fill="auto"/>
            <w:vAlign w:val="center"/>
          </w:tcPr>
          <w:p w14:paraId="66832250">
            <w:pPr>
              <w:pStyle w:val="178"/>
            </w:pPr>
            <w:r>
              <w:rPr>
                <w:rFonts w:hint="eastAsia" w:ascii="Times New Roman"/>
              </w:rPr>
              <w:t>杂</w:t>
            </w:r>
            <w:r>
              <w:rPr>
                <w:rFonts w:ascii="Times New Roman"/>
              </w:rPr>
              <w:t>质率</w:t>
            </w:r>
            <w:r>
              <w:rPr>
                <w:rFonts w:hint="eastAsia" w:ascii="Times New Roman"/>
              </w:rPr>
              <w:t xml:space="preserve">≤ </w:t>
            </w:r>
            <w:r>
              <w:rPr>
                <w:rFonts w:ascii="Times New Roman"/>
              </w:rPr>
              <w:t xml:space="preserve">2 </w:t>
            </w:r>
            <w:r>
              <w:rPr>
                <w:rFonts w:hint="eastAsia" w:hAnsi="宋体"/>
              </w:rPr>
              <w:t>％</w:t>
            </w:r>
          </w:p>
        </w:tc>
      </w:tr>
    </w:tbl>
    <w:p w14:paraId="4F02F456">
      <w:pPr>
        <w:pStyle w:val="105"/>
        <w:spacing w:before="156" w:after="156"/>
      </w:pPr>
      <w:bookmarkStart w:id="52" w:name="_Toc186824920"/>
      <w:r>
        <w:rPr>
          <w:rFonts w:hint="eastAsia"/>
        </w:rPr>
        <w:t>误差允许范围</w:t>
      </w:r>
      <w:bookmarkEnd w:id="52"/>
    </w:p>
    <w:p w14:paraId="3F6479BC">
      <w:pPr>
        <w:pStyle w:val="56"/>
        <w:ind w:firstLine="420"/>
        <w:rPr>
          <w:rFonts w:ascii="Times New Roman"/>
        </w:rPr>
      </w:pPr>
      <w:r>
        <w:rPr>
          <w:rFonts w:hint="eastAsia"/>
        </w:rPr>
        <w:t>验收</w:t>
      </w:r>
      <w:r>
        <w:rPr>
          <w:rFonts w:ascii="Times New Roman"/>
        </w:rPr>
        <w:t>容许度为</w:t>
      </w:r>
      <w:r>
        <w:rPr>
          <w:rFonts w:hint="eastAsia" w:ascii="Times New Roman"/>
        </w:rPr>
        <w:t xml:space="preserve"> </w:t>
      </w:r>
      <w:r>
        <w:rPr>
          <w:rFonts w:ascii="Times New Roman"/>
        </w:rPr>
        <w:t>5</w:t>
      </w:r>
      <w:r>
        <w:rPr>
          <w:rFonts w:hint="eastAsia" w:ascii="Times New Roman"/>
        </w:rPr>
        <w:t xml:space="preserve"> </w:t>
      </w:r>
      <w:r>
        <w:rPr>
          <w:rFonts w:ascii="Times New Roman"/>
        </w:rPr>
        <w:t>%</w:t>
      </w:r>
      <w:r>
        <w:rPr>
          <w:rFonts w:hint="eastAsia" w:ascii="Times New Roman"/>
        </w:rPr>
        <w:t xml:space="preserve"> </w:t>
      </w:r>
      <w:r>
        <w:rPr>
          <w:rFonts w:ascii="Times New Roman"/>
        </w:rPr>
        <w:t>的次级果率。</w:t>
      </w:r>
      <w:r>
        <w:rPr>
          <w:rFonts w:hint="eastAsia" w:ascii="Times New Roman"/>
        </w:rPr>
        <w:t>即：</w:t>
      </w:r>
    </w:p>
    <w:p w14:paraId="0C9EE9C2">
      <w:pPr>
        <w:pStyle w:val="132"/>
      </w:pPr>
      <w:r>
        <w:rPr>
          <w:rFonts w:hint="eastAsia"/>
        </w:rPr>
        <w:t>特级</w:t>
      </w:r>
      <w:r>
        <w:rPr>
          <w:rFonts w:ascii="Times New Roman"/>
        </w:rPr>
        <w:t>允许有</w:t>
      </w:r>
      <w:r>
        <w:rPr>
          <w:rFonts w:hint="eastAsia" w:ascii="Times New Roman"/>
        </w:rPr>
        <w:t xml:space="preserve"> </w:t>
      </w:r>
      <w:r>
        <w:rPr>
          <w:rFonts w:ascii="Times New Roman"/>
        </w:rPr>
        <w:t>5</w:t>
      </w:r>
      <w:r>
        <w:rPr>
          <w:rFonts w:hint="eastAsia" w:ascii="Times New Roman"/>
        </w:rPr>
        <w:t xml:space="preserve"> </w:t>
      </w:r>
      <w:r>
        <w:rPr>
          <w:rFonts w:ascii="Times New Roman"/>
        </w:rPr>
        <w:t>% 的产品不符合该规格等级的要求，但同时应符合一级的要求。</w:t>
      </w:r>
    </w:p>
    <w:p w14:paraId="477A5D64">
      <w:pPr>
        <w:pStyle w:val="132"/>
      </w:pPr>
      <w:r>
        <w:rPr>
          <w:rFonts w:hint="eastAsia"/>
        </w:rPr>
        <w:t>一级</w:t>
      </w:r>
      <w:r>
        <w:rPr>
          <w:rFonts w:ascii="Times New Roman"/>
        </w:rPr>
        <w:t>允许有</w:t>
      </w:r>
      <w:r>
        <w:rPr>
          <w:rFonts w:hint="eastAsia" w:ascii="Times New Roman"/>
        </w:rPr>
        <w:t xml:space="preserve"> </w:t>
      </w:r>
      <w:r>
        <w:rPr>
          <w:rFonts w:ascii="Times New Roman"/>
        </w:rPr>
        <w:t>5</w:t>
      </w:r>
      <w:r>
        <w:rPr>
          <w:rFonts w:hint="eastAsia" w:ascii="Times New Roman"/>
        </w:rPr>
        <w:t xml:space="preserve"> </w:t>
      </w:r>
      <w:r>
        <w:rPr>
          <w:rFonts w:ascii="Times New Roman"/>
        </w:rPr>
        <w:t>% 的产品不符合该规格等级的要求，但同时应符合二级的要求。</w:t>
      </w:r>
    </w:p>
    <w:p w14:paraId="3C5D9BB9">
      <w:pPr>
        <w:pStyle w:val="132"/>
      </w:pPr>
      <w:r>
        <w:rPr>
          <w:rFonts w:hint="eastAsia"/>
        </w:rPr>
        <w:t>二级</w:t>
      </w:r>
      <w:r>
        <w:rPr>
          <w:rFonts w:ascii="Times New Roman"/>
        </w:rPr>
        <w:t>允许有</w:t>
      </w:r>
      <w:r>
        <w:rPr>
          <w:rFonts w:hint="eastAsia" w:ascii="Times New Roman"/>
        </w:rPr>
        <w:t xml:space="preserve"> </w:t>
      </w:r>
      <w:r>
        <w:rPr>
          <w:rFonts w:ascii="Times New Roman"/>
        </w:rPr>
        <w:t>5</w:t>
      </w:r>
      <w:r>
        <w:rPr>
          <w:rFonts w:hint="eastAsia" w:ascii="Times New Roman"/>
        </w:rPr>
        <w:t xml:space="preserve"> </w:t>
      </w:r>
      <w:r>
        <w:rPr>
          <w:rFonts w:ascii="Times New Roman"/>
        </w:rPr>
        <w:t>% 的产品不符合该规格等级的要求，但符合基本要求。</w:t>
      </w:r>
    </w:p>
    <w:p w14:paraId="6E2BCC3D">
      <w:pPr>
        <w:pStyle w:val="104"/>
        <w:spacing w:before="312" w:after="312"/>
      </w:pPr>
      <w:bookmarkStart w:id="53" w:name="_Toc186824921"/>
      <w:r>
        <w:rPr>
          <w:rFonts w:hint="eastAsia"/>
        </w:rPr>
        <w:t>抽样和检验方法</w:t>
      </w:r>
      <w:bookmarkEnd w:id="53"/>
    </w:p>
    <w:p w14:paraId="21473DAB">
      <w:pPr>
        <w:pStyle w:val="105"/>
        <w:spacing w:before="156" w:after="156"/>
      </w:pPr>
      <w:bookmarkStart w:id="54" w:name="_Toc186824922"/>
      <w:r>
        <w:rPr>
          <w:rFonts w:hint="eastAsia"/>
        </w:rPr>
        <w:t>抽样方法</w:t>
      </w:r>
      <w:bookmarkEnd w:id="54"/>
    </w:p>
    <w:p w14:paraId="45158630">
      <w:pPr>
        <w:pStyle w:val="56"/>
        <w:ind w:firstLine="420"/>
      </w:pPr>
      <w:r>
        <w:rPr>
          <w:rFonts w:hint="eastAsia"/>
        </w:rPr>
        <w:t>按 DB5104/T</w:t>
      </w:r>
      <w:r>
        <w:t xml:space="preserve"> </w:t>
      </w:r>
      <w:r>
        <w:rPr>
          <w:rFonts w:hint="eastAsia"/>
        </w:rPr>
        <w:t>95</w:t>
      </w:r>
      <w:r>
        <w:rPr>
          <w:rFonts w:hAnsi="宋体"/>
        </w:rPr>
        <w:t>—</w:t>
      </w:r>
      <w:r>
        <w:rPr>
          <w:rFonts w:hint="eastAsia"/>
        </w:rPr>
        <w:t>2024 规定执行。</w:t>
      </w:r>
    </w:p>
    <w:p w14:paraId="65C9BAB3">
      <w:pPr>
        <w:pStyle w:val="105"/>
        <w:spacing w:before="156" w:after="156"/>
      </w:pPr>
      <w:bookmarkStart w:id="55" w:name="_Toc186824923"/>
      <w:r>
        <w:rPr>
          <w:rFonts w:hint="eastAsia"/>
        </w:rPr>
        <w:t>感官要求</w:t>
      </w:r>
      <w:bookmarkEnd w:id="55"/>
    </w:p>
    <w:p w14:paraId="070C4803">
      <w:pPr>
        <w:pStyle w:val="56"/>
        <w:ind w:firstLine="420"/>
      </w:pPr>
      <w:r>
        <w:rPr>
          <w:rFonts w:hint="eastAsia"/>
        </w:rPr>
        <w:t>用</w:t>
      </w:r>
      <w:r>
        <w:t>目测法检测，按</w:t>
      </w:r>
      <w:r>
        <w:rPr>
          <w:rFonts w:hint="eastAsia"/>
        </w:rPr>
        <w:t xml:space="preserve"> </w:t>
      </w:r>
      <w:r>
        <w:t>GB/T 29605</w:t>
      </w:r>
      <w:r>
        <w:rPr>
          <w:rFonts w:hint="eastAsia"/>
        </w:rPr>
        <w:t xml:space="preserve"> </w:t>
      </w:r>
      <w:r>
        <w:t>规定执行。</w:t>
      </w:r>
    </w:p>
    <w:p w14:paraId="7D334C8A">
      <w:pPr>
        <w:pStyle w:val="105"/>
        <w:spacing w:before="156" w:after="156"/>
        <w:rPr>
          <w:rFonts w:ascii="Times New Roman"/>
        </w:rPr>
      </w:pPr>
      <w:bookmarkStart w:id="56" w:name="_Toc186824924"/>
      <w:r>
        <w:rPr>
          <w:rFonts w:hint="eastAsia"/>
        </w:rPr>
        <w:t>桑</w:t>
      </w:r>
      <w:r>
        <w:rPr>
          <w:rFonts w:ascii="Times New Roman"/>
        </w:rPr>
        <w:t>椹质量及缺陷果检测</w:t>
      </w:r>
      <w:bookmarkEnd w:id="56"/>
    </w:p>
    <w:p w14:paraId="340C45D7">
      <w:pPr>
        <w:pStyle w:val="56"/>
        <w:ind w:firstLine="420"/>
      </w:pPr>
      <w:r>
        <w:rPr>
          <w:rFonts w:hint="eastAsia"/>
        </w:rPr>
        <w:t xml:space="preserve">按 </w:t>
      </w:r>
      <w:r>
        <w:t>GB/T 29572</w:t>
      </w:r>
      <w:r>
        <w:rPr>
          <w:rFonts w:hint="eastAsia" w:hAnsi="宋体"/>
        </w:rPr>
        <w:t>—</w:t>
      </w:r>
      <w:r>
        <w:t>2013</w:t>
      </w:r>
      <w:r>
        <w:rPr>
          <w:rFonts w:hint="eastAsia"/>
        </w:rPr>
        <w:t xml:space="preserve"> </w:t>
      </w:r>
      <w:r>
        <w:t>规定执行。</w:t>
      </w:r>
    </w:p>
    <w:p w14:paraId="55E01EBF">
      <w:pPr>
        <w:pStyle w:val="105"/>
        <w:spacing w:before="156" w:after="156"/>
      </w:pPr>
      <w:bookmarkStart w:id="57" w:name="_Toc186824925"/>
      <w:r>
        <w:rPr>
          <w:rFonts w:hint="eastAsia"/>
        </w:rPr>
        <w:t>可溶性固定物含量</w:t>
      </w:r>
      <w:bookmarkEnd w:id="57"/>
    </w:p>
    <w:p w14:paraId="120876D5">
      <w:pPr>
        <w:pStyle w:val="56"/>
        <w:ind w:firstLine="420"/>
      </w:pPr>
      <w:r>
        <w:rPr>
          <w:rFonts w:hint="eastAsia"/>
        </w:rPr>
        <w:t>按 NY/T 2637</w:t>
      </w:r>
      <w:r>
        <w:rPr>
          <w:rFonts w:hint="eastAsia" w:hAnsi="宋体"/>
        </w:rPr>
        <w:t>—</w:t>
      </w:r>
      <w:r>
        <w:rPr>
          <w:rFonts w:hint="eastAsia"/>
        </w:rPr>
        <w:t xml:space="preserve">2014 </w:t>
      </w:r>
      <w:r>
        <w:t>规定</w:t>
      </w:r>
      <w:r>
        <w:rPr>
          <w:rFonts w:hint="eastAsia"/>
        </w:rPr>
        <w:t>测定</w:t>
      </w:r>
      <w:r>
        <w:t>。</w:t>
      </w:r>
    </w:p>
    <w:p w14:paraId="69C37D01">
      <w:pPr>
        <w:pStyle w:val="105"/>
        <w:spacing w:before="156" w:after="156"/>
      </w:pPr>
      <w:bookmarkStart w:id="58" w:name="_Toc186824926"/>
      <w:r>
        <w:rPr>
          <w:rFonts w:hint="eastAsia"/>
        </w:rPr>
        <w:t>安全卫生指标</w:t>
      </w:r>
      <w:bookmarkEnd w:id="58"/>
    </w:p>
    <w:p w14:paraId="0B9F6EFA">
      <w:pPr>
        <w:pStyle w:val="165"/>
      </w:pPr>
      <w:r>
        <w:rPr>
          <w:rFonts w:hint="eastAsia"/>
        </w:rPr>
        <w:t>桑椹中的</w:t>
      </w:r>
      <w:r>
        <w:t>铅含量按</w:t>
      </w:r>
      <w:r>
        <w:rPr>
          <w:rFonts w:hint="eastAsia"/>
        </w:rPr>
        <w:t xml:space="preserve"> </w:t>
      </w:r>
      <w:r>
        <w:t>GB 5009.12</w:t>
      </w:r>
      <w:r>
        <w:rPr>
          <w:rFonts w:hint="eastAsia"/>
        </w:rPr>
        <w:t xml:space="preserve"> </w:t>
      </w:r>
      <w:r>
        <w:t>规定测定。</w:t>
      </w:r>
    </w:p>
    <w:p w14:paraId="7E71179A">
      <w:pPr>
        <w:pStyle w:val="165"/>
      </w:pPr>
      <w:r>
        <w:rPr>
          <w:rFonts w:hint="eastAsia"/>
        </w:rPr>
        <w:t>桑椹中的</w:t>
      </w:r>
      <w:r>
        <w:t>镉含量按</w:t>
      </w:r>
      <w:r>
        <w:rPr>
          <w:rFonts w:hint="eastAsia"/>
        </w:rPr>
        <w:t xml:space="preserve"> </w:t>
      </w:r>
      <w:r>
        <w:t>GB 5009.15</w:t>
      </w:r>
      <w:r>
        <w:rPr>
          <w:rFonts w:hint="eastAsia"/>
        </w:rPr>
        <w:t xml:space="preserve"> </w:t>
      </w:r>
      <w:r>
        <w:t>规定测定。</w:t>
      </w:r>
    </w:p>
    <w:p w14:paraId="53A36448">
      <w:pPr>
        <w:pStyle w:val="165"/>
      </w:pPr>
      <w:r>
        <w:rPr>
          <w:rFonts w:hint="eastAsia"/>
        </w:rPr>
        <w:t>农药及相关</w:t>
      </w:r>
      <w:r>
        <w:t>化学品残留量按</w:t>
      </w:r>
      <w:r>
        <w:rPr>
          <w:rFonts w:hint="eastAsia"/>
        </w:rPr>
        <w:t xml:space="preserve"> </w:t>
      </w:r>
      <w:r>
        <w:t>GB 23200.8 规定测定。</w:t>
      </w:r>
    </w:p>
    <w:p w14:paraId="3E4B0961">
      <w:pPr>
        <w:pStyle w:val="104"/>
        <w:spacing w:before="312" w:after="312"/>
      </w:pPr>
      <w:bookmarkStart w:id="59" w:name="_Toc186824927"/>
      <w:r>
        <w:rPr>
          <w:rFonts w:hint="eastAsia"/>
        </w:rPr>
        <w:t>分选贮运</w:t>
      </w:r>
      <w:bookmarkEnd w:id="59"/>
    </w:p>
    <w:p w14:paraId="5FB3A54E">
      <w:pPr>
        <w:pStyle w:val="105"/>
        <w:spacing w:before="156" w:after="156"/>
      </w:pPr>
      <w:bookmarkStart w:id="60" w:name="_Toc186824928"/>
      <w:r>
        <w:rPr>
          <w:rFonts w:hint="eastAsia"/>
        </w:rPr>
        <w:t>分选包装</w:t>
      </w:r>
      <w:bookmarkEnd w:id="60"/>
    </w:p>
    <w:p w14:paraId="09D97DBA">
      <w:pPr>
        <w:pStyle w:val="165"/>
      </w:pPr>
      <w:r>
        <w:rPr>
          <w:rFonts w:hint="eastAsia"/>
        </w:rPr>
        <w:t>包装</w:t>
      </w:r>
      <w:r>
        <w:t>场地应通风、防潮、防晒、防雨</w:t>
      </w:r>
      <w:r>
        <w:rPr>
          <w:rFonts w:hint="eastAsia"/>
        </w:rPr>
        <w:t>，</w:t>
      </w:r>
      <w:r>
        <w:t>干净整洁</w:t>
      </w:r>
      <w:r>
        <w:rPr>
          <w:rFonts w:hint="eastAsia"/>
        </w:rPr>
        <w:t>，</w:t>
      </w:r>
      <w:r>
        <w:t>无污染物</w:t>
      </w:r>
      <w:r>
        <w:rPr>
          <w:rFonts w:hint="eastAsia"/>
        </w:rPr>
        <w:t>，</w:t>
      </w:r>
      <w:r>
        <w:t>不存放有毒、有异味物品。</w:t>
      </w:r>
    </w:p>
    <w:p w14:paraId="77B8FA9F">
      <w:pPr>
        <w:pStyle w:val="165"/>
      </w:pPr>
      <w:r>
        <w:rPr>
          <w:rFonts w:hint="eastAsia"/>
        </w:rPr>
        <w:t>选出</w:t>
      </w:r>
      <w:r>
        <w:rPr>
          <w:rFonts w:hint="eastAsia" w:ascii="Times New Roman"/>
        </w:rPr>
        <w:t>损伤果、畸形果、特小果、病虫果后，装入干净无毒容器，内置矿泉水冻冰瓶，垫柔软缓冲物，堆码整齐，禁止挤压、堆沤。</w:t>
      </w:r>
    </w:p>
    <w:p w14:paraId="0E738C7E">
      <w:pPr>
        <w:pStyle w:val="165"/>
      </w:pPr>
      <w:r>
        <w:rPr>
          <w:rFonts w:hint="eastAsia"/>
        </w:rPr>
        <w:t>包装</w:t>
      </w:r>
      <w:r>
        <w:t>箱、盒的结构牢固</w:t>
      </w:r>
      <w:r>
        <w:rPr>
          <w:rFonts w:hint="eastAsia"/>
        </w:rPr>
        <w:t>，</w:t>
      </w:r>
      <w:r>
        <w:t>干燥</w:t>
      </w:r>
      <w:r>
        <w:rPr>
          <w:rFonts w:hint="eastAsia"/>
        </w:rPr>
        <w:t>，</w:t>
      </w:r>
      <w:r>
        <w:t>洁净</w:t>
      </w:r>
      <w:r>
        <w:rPr>
          <w:rFonts w:hint="eastAsia"/>
        </w:rPr>
        <w:t>，</w:t>
      </w:r>
      <w:r>
        <w:t>无霉变、</w:t>
      </w:r>
      <w:r>
        <w:rPr>
          <w:rFonts w:hint="eastAsia"/>
        </w:rPr>
        <w:t>无</w:t>
      </w:r>
      <w:r>
        <w:t>污染</w:t>
      </w:r>
      <w:r>
        <w:rPr>
          <w:rFonts w:hint="eastAsia"/>
        </w:rPr>
        <w:t>。</w:t>
      </w:r>
    </w:p>
    <w:p w14:paraId="01E17274">
      <w:pPr>
        <w:pStyle w:val="165"/>
      </w:pPr>
      <w:r>
        <w:rPr>
          <w:rFonts w:hint="eastAsia"/>
        </w:rPr>
        <w:t>包装</w:t>
      </w:r>
      <w:r>
        <w:rPr>
          <w:rFonts w:hint="eastAsia" w:ascii="Times New Roman"/>
        </w:rPr>
        <w:t>标识</w:t>
      </w:r>
      <w:r>
        <w:rPr>
          <w:rFonts w:ascii="Times New Roman"/>
        </w:rPr>
        <w:t>应注明产品名称、净含量、等级、产地、采收日期、包装日期、生产单位</w:t>
      </w:r>
      <w:r>
        <w:rPr>
          <w:rFonts w:hint="eastAsia" w:ascii="Times New Roman"/>
        </w:rPr>
        <w:t>、地</w:t>
      </w:r>
      <w:r>
        <w:rPr>
          <w:rFonts w:ascii="Times New Roman"/>
        </w:rPr>
        <w:t>址等</w:t>
      </w:r>
      <w:r>
        <w:rPr>
          <w:rFonts w:hint="eastAsia" w:ascii="Times New Roman"/>
        </w:rPr>
        <w:t>，</w:t>
      </w:r>
      <w:r>
        <w:rPr>
          <w:rFonts w:ascii="Times New Roman"/>
        </w:rPr>
        <w:t>标志上的字迹应清晰、完整、准确</w:t>
      </w:r>
      <w:r>
        <w:rPr>
          <w:rFonts w:hint="eastAsia" w:ascii="Times New Roman"/>
        </w:rPr>
        <w:t>，</w:t>
      </w:r>
      <w:r>
        <w:rPr>
          <w:rFonts w:ascii="Times New Roman"/>
        </w:rPr>
        <w:t>符</w:t>
      </w:r>
      <w:r>
        <w:t>合</w:t>
      </w:r>
      <w:r>
        <w:rPr>
          <w:rFonts w:hint="eastAsia"/>
        </w:rPr>
        <w:t xml:space="preserve"> </w:t>
      </w:r>
      <w:r>
        <w:rPr>
          <w:rFonts w:hint="eastAsia"/>
          <w:color w:val="000000" w:themeColor="text1"/>
          <w14:textFill>
            <w14:solidFill>
              <w14:schemeClr w14:val="tx1"/>
            </w14:solidFill>
          </w14:textFill>
        </w:rPr>
        <w:t>NY/T 1778</w:t>
      </w:r>
      <w:r>
        <w:rPr>
          <w:rFonts w:hint="eastAsia"/>
        </w:rPr>
        <w:t>的规定</w:t>
      </w:r>
      <w:r>
        <w:t>。</w:t>
      </w:r>
    </w:p>
    <w:p w14:paraId="40F073DA">
      <w:pPr>
        <w:pStyle w:val="105"/>
        <w:spacing w:before="156" w:after="156"/>
      </w:pPr>
      <w:bookmarkStart w:id="61" w:name="_Toc186824929"/>
      <w:r>
        <w:rPr>
          <w:rFonts w:hint="eastAsia"/>
        </w:rPr>
        <w:t>贮藏运输</w:t>
      </w:r>
      <w:bookmarkEnd w:id="61"/>
    </w:p>
    <w:p w14:paraId="63995660">
      <w:pPr>
        <w:pStyle w:val="165"/>
      </w:pPr>
      <w:r>
        <w:rPr>
          <w:rFonts w:hint="eastAsia"/>
        </w:rPr>
        <w:t>常温下贮存时间不超过 24</w:t>
      </w:r>
      <w:r>
        <w:t xml:space="preserve"> </w:t>
      </w:r>
      <w:r>
        <w:rPr>
          <w:rFonts w:hint="eastAsia"/>
        </w:rPr>
        <w:t>h，放入冷库前先预冷 2</w:t>
      </w:r>
      <w:r>
        <w:t xml:space="preserve"> </w:t>
      </w:r>
      <w:r>
        <w:rPr>
          <w:rFonts w:hint="eastAsia"/>
        </w:rPr>
        <w:t>h，低温下（4</w:t>
      </w:r>
      <w:r>
        <w:t xml:space="preserve"> </w:t>
      </w:r>
      <w:r>
        <w:rPr>
          <w:rFonts w:hint="eastAsia"/>
        </w:rPr>
        <w:t>℃-10</w:t>
      </w:r>
      <w:r>
        <w:t xml:space="preserve"> </w:t>
      </w:r>
      <w:r>
        <w:rPr>
          <w:rFonts w:hint="eastAsia"/>
        </w:rPr>
        <w:t>℃）贮存不超过36</w:t>
      </w:r>
      <w:r>
        <w:t xml:space="preserve"> </w:t>
      </w:r>
      <w:r>
        <w:rPr>
          <w:rFonts w:hint="eastAsia"/>
        </w:rPr>
        <w:t>h。</w:t>
      </w:r>
    </w:p>
    <w:p w14:paraId="0C938C1A">
      <w:pPr>
        <w:pStyle w:val="165"/>
      </w:pPr>
      <w:r>
        <w:rPr>
          <w:rFonts w:hint="eastAsia"/>
        </w:rPr>
        <w:t>应</w:t>
      </w:r>
      <w:r>
        <w:rPr>
          <w:rFonts w:hint="eastAsia" w:ascii="Times New Roman"/>
        </w:rPr>
        <w:t>随采随装随运、快装快运快销，运输工具清洁、干燥、无毒。鲜食桑果长途运输采用全程冷链车，货厢内温度控制在</w:t>
      </w:r>
      <w:r>
        <w:rPr>
          <w:rFonts w:hint="eastAsia" w:hAnsi="宋体"/>
        </w:rPr>
        <w:t>－</w:t>
      </w:r>
      <w:r>
        <w:rPr>
          <w:rFonts w:hint="eastAsia" w:ascii="Times New Roman"/>
        </w:rPr>
        <w:t>5</w:t>
      </w:r>
      <w:r>
        <w:rPr>
          <w:rFonts w:ascii="Times New Roman"/>
        </w:rPr>
        <w:t xml:space="preserve"> </w:t>
      </w:r>
      <w:r>
        <w:rPr>
          <w:rFonts w:hint="eastAsia" w:ascii="Times New Roman"/>
        </w:rPr>
        <w:t>℃</w:t>
      </w:r>
      <w:r>
        <w:rPr>
          <w:rFonts w:ascii="Times New Roman"/>
        </w:rPr>
        <w:t>～</w:t>
      </w:r>
      <w:r>
        <w:rPr>
          <w:rFonts w:hint="eastAsia" w:hAnsi="宋体"/>
        </w:rPr>
        <w:t>－</w:t>
      </w:r>
      <w:r>
        <w:rPr>
          <w:rFonts w:hint="eastAsia" w:ascii="Times New Roman"/>
        </w:rPr>
        <w:t>10</w:t>
      </w:r>
      <w:r>
        <w:rPr>
          <w:rFonts w:ascii="Times New Roman"/>
        </w:rPr>
        <w:t xml:space="preserve"> </w:t>
      </w:r>
      <w:r>
        <w:rPr>
          <w:rFonts w:hint="eastAsia" w:ascii="Times New Roman"/>
        </w:rPr>
        <w:t>℃，桑果包装箱内温度控制在</w:t>
      </w:r>
      <w:r>
        <w:rPr>
          <w:rFonts w:hint="eastAsia" w:hAnsi="宋体"/>
        </w:rPr>
        <w:t>－</w:t>
      </w:r>
      <w:r>
        <w:rPr>
          <w:rFonts w:hint="eastAsia" w:ascii="Times New Roman"/>
        </w:rPr>
        <w:t>0.5</w:t>
      </w:r>
      <w:r>
        <w:rPr>
          <w:rFonts w:ascii="Times New Roman"/>
        </w:rPr>
        <w:t xml:space="preserve"> </w:t>
      </w:r>
      <w:r>
        <w:rPr>
          <w:rFonts w:hint="eastAsia" w:ascii="Times New Roman"/>
        </w:rPr>
        <w:t>℃</w:t>
      </w:r>
      <w:r>
        <w:rPr>
          <w:rFonts w:ascii="Times New Roman"/>
        </w:rPr>
        <w:t>～</w:t>
      </w:r>
      <w:r>
        <w:rPr>
          <w:rFonts w:hint="eastAsia" w:hAnsi="宋体"/>
        </w:rPr>
        <w:t>－</w:t>
      </w:r>
      <w:r>
        <w:rPr>
          <w:rFonts w:hint="eastAsia" w:ascii="Times New Roman"/>
        </w:rPr>
        <w:t>1</w:t>
      </w:r>
      <w:r>
        <w:rPr>
          <w:rFonts w:ascii="Times New Roman"/>
        </w:rPr>
        <w:t xml:space="preserve"> </w:t>
      </w:r>
      <w:r>
        <w:rPr>
          <w:rFonts w:hint="eastAsia" w:ascii="Times New Roman"/>
        </w:rPr>
        <w:t>℃。</w:t>
      </w:r>
    </w:p>
    <w:bookmarkEnd w:id="23"/>
    <w:p w14:paraId="13727227">
      <w:pPr>
        <w:pStyle w:val="56"/>
        <w:ind w:firstLine="0" w:firstLineChars="0"/>
        <w:jc w:val="center"/>
      </w:pPr>
      <w:bookmarkStart w:id="62"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2AFE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7ED7A">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4B5DF">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9B230">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BC74C">
    <w:pPr>
      <w:pStyle w:val="231"/>
      <w:jc w:val="center"/>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3515" cy="224155"/>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3515" cy="224155"/>
                      </a:xfrm>
                      <a:prstGeom prst="rect">
                        <a:avLst/>
                      </a:prstGeom>
                      <a:noFill/>
                      <a:ln>
                        <a:noFill/>
                      </a:ln>
                      <a:effectLst/>
                    </wps:spPr>
                    <wps:txbx>
                      <w:txbxContent>
                        <w:p w14:paraId="262AE5EA">
                          <w:pPr>
                            <w:pStyle w:val="231"/>
                          </w:pPr>
                          <w:r>
                            <w:rPr>
                              <w:rFonts w:hint="eastAsia"/>
                            </w:rPr>
                            <w:fldChar w:fldCharType="begin"/>
                          </w:r>
                          <w:r>
                            <w:rPr>
                              <w:rFonts w:hint="eastAsia"/>
                            </w:rPr>
                            <w:instrText xml:space="preserve"> PAGE  \* MERGEFORMAT </w:instrText>
                          </w:r>
                          <w:r>
                            <w:rPr>
                              <w:rFonts w:hint="eastAsia"/>
                            </w:rPr>
                            <w:fldChar w:fldCharType="separate"/>
                          </w:r>
                          <w:r>
                            <w:t>III</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7.65pt;width:14.45pt;mso-position-horizontal:right;mso-position-horizontal-relative:margin;mso-wrap-style:none;z-index:251661312;mso-width-relative:page;mso-height-relative:page;" filled="f" stroked="f" coordsize="21600,21600" o:gfxdata="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YGzHPSAAAAAwEAAA8AAAAAAAAAAQAgAAAAIgAAAGRycy9kb3du&#10;cmV2LnhtbFBLAQIUABQAAAAIAIdO4kDmXdDgzAEAAJkDAAAOAAAAAAAAAAEAIAAAACEBAABkcnMv&#10;ZTJvRG9jLnhtbFBLBQYAAAAABgAGAFkBAABfBQAAAAA=&#10;">
              <v:path/>
              <v:fill on="f" focussize="0,0"/>
              <v:stroke on="f" joinstyle="miter"/>
              <v:imagedata o:title=""/>
              <o:lock v:ext="edit"/>
              <v:textbox inset="0mm,0mm,0mm,0mm" style="mso-fit-shape-to-text:t;">
                <w:txbxContent>
                  <w:p w14:paraId="262AE5EA">
                    <w:pPr>
                      <w:pStyle w:val="231"/>
                    </w:pPr>
                    <w:r>
                      <w:rPr>
                        <w:rFonts w:hint="eastAsia"/>
                      </w:rPr>
                      <w:fldChar w:fldCharType="begin"/>
                    </w:r>
                    <w:r>
                      <w:rPr>
                        <w:rFonts w:hint="eastAsia"/>
                      </w:rPr>
                      <w:instrText xml:space="preserve"> PAGE  \* MERGEFORMAT </w:instrText>
                    </w:r>
                    <w:r>
                      <w:rPr>
                        <w:rFonts w:hint="eastAsia"/>
                      </w:rPr>
                      <w:fldChar w:fldCharType="separate"/>
                    </w:r>
                    <w:r>
                      <w:t>III</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BA9EF">
    <w:pPr>
      <w:pStyle w:val="232"/>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319D2A1">
                          <w:pPr>
                            <w:pStyle w:val="232"/>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a6f2lccBAACbAwAADgAAAAAAAAABACAAAAAeAQAAZHJzL2Uyb0RvYy54&#10;bWxQSwUGAAAAAAYABgBZAQAAVwUAAAAA&#10;">
              <v:path/>
              <v:fill on="f" focussize="0,0"/>
              <v:stroke on="f" joinstyle="miter"/>
              <v:imagedata o:title=""/>
              <o:lock v:ext="edit"/>
              <v:textbox inset="0mm,0mm,0mm,0mm" style="mso-fit-shape-to-text:t;">
                <w:txbxContent>
                  <w:p w14:paraId="3319D2A1">
                    <w:pPr>
                      <w:pStyle w:val="23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7657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78F1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987B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25B12">
    <w:pPr>
      <w:pStyle w:val="61"/>
    </w:pPr>
    <w:r>
      <w:fldChar w:fldCharType="begin"/>
    </w:r>
    <w:r>
      <w:instrText xml:space="preserve"> STYLEREF  标准文件_文件编号  \* MERGEFORMAT </w:instrText>
    </w:r>
    <w:r>
      <w:fldChar w:fldCharType="separate"/>
    </w:r>
    <w:r>
      <w:t>DB 5104/T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D6A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5104/T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tD4yMORlgCIy43dDbYB9UZc/eDuE596r99wvrk5M1xmnXAgfYQvqBcP6hp+WjiOODB7fWYcsZLxtP3wiAQbGXA==" w:salt="k57WD7J6vNkhEOxmeY8PUA=="/>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65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B2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0AF"/>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8F0"/>
    <w:rsid w:val="000D329A"/>
    <w:rsid w:val="000D4B9C"/>
    <w:rsid w:val="000D4EB6"/>
    <w:rsid w:val="000D753B"/>
    <w:rsid w:val="000E1119"/>
    <w:rsid w:val="000E4C9E"/>
    <w:rsid w:val="000E6FD7"/>
    <w:rsid w:val="000E73FD"/>
    <w:rsid w:val="000F06E1"/>
    <w:rsid w:val="000F0E3C"/>
    <w:rsid w:val="000F19D5"/>
    <w:rsid w:val="000F4AEA"/>
    <w:rsid w:val="000F633F"/>
    <w:rsid w:val="000F67E9"/>
    <w:rsid w:val="000F74E2"/>
    <w:rsid w:val="0010176B"/>
    <w:rsid w:val="00104926"/>
    <w:rsid w:val="0010797A"/>
    <w:rsid w:val="00113B1E"/>
    <w:rsid w:val="00115CAC"/>
    <w:rsid w:val="0011711C"/>
    <w:rsid w:val="0012059C"/>
    <w:rsid w:val="00124E4F"/>
    <w:rsid w:val="001260B7"/>
    <w:rsid w:val="001265CB"/>
    <w:rsid w:val="0013208F"/>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D48"/>
    <w:rsid w:val="00196EF5"/>
    <w:rsid w:val="00197703"/>
    <w:rsid w:val="001A1A53"/>
    <w:rsid w:val="001A234A"/>
    <w:rsid w:val="001A4CF3"/>
    <w:rsid w:val="001B06E8"/>
    <w:rsid w:val="001B71D0"/>
    <w:rsid w:val="001B71EE"/>
    <w:rsid w:val="001C04A8"/>
    <w:rsid w:val="001C2C03"/>
    <w:rsid w:val="001C393A"/>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657"/>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014"/>
    <w:rsid w:val="0030441D"/>
    <w:rsid w:val="00306063"/>
    <w:rsid w:val="00313B85"/>
    <w:rsid w:val="00317988"/>
    <w:rsid w:val="003221B4"/>
    <w:rsid w:val="0032258D"/>
    <w:rsid w:val="00322E62"/>
    <w:rsid w:val="0032379B"/>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A5F"/>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1D0"/>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1C6"/>
    <w:rsid w:val="003F23D3"/>
    <w:rsid w:val="003F3F08"/>
    <w:rsid w:val="003F49F1"/>
    <w:rsid w:val="003F6272"/>
    <w:rsid w:val="00400E72"/>
    <w:rsid w:val="00401400"/>
    <w:rsid w:val="00404869"/>
    <w:rsid w:val="00405884"/>
    <w:rsid w:val="00407D39"/>
    <w:rsid w:val="0041477A"/>
    <w:rsid w:val="004167A3"/>
    <w:rsid w:val="004250B0"/>
    <w:rsid w:val="00432DAA"/>
    <w:rsid w:val="00434305"/>
    <w:rsid w:val="00435DF7"/>
    <w:rsid w:val="0044083F"/>
    <w:rsid w:val="00441AE7"/>
    <w:rsid w:val="00445574"/>
    <w:rsid w:val="004467FB"/>
    <w:rsid w:val="00447C21"/>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634"/>
    <w:rsid w:val="004E127B"/>
    <w:rsid w:val="004E1C0A"/>
    <w:rsid w:val="004E2B06"/>
    <w:rsid w:val="004E30C5"/>
    <w:rsid w:val="004E4AA5"/>
    <w:rsid w:val="004E4AEE"/>
    <w:rsid w:val="004E59E3"/>
    <w:rsid w:val="004E67C0"/>
    <w:rsid w:val="004F2C8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11"/>
    <w:rsid w:val="00514174"/>
    <w:rsid w:val="00516088"/>
    <w:rsid w:val="00516B0B"/>
    <w:rsid w:val="005220EC"/>
    <w:rsid w:val="00523F95"/>
    <w:rsid w:val="00524D65"/>
    <w:rsid w:val="00525522"/>
    <w:rsid w:val="00525B16"/>
    <w:rsid w:val="00527750"/>
    <w:rsid w:val="00533D04"/>
    <w:rsid w:val="00534804"/>
    <w:rsid w:val="00534BDF"/>
    <w:rsid w:val="005354EA"/>
    <w:rsid w:val="0053585F"/>
    <w:rsid w:val="00535EC4"/>
    <w:rsid w:val="00535ED9"/>
    <w:rsid w:val="0053692B"/>
    <w:rsid w:val="00541853"/>
    <w:rsid w:val="00541913"/>
    <w:rsid w:val="00543BDA"/>
    <w:rsid w:val="005441CC"/>
    <w:rsid w:val="00546747"/>
    <w:rsid w:val="005479DA"/>
    <w:rsid w:val="00547BCC"/>
    <w:rsid w:val="0055013B"/>
    <w:rsid w:val="00551F6F"/>
    <w:rsid w:val="0055374A"/>
    <w:rsid w:val="00555044"/>
    <w:rsid w:val="00561475"/>
    <w:rsid w:val="0056487B"/>
    <w:rsid w:val="00564FB9"/>
    <w:rsid w:val="005650CF"/>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CD0"/>
    <w:rsid w:val="005C29B8"/>
    <w:rsid w:val="005C4820"/>
    <w:rsid w:val="005C5F21"/>
    <w:rsid w:val="005C7156"/>
    <w:rsid w:val="005C736D"/>
    <w:rsid w:val="005D0C75"/>
    <w:rsid w:val="005D4171"/>
    <w:rsid w:val="005D6A95"/>
    <w:rsid w:val="005D6B2C"/>
    <w:rsid w:val="005D6D9C"/>
    <w:rsid w:val="005E2335"/>
    <w:rsid w:val="005E34CA"/>
    <w:rsid w:val="005E3C18"/>
    <w:rsid w:val="005E6812"/>
    <w:rsid w:val="005E6C84"/>
    <w:rsid w:val="005E7881"/>
    <w:rsid w:val="005E78E0"/>
    <w:rsid w:val="005F0D9C"/>
    <w:rsid w:val="005F284E"/>
    <w:rsid w:val="005F4712"/>
    <w:rsid w:val="005F7FF5"/>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6F0"/>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2FE"/>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0BF6"/>
    <w:rsid w:val="00722FBF"/>
    <w:rsid w:val="00722FC2"/>
    <w:rsid w:val="00724879"/>
    <w:rsid w:val="00724E1B"/>
    <w:rsid w:val="00725949"/>
    <w:rsid w:val="00727FA2"/>
    <w:rsid w:val="007322D9"/>
    <w:rsid w:val="00732BC0"/>
    <w:rsid w:val="00732C5F"/>
    <w:rsid w:val="00736F7F"/>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615"/>
    <w:rsid w:val="00752B4D"/>
    <w:rsid w:val="00755402"/>
    <w:rsid w:val="00756B26"/>
    <w:rsid w:val="00756EDF"/>
    <w:rsid w:val="007600E3"/>
    <w:rsid w:val="00765C43"/>
    <w:rsid w:val="00765EFB"/>
    <w:rsid w:val="007671CA"/>
    <w:rsid w:val="00767C61"/>
    <w:rsid w:val="0077008A"/>
    <w:rsid w:val="00772D87"/>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4B87"/>
    <w:rsid w:val="007D6518"/>
    <w:rsid w:val="007D76BD"/>
    <w:rsid w:val="007E0BF1"/>
    <w:rsid w:val="007F0ED8"/>
    <w:rsid w:val="007F0F63"/>
    <w:rsid w:val="007F6410"/>
    <w:rsid w:val="007F75CE"/>
    <w:rsid w:val="008013A4"/>
    <w:rsid w:val="008027CE"/>
    <w:rsid w:val="00802F42"/>
    <w:rsid w:val="00804383"/>
    <w:rsid w:val="00804BB7"/>
    <w:rsid w:val="00804D41"/>
    <w:rsid w:val="00810257"/>
    <w:rsid w:val="008104F5"/>
    <w:rsid w:val="00810E31"/>
    <w:rsid w:val="00811072"/>
    <w:rsid w:val="00811369"/>
    <w:rsid w:val="00815419"/>
    <w:rsid w:val="008163C8"/>
    <w:rsid w:val="008164A1"/>
    <w:rsid w:val="00817325"/>
    <w:rsid w:val="008209E6"/>
    <w:rsid w:val="0082280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22F"/>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B90"/>
    <w:rsid w:val="008D2D1D"/>
    <w:rsid w:val="008D453D"/>
    <w:rsid w:val="008D53AD"/>
    <w:rsid w:val="008D562B"/>
    <w:rsid w:val="008D5733"/>
    <w:rsid w:val="008D5B2B"/>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72C"/>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4DB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397F"/>
    <w:rsid w:val="00983CC1"/>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0AE"/>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09A"/>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F8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5B91"/>
    <w:rsid w:val="00B56FBE"/>
    <w:rsid w:val="00B60AA0"/>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312"/>
    <w:rsid w:val="00BA42B2"/>
    <w:rsid w:val="00BA58D4"/>
    <w:rsid w:val="00BA5B9E"/>
    <w:rsid w:val="00BA7C9A"/>
    <w:rsid w:val="00BB203B"/>
    <w:rsid w:val="00BB5F8F"/>
    <w:rsid w:val="00BB657A"/>
    <w:rsid w:val="00BC1A4E"/>
    <w:rsid w:val="00BC4790"/>
    <w:rsid w:val="00BC5DC7"/>
    <w:rsid w:val="00BC6B8B"/>
    <w:rsid w:val="00BC73D8"/>
    <w:rsid w:val="00BD38F5"/>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0307"/>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BFE"/>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3F6D"/>
    <w:rsid w:val="00D950E1"/>
    <w:rsid w:val="00D952A6"/>
    <w:rsid w:val="00D972DF"/>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4696"/>
    <w:rsid w:val="00DC5B90"/>
    <w:rsid w:val="00DD00FF"/>
    <w:rsid w:val="00DD0619"/>
    <w:rsid w:val="00DD07FB"/>
    <w:rsid w:val="00DD25C6"/>
    <w:rsid w:val="00DD4FE5"/>
    <w:rsid w:val="00DD54B0"/>
    <w:rsid w:val="00DD57EE"/>
    <w:rsid w:val="00DD6BCC"/>
    <w:rsid w:val="00DE026F"/>
    <w:rsid w:val="00DE0A4B"/>
    <w:rsid w:val="00DE2410"/>
    <w:rsid w:val="00DE2939"/>
    <w:rsid w:val="00DE6E81"/>
    <w:rsid w:val="00DE703F"/>
    <w:rsid w:val="00DE7595"/>
    <w:rsid w:val="00DF1961"/>
    <w:rsid w:val="00DF44DE"/>
    <w:rsid w:val="00DF5E31"/>
    <w:rsid w:val="00DF5F11"/>
    <w:rsid w:val="00E01138"/>
    <w:rsid w:val="00E02DFB"/>
    <w:rsid w:val="00E030F9"/>
    <w:rsid w:val="00E0311A"/>
    <w:rsid w:val="00E03138"/>
    <w:rsid w:val="00E06404"/>
    <w:rsid w:val="00E065D2"/>
    <w:rsid w:val="00E11A85"/>
    <w:rsid w:val="00E12495"/>
    <w:rsid w:val="00E15CCD"/>
    <w:rsid w:val="00E17C46"/>
    <w:rsid w:val="00E202EF"/>
    <w:rsid w:val="00E210B5"/>
    <w:rsid w:val="00E23D99"/>
    <w:rsid w:val="00E247A2"/>
    <w:rsid w:val="00E2552F"/>
    <w:rsid w:val="00E3137A"/>
    <w:rsid w:val="00E32CCF"/>
    <w:rsid w:val="00E33748"/>
    <w:rsid w:val="00E34A68"/>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0396"/>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188"/>
    <w:rsid w:val="00EF054A"/>
    <w:rsid w:val="00EF3235"/>
    <w:rsid w:val="00EF7E72"/>
    <w:rsid w:val="00F06D37"/>
    <w:rsid w:val="00F07B9D"/>
    <w:rsid w:val="00F11586"/>
    <w:rsid w:val="00F1183B"/>
    <w:rsid w:val="00F11C9F"/>
    <w:rsid w:val="00F12263"/>
    <w:rsid w:val="00F1409D"/>
    <w:rsid w:val="00F14214"/>
    <w:rsid w:val="00F157A9"/>
    <w:rsid w:val="00F15FF1"/>
    <w:rsid w:val="00F25BB6"/>
    <w:rsid w:val="00F26B7E"/>
    <w:rsid w:val="00F27A3B"/>
    <w:rsid w:val="00F33817"/>
    <w:rsid w:val="00F40AE1"/>
    <w:rsid w:val="00F420D5"/>
    <w:rsid w:val="00F44358"/>
    <w:rsid w:val="00F451EA"/>
    <w:rsid w:val="00F45447"/>
    <w:rsid w:val="00F456C6"/>
    <w:rsid w:val="00F4577B"/>
    <w:rsid w:val="00F46496"/>
    <w:rsid w:val="00F474D0"/>
    <w:rsid w:val="00F47C2A"/>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2E20"/>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50F"/>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B3B3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2">
    <w:name w:val="标准书脚_偶数页"/>
    <w:qFormat/>
    <w:uiPriority w:val="0"/>
    <w:pPr>
      <w:spacing w:before="120"/>
      <w:ind w:left="221"/>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jpeg"/><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31BDAE65EAE40A1A99E0C7A3217F37D"/>
        <w:style w:val=""/>
        <w:category>
          <w:name w:val="常规"/>
          <w:gallery w:val="placeholder"/>
        </w:category>
        <w:types>
          <w:type w:val="bbPlcHdr"/>
        </w:types>
        <w:behaviors>
          <w:behavior w:val="content"/>
        </w:behaviors>
        <w:description w:val=""/>
        <w:guid w:val="{E9951A50-7E80-409E-BE06-0AE0B2AAAE93}"/>
      </w:docPartPr>
      <w:docPartBody>
        <w:p w14:paraId="7BDBB5FB">
          <w:pPr>
            <w:pStyle w:val="5"/>
          </w:pPr>
          <w:r>
            <w:rPr>
              <w:rStyle w:val="4"/>
              <w:rFonts w:hint="eastAsia"/>
            </w:rPr>
            <w:t>单击或点击此处输入文字。</w:t>
          </w:r>
        </w:p>
      </w:docPartBody>
    </w:docPart>
    <w:docPart>
      <w:docPartPr>
        <w:name w:val="E2FE0F71F03B4F82B82890A94AD972BD"/>
        <w:style w:val=""/>
        <w:category>
          <w:name w:val="常规"/>
          <w:gallery w:val="placeholder"/>
        </w:category>
        <w:types>
          <w:type w:val="bbPlcHdr"/>
        </w:types>
        <w:behaviors>
          <w:behavior w:val="content"/>
        </w:behaviors>
        <w:description w:val=""/>
        <w:guid w:val="{7E431EEA-9DA3-471B-921C-CD7C4AF7B3B8}"/>
      </w:docPartPr>
      <w:docPartBody>
        <w:p w14:paraId="6ED829B2">
          <w:pPr>
            <w:pStyle w:val="6"/>
          </w:pPr>
          <w:r>
            <w:rPr>
              <w:rStyle w:val="4"/>
              <w:rFonts w:hint="eastAsia"/>
            </w:rPr>
            <w:t>选择一项。</w:t>
          </w:r>
        </w:p>
      </w:docPartBody>
    </w:docPart>
    <w:docPart>
      <w:docPartPr>
        <w:name w:val="CDCE73D064794ACD8B2666DE214FC64C"/>
        <w:style w:val=""/>
        <w:category>
          <w:name w:val="常规"/>
          <w:gallery w:val="placeholder"/>
        </w:category>
        <w:types>
          <w:type w:val="bbPlcHdr"/>
        </w:types>
        <w:behaviors>
          <w:behavior w:val="content"/>
        </w:behaviors>
        <w:description w:val=""/>
        <w:guid w:val="{EC498B98-20BE-49F0-BE3B-6ACE169A09D6}"/>
      </w:docPartPr>
      <w:docPartBody>
        <w:p w14:paraId="07745A2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0C4"/>
    <w:rsid w:val="004250B0"/>
    <w:rsid w:val="006100C4"/>
    <w:rsid w:val="00822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31BDAE65EAE40A1A99E0C7A3217F37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2FE0F71F03B4F82B82890A94AD972B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DCE73D064794ACD8B2666DE214FC64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386694-1BF3-427C-B6BA-E084F0FCD47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2084</Words>
  <Characters>2403</Characters>
  <Lines>29</Lines>
  <Paragraphs>8</Paragraphs>
  <TotalTime>2</TotalTime>
  <ScaleCrop>false</ScaleCrop>
  <LinksUpToDate>false</LinksUpToDate>
  <CharactersWithSpaces>2592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2025-01-03T06:52:00Z</dcterms:created>
  <dc:creator>JN</dc:creator>
  <dc:description>&lt;config cover="true" show_menu="true" version="1.0.0" doctype="SDKXY"&gt;_x000d_
&lt;/config&gt;</dc:description>
  <cp:lastModifiedBy>Administrator</cp:lastModifiedBy>
  <cp:lastPrinted>2020-08-30T10:00:00Z</cp:lastPrinted>
  <dcterms:modified xsi:type="dcterms:W3CDTF">2025-01-07T08:22:45Z</dcterms:modified>
  <dc:title>地方标准</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eyJoZGlkIjoiNWM0NmZhYTZhODUwZjg1YmNjZjBmYTg1OGUwN2M1ZDQiLCJ1c2VySWQiOiIxMTYxMjYxODczIn0=</vt:lpwstr>
  </property>
  <property fmtid="{D5CDD505-2E9C-101B-9397-08002B2CF9AE}" pid="15" name="KSOProductBuildVer">
    <vt:lpwstr>2052-12.1.0.19770</vt:lpwstr>
  </property>
  <property fmtid="{D5CDD505-2E9C-101B-9397-08002B2CF9AE}" pid="16" name="ICV">
    <vt:lpwstr>F622A0382D024CB6B811BDD8427D4017_12</vt:lpwstr>
  </property>
</Properties>
</file>