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" w:firstLineChars="10"/>
        <w:jc w:val="center"/>
        <w:rPr>
          <w:rFonts w:hint="eastAsia"/>
        </w:rPr>
      </w:pPr>
      <w:r>
        <w:rPr>
          <w:rFonts w:hint="eastAsia"/>
        </w:rPr>
        <w:pict>
          <v:shape id="_x0000_i1025" o:spt="136" type="#_x0000_t136" style="height:41.25pt;width:410.25pt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专利统计工作简报" style="font-family:方正小标宋_GBK;font-size:12pt;v-text-align:center;"/>
            <w10:wrap type="none"/>
            <w10:anchorlock/>
          </v:shape>
        </w:pict>
      </w:r>
    </w:p>
    <w:p>
      <w:pPr>
        <w:rPr>
          <w:rFonts w:hint="eastAsia"/>
          <w:sz w:val="32"/>
          <w:szCs w:val="32"/>
        </w:rPr>
      </w:pPr>
    </w:p>
    <w:p>
      <w:pPr>
        <w:ind w:firstLine="21" w:firstLineChars="6"/>
        <w:jc w:val="center"/>
        <w:rPr>
          <w:rFonts w:eastAsia="方正仿宋_GBK"/>
          <w:sz w:val="36"/>
          <w:szCs w:val="36"/>
        </w:rPr>
      </w:pPr>
      <w:r>
        <w:rPr>
          <w:rFonts w:hint="eastAsia" w:eastAsia="方正仿宋_GBK"/>
          <w:sz w:val="36"/>
          <w:szCs w:val="36"/>
          <w:lang w:val="en-US" w:eastAsia="zh-CN"/>
        </w:rPr>
        <w:t>2024年</w:t>
      </w:r>
      <w:r>
        <w:rPr>
          <w:rFonts w:eastAsia="方正仿宋_GBK"/>
          <w:sz w:val="36"/>
          <w:szCs w:val="36"/>
        </w:rPr>
        <w:t>第</w:t>
      </w:r>
      <w:r>
        <w:rPr>
          <w:rFonts w:hint="eastAsia" w:eastAsia="方正仿宋_GBK"/>
          <w:sz w:val="36"/>
          <w:szCs w:val="36"/>
          <w:lang w:val="en-US" w:eastAsia="zh-CN"/>
        </w:rPr>
        <w:t>1</w:t>
      </w:r>
      <w:r>
        <w:rPr>
          <w:rFonts w:eastAsia="方正仿宋_GBK"/>
          <w:sz w:val="36"/>
          <w:szCs w:val="36"/>
        </w:rPr>
        <w:t>期</w:t>
      </w:r>
    </w:p>
    <w:p/>
    <w:p>
      <w:pPr>
        <w:ind w:firstLine="160" w:firstLineChars="50"/>
        <w:rPr>
          <w:rFonts w:eastAsia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攀枝花市知识产权服务中心  </w:t>
      </w:r>
      <w:r>
        <w:rPr>
          <w:rFonts w:eastAsia="方正仿宋_GBK"/>
          <w:sz w:val="32"/>
          <w:szCs w:val="32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7150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50pt;z-index:251659264;mso-width-relative:page;mso-height-relative:page;" filled="f" stroked="t" coordsize="21600,21600" o:gfxdata="UEsFBgAAAAAAAAAAAAAAAAAAAAAAAFBLAwQKAAAAAACHTuJAAAAAAAAAAAAAAAAABAAAAGRycy9Q&#10;SwMEFAAAAAgAh07iQKsgeLfTAAAABQEAAA8AAABkcnMvZG93bnJldi54bWxNj8tOwzAQRfdI/IM1&#10;SOxaO5VAIcSpCoIdEiI8unXjaRw1Hkexm6Z/z3QFy6N7dedMuZ59LyYcYxdIQ7ZUIJCaYDtqNXx9&#10;vi5yEDEZsqYPhBrOGGFdXV+VprDhRB841akVPEKxMBpcSkMhZWwcehOXYUDibB9GbxLj2Eo7mhOP&#10;+16ulLqX3nTEF5wZ8Nlhc6iPXsP8k2/c9i09vYTvd3eYt7WfVmetb28y9Qgi4Zz+ynDRZ3Wo2GkX&#10;jmSj6DUsMnXHVQ38Ecd5/sC4u6CsSvnfvvoFUEsDBBQAAAAIAIdO4kBFQXiZ9QEAAOUDAAAOAAAA&#10;ZHJzL2Uyb0RvYy54bWytU0uOEzEQ3SNxB8t70p1IYUatdGYxIWwQRAIO4PjTbck/uZx0cgkugMQO&#10;VizZcxtmjkHZncnAsMmCjV12lV/Ve1Ve3BysIXsZQXvX0umkpkQ67oV2XUs/fli/uKYEEnOCGe9k&#10;S48S6M3y+bPFEBo58703QkaCIA6aIbS0Tyk0VQW8l5bBxAfp0Kl8tCzhMXaViGxAdGuqWV2/rAYf&#10;RYieSwC8XY1OekKMlwB6pTSXK893Vro0okZpWEJK0OsAdFmqVUry9E4pkImYliLTVFZMgvY2r9Vy&#10;wZoustBrfiqBXVLCE06WaYdJz1ArlhjZRf0PlNU8evAqTbi31UikKIIspvUTbd73LMjCBaWGcBYd&#10;/h8sf7vfRKIFTgIljlls+N3nH78+fb3/+QXXu+/fyDSLNARoMPbWbeLpBGETM+ODijbvyIUcirDH&#10;s7DykAjHy/nVdF7XqDl/8FWPD0OE9Fp6S7LRUqNd5swatn8DCZNh6ENIvjaODC2dXc+v5ojHcAIV&#10;dh5NG5AFuK48Bm+0WGtj8hOI3fbWRLJnOAXrNVZSGo/Af4XlLCsG/RhXXON89JKJV06QdAyoj8Nv&#10;QXMNVgpKjMRflK0ySYlpc0kkpjYOqWVZRyGztfXiiN3Yhai7HqUoypcY7H4R4jSpebz+PBekx9+5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BQAAAAIAIdO4kCKFGY80QAAAJQBAAALAAAAAAAA&#10;AAEAIAAAAH0DAABfcmVscy8ucmVsc1BLAQIUAAoAAAAAAIdO4kAAAAAAAAAAAAAAAAAGAAAAAAAA&#10;AAAAEAAAAFkDAABfcmVscy9QSwECFAAKAAAAAACHTuJAAAAAAAAAAAAAAAAABAAAAAAAAAAAABAA&#10;AAAWAAAAZHJzL1BLAQIUABQAAAAIAIdO4kBFQXiZ9QEAAOUDAAAOAAAAAAAAAAEAIAAAADgBAABk&#10;cnMvZTJvRG9jLnhtbFBLAQIUABQAAAAIAIdO4kCrIHi30wAAAAUBAAAPAAAAAAAAAAEAIAAAADgA&#10;AABkcnMvZG93bnJldi54bWxQSwUGAAAAAAYABgBZAQAAn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攀枝花市专利情况</w:t>
      </w:r>
    </w:p>
    <w:p>
      <w:pPr>
        <w:jc w:val="left"/>
        <w:rPr>
          <w:rFonts w:ascii="Arial" w:hAnsi="Arial" w:cs="Arial"/>
          <w:shd w:val="clear" w:color="auto" w:fill="FFFFFF"/>
        </w:rPr>
      </w:pPr>
    </w:p>
    <w:p>
      <w:pP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年，全市授权专利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1271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件，同比202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年增长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-27.54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%(去年同期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1754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件)；授权发明专利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293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件，同比202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年增长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-25.06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%（去年同期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391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件）；授权实用新型专利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件，同比202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年增长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-29.90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%（去年同期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1311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件）；授权外观设计专利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件，同比202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年增长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13.46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%（去年同期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件）；202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PCT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专利申请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2月，全市授权专利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123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件，同比增长－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26.35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%(去年同期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167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；授权发明专利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件，同比增长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去年同期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；有效发明专利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3236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件，同比增长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9.73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去年同期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2949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有效实用新型6794件；有效外观设计专利269件；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万人发明专利拥有量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26.66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件。202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高价值专利拥有量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1183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万人高价值专利拥有量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9.74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件。</w:t>
      </w:r>
    </w:p>
    <w:tbl>
      <w:tblPr>
        <w:tblStyle w:val="4"/>
        <w:tblpPr w:leftFromText="180" w:rightFromText="180" w:vertAnchor="text" w:horzAnchor="page" w:tblpX="812" w:tblpY="1071"/>
        <w:tblOverlap w:val="never"/>
        <w:tblW w:w="10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40"/>
        <w:gridCol w:w="960"/>
        <w:gridCol w:w="860"/>
        <w:gridCol w:w="920"/>
        <w:gridCol w:w="820"/>
        <w:gridCol w:w="860"/>
        <w:gridCol w:w="840"/>
        <w:gridCol w:w="860"/>
        <w:gridCol w:w="880"/>
        <w:gridCol w:w="576"/>
        <w:gridCol w:w="164"/>
        <w:gridCol w:w="76"/>
      </w:tblGrid>
      <w:tr>
        <w:trPr>
          <w:gridAfter w:val="1"/>
          <w:wAfter w:w="76" w:type="dxa"/>
          <w:trHeight w:val="680" w:hRule="atLeast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191919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191919"/>
                <w:kern w:val="0"/>
                <w:sz w:val="36"/>
                <w:szCs w:val="36"/>
                <w:u w:val="none"/>
                <w:lang w:val="en-US" w:eastAsia="zh-CN" w:bidi="ar"/>
              </w:rPr>
              <w:t>2023年12各县区、钒钛高新区授权专利统计表</w:t>
            </w:r>
          </w:p>
        </w:tc>
      </w:tr>
      <w:tr>
        <w:trPr>
          <w:trHeight w:val="270" w:hRule="atLeast"/>
        </w:trPr>
        <w:tc>
          <w:tcPr>
            <w:tcW w:w="1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10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月合计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总量</w:t>
            </w:r>
          </w:p>
        </w:tc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发明</w:t>
            </w:r>
          </w:p>
        </w:tc>
        <w:tc>
          <w:tcPr>
            <w:tcW w:w="9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</w:t>
            </w:r>
          </w:p>
        </w:tc>
        <w:tc>
          <w:tcPr>
            <w:tcW w:w="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外观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</w:t>
            </w:r>
          </w:p>
        </w:tc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  <w:tc>
          <w:tcPr>
            <w:tcW w:w="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团体</w:t>
            </w:r>
          </w:p>
        </w:tc>
        <w:tc>
          <w:tcPr>
            <w:tcW w:w="5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个人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rPr>
          <w:trHeight w:val="1332" w:hRule="atLeast"/>
        </w:trPr>
        <w:tc>
          <w:tcPr>
            <w:tcW w:w="1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榛戜綋" w:hAnsi="榛戜綋" w:eastAsia="榛戜綋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4"/>
                <w:lang w:val="en-US" w:eastAsia="zh-CN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4"/>
                <w:lang w:val="en-US" w:eastAsia="zh-CN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4"/>
                <w:lang w:val="en-US" w:eastAsia="zh-CN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米易县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4"/>
                <w:lang w:val="en-US" w:eastAsia="zh-CN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盐边县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eastAsia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钒钛高新区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eastAsia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榛戜綋" w:hAnsi="榛戜綋" w:eastAsia="榛戜綋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</w:p>
    <w:tbl>
      <w:tblPr>
        <w:tblStyle w:val="4"/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500"/>
        <w:gridCol w:w="960"/>
        <w:gridCol w:w="920"/>
        <w:gridCol w:w="980"/>
        <w:gridCol w:w="879"/>
        <w:gridCol w:w="873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5" w:hRule="atLeast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191919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191919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191919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截至2023年12月各县区、钒钛高新区有效发明专利统计表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发明专利拥有量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</w:tc>
        <w:tc>
          <w:tcPr>
            <w:tcW w:w="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团体</w:t>
            </w: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高价值专利拥有量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2799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  <w:lang w:val="e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米易县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盐边县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钒钛高新区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榛戜綋" w:hAnsi="榛戜綋" w:eastAsia="榛戜綋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8"/>
                <w:szCs w:val="24"/>
              </w:rPr>
              <w:t>总计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  <w:t>3236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  <w:t>209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  <w:t>5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  <w:t>2964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  <w:t>11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color w:val="000000"/>
                <w:kern w:val="2"/>
                <w:sz w:val="28"/>
                <w:szCs w:val="24"/>
                <w:lang w:val="en-US" w:eastAsia="zh-CN" w:bidi="ar-SA"/>
              </w:rPr>
              <w:t>47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榛戜綋" w:hAnsi="榛戜綋" w:eastAsia="榛戜綋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color w:val="000000"/>
                <w:sz w:val="28"/>
                <w:szCs w:val="24"/>
                <w:lang w:val="en-US" w:eastAsia="zh-CN"/>
              </w:rPr>
              <w:t>1183</w:t>
            </w:r>
          </w:p>
        </w:tc>
      </w:tr>
    </w:tbl>
    <w:p>
      <w:pPr>
        <w:rPr>
          <w:rFonts w:hint="eastAsia" w:eastAsia="仿宋_GB2312"/>
          <w:sz w:val="28"/>
          <w:szCs w:val="28"/>
        </w:rPr>
      </w:pPr>
    </w:p>
    <w:p>
      <w:pPr>
        <w:pBdr>
          <w:bottom w:val="single" w:color="auto" w:sz="4" w:space="0"/>
        </w:pBdr>
        <w:spacing w:line="56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注：高价值专利拥有量为2023年</w:t>
      </w:r>
      <w:r>
        <w:rPr>
          <w:rFonts w:hint="eastAsia" w:eastAsia="仿宋_GB2312"/>
          <w:sz w:val="28"/>
          <w:szCs w:val="28"/>
          <w:lang w:eastAsia="zh-CN"/>
        </w:rPr>
        <w:t>全</w:t>
      </w:r>
      <w:r>
        <w:rPr>
          <w:rFonts w:hint="eastAsia" w:eastAsia="仿宋_GB2312"/>
          <w:sz w:val="28"/>
          <w:szCs w:val="28"/>
        </w:rPr>
        <w:t>年数值，该数据每年更新一次。</w:t>
      </w:r>
    </w:p>
    <w:p>
      <w:pPr>
        <w:pBdr>
          <w:bottom w:val="single" w:color="auto" w:sz="4" w:space="0"/>
        </w:pBdr>
        <w:spacing w:line="560" w:lineRule="exact"/>
        <w:rPr>
          <w:rFonts w:hint="eastAsia" w:eastAsia="仿宋_GB2312"/>
          <w:sz w:val="28"/>
          <w:szCs w:val="28"/>
        </w:rPr>
      </w:pPr>
    </w:p>
    <w:p>
      <w:pPr>
        <w:pBdr>
          <w:bottom w:val="single" w:color="auto" w:sz="4" w:space="0"/>
        </w:pBdr>
        <w:spacing w:line="560" w:lineRule="exact"/>
        <w:rPr>
          <w:rFonts w:hint="eastAsia" w:eastAsia="仿宋_GB2312"/>
          <w:sz w:val="28"/>
          <w:szCs w:val="28"/>
        </w:rPr>
      </w:pPr>
    </w:p>
    <w:p>
      <w:pPr>
        <w:pBdr>
          <w:bottom w:val="single" w:color="auto" w:sz="4" w:space="0"/>
        </w:pBdr>
        <w:spacing w:line="560" w:lineRule="exact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信息公开选项：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主动公开</w:t>
      </w:r>
    </w:p>
    <w:p>
      <w:pPr>
        <w:spacing w:line="560" w:lineRule="exact"/>
        <w:ind w:left="559" w:leftChars="133" w:hanging="280" w:hangingChars="1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送：</w:t>
      </w:r>
      <w:r>
        <w:rPr>
          <w:rFonts w:hint="eastAsia" w:eastAsia="仿宋_GB2312"/>
          <w:sz w:val="28"/>
          <w:szCs w:val="28"/>
          <w:lang w:eastAsia="zh-CN"/>
        </w:rPr>
        <w:t>市知识产权工作领导小组成员单位</w:t>
      </w:r>
      <w:r>
        <w:rPr>
          <w:rFonts w:hint="eastAsia" w:eastAsia="仿宋_GB2312"/>
          <w:sz w:val="28"/>
          <w:szCs w:val="28"/>
        </w:rPr>
        <w:t>，各县（</w:t>
      </w:r>
      <w:r>
        <w:rPr>
          <w:rFonts w:eastAsia="仿宋_GB2312"/>
          <w:sz w:val="28"/>
          <w:szCs w:val="28"/>
        </w:rPr>
        <w:t>区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市场监督管理局</w:t>
      </w:r>
      <w:r>
        <w:rPr>
          <w:rFonts w:hint="eastAsia" w:eastAsia="仿宋_GB2312"/>
          <w:sz w:val="28"/>
          <w:szCs w:val="28"/>
        </w:rPr>
        <w:t>。</w:t>
      </w:r>
    </w:p>
    <w:p>
      <w:pPr>
        <w:pBdr>
          <w:top w:val="single" w:color="auto" w:sz="4" w:space="0"/>
          <w:bottom w:val="single" w:color="auto" w:sz="4" w:space="0"/>
        </w:pBdr>
        <w:spacing w:line="560" w:lineRule="exact"/>
        <w:ind w:firstLine="280" w:firstLineChars="100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攀枝花市知识产权服务中心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 xml:space="preserve">  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eastAsia="仿宋_GB2312"/>
          <w:sz w:val="28"/>
          <w:szCs w:val="28"/>
        </w:rPr>
        <w:t>日印发</w:t>
      </w:r>
    </w:p>
    <w:p>
      <w:pPr>
        <w:rPr>
          <w:rFonts w:hint="eastAsia" w:ascii="宋体" w:hAnsi="宋体" w:cs="宋体"/>
          <w:color w:val="191919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榛戜綋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ODY3NjUzYWJjOWYyYWZjMWVhNzU4YzhhN2JlYTgifQ=="/>
  </w:docVars>
  <w:rsids>
    <w:rsidRoot w:val="7636489F"/>
    <w:rsid w:val="0D9454AA"/>
    <w:rsid w:val="1AC84414"/>
    <w:rsid w:val="220B7C40"/>
    <w:rsid w:val="38242300"/>
    <w:rsid w:val="48DC4954"/>
    <w:rsid w:val="60577BFD"/>
    <w:rsid w:val="62532ED4"/>
    <w:rsid w:val="6B37D015"/>
    <w:rsid w:val="6FBE028A"/>
    <w:rsid w:val="7636489F"/>
    <w:rsid w:val="7C317995"/>
    <w:rsid w:val="7E6D4A02"/>
    <w:rsid w:val="DFEF4457"/>
    <w:rsid w:val="E5DF9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2023-12-26T01:24:00Z</dcterms:created>
  <dc:creator>Administrator</dc:creator>
  <cp:lastModifiedBy>user</cp:lastModifiedBy>
  <dcterms:modified xsi:type="dcterms:W3CDTF">2024-03-05T08:59:45Z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C7D080E2569C7035446EE6654CBBA3A8</vt:lpwstr>
  </property>
</Properties>
</file>