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F58" w:rsidRDefault="00D85F58">
      <w:pPr>
        <w:spacing w:line="600" w:lineRule="exact"/>
        <w:jc w:val="center"/>
        <w:outlineLvl w:val="0"/>
        <w:rPr>
          <w:rFonts w:ascii="方正小标宋简体" w:eastAsia="方正小标宋简体" w:hAnsi="宋体"/>
          <w:sz w:val="72"/>
          <w:szCs w:val="72"/>
        </w:rPr>
      </w:pPr>
      <w:bookmarkStart w:id="0" w:name="_Toc15306267"/>
    </w:p>
    <w:p w:rsidR="00D85F58" w:rsidRDefault="00D85F58">
      <w:pPr>
        <w:spacing w:line="600" w:lineRule="exact"/>
        <w:jc w:val="center"/>
        <w:outlineLvl w:val="0"/>
        <w:rPr>
          <w:rFonts w:ascii="方正小标宋简体" w:eastAsia="方正小标宋简体" w:hAnsi="宋体"/>
          <w:sz w:val="72"/>
          <w:szCs w:val="72"/>
        </w:rPr>
      </w:pPr>
    </w:p>
    <w:p w:rsidR="00D85F58" w:rsidRDefault="00D85F58">
      <w:pPr>
        <w:spacing w:line="600" w:lineRule="exact"/>
        <w:jc w:val="center"/>
        <w:outlineLvl w:val="0"/>
        <w:rPr>
          <w:rFonts w:ascii="方正小标宋简体" w:eastAsia="方正小标宋简体" w:hAnsi="宋体"/>
          <w:sz w:val="72"/>
          <w:szCs w:val="72"/>
        </w:rPr>
      </w:pPr>
    </w:p>
    <w:p w:rsidR="00D85F58" w:rsidRDefault="00D85F58">
      <w:pPr>
        <w:spacing w:line="600" w:lineRule="exact"/>
        <w:jc w:val="center"/>
        <w:outlineLvl w:val="0"/>
        <w:rPr>
          <w:rFonts w:ascii="方正小标宋简体" w:eastAsia="方正小标宋简体" w:hAnsi="宋体"/>
          <w:sz w:val="72"/>
          <w:szCs w:val="72"/>
        </w:rPr>
      </w:pPr>
    </w:p>
    <w:p w:rsidR="00D85F58" w:rsidRDefault="00DD1531">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425"/>
      <w:bookmarkStart w:id="2" w:name="_Toc15396475"/>
      <w:bookmarkStart w:id="3" w:name="_Toc15396597"/>
      <w:bookmarkStart w:id="4" w:name="_Toc15378441"/>
      <w:bookmarkStart w:id="5" w:name="_Toc15377193"/>
      <w:bookmarkEnd w:id="0"/>
      <w:r>
        <w:rPr>
          <w:rFonts w:ascii="黑体" w:eastAsia="黑体" w:hAnsi="黑体"/>
          <w:color w:val="000000"/>
          <w:sz w:val="72"/>
          <w:szCs w:val="72"/>
        </w:rPr>
        <w:t>202</w:t>
      </w:r>
      <w:r>
        <w:rPr>
          <w:rFonts w:ascii="黑体" w:eastAsia="黑体" w:hAnsi="黑体" w:hint="eastAsia"/>
          <w:color w:val="000000"/>
          <w:sz w:val="72"/>
          <w:szCs w:val="72"/>
        </w:rPr>
        <w:t>1</w:t>
      </w:r>
      <w:r>
        <w:rPr>
          <w:rFonts w:ascii="方正小标宋简体" w:eastAsia="方正小标宋简体" w:hAnsi="宋体" w:hint="eastAsia"/>
          <w:color w:val="000000"/>
          <w:sz w:val="72"/>
          <w:szCs w:val="72"/>
        </w:rPr>
        <w:t>年度</w:t>
      </w:r>
      <w:bookmarkEnd w:id="1"/>
      <w:bookmarkEnd w:id="2"/>
      <w:bookmarkEnd w:id="3"/>
      <w:bookmarkEnd w:id="4"/>
      <w:bookmarkEnd w:id="5"/>
    </w:p>
    <w:p w:rsidR="00D85F58" w:rsidRDefault="00DD1531">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06268"/>
      <w:bookmarkStart w:id="7" w:name="_Toc15377426"/>
      <w:bookmarkStart w:id="8" w:name="_Toc15396598"/>
      <w:bookmarkStart w:id="9" w:name="_Toc15378442"/>
      <w:bookmarkStart w:id="10" w:name="_Toc15377194"/>
      <w:bookmarkStart w:id="11" w:name="_Toc15396476"/>
      <w:r>
        <w:rPr>
          <w:rFonts w:ascii="方正小标宋简体" w:eastAsia="方正小标宋简体" w:hAnsi="宋体" w:hint="eastAsia"/>
          <w:color w:val="000000"/>
          <w:sz w:val="72"/>
          <w:szCs w:val="72"/>
        </w:rPr>
        <w:t>攀西钒钛检验检测院</w:t>
      </w:r>
    </w:p>
    <w:p w:rsidR="00D85F58" w:rsidRDefault="00DD1531">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单位决算</w:t>
      </w:r>
      <w:bookmarkEnd w:id="6"/>
      <w:bookmarkEnd w:id="7"/>
      <w:bookmarkEnd w:id="8"/>
      <w:bookmarkEnd w:id="9"/>
      <w:bookmarkEnd w:id="10"/>
      <w:bookmarkEnd w:id="11"/>
    </w:p>
    <w:p w:rsidR="00D85F58" w:rsidRDefault="00DD1531">
      <w:pPr>
        <w:widowControl/>
        <w:jc w:val="center"/>
        <w:rPr>
          <w:rFonts w:ascii="黑体" w:eastAsia="黑体" w:hAnsi="黑体"/>
          <w:color w:val="000000"/>
          <w:sz w:val="48"/>
          <w:szCs w:val="48"/>
        </w:rPr>
      </w:pPr>
      <w:r>
        <w:rPr>
          <w:rFonts w:ascii="方正小标宋简体" w:eastAsia="方正小标宋简体" w:hAnsi="宋体"/>
          <w:sz w:val="36"/>
          <w:szCs w:val="36"/>
        </w:rPr>
        <w:br w:type="page"/>
      </w:r>
      <w:bookmarkStart w:id="12" w:name="_Toc15396599"/>
      <w:bookmarkStart w:id="13" w:name="_Toc15377196"/>
      <w:r>
        <w:rPr>
          <w:rFonts w:ascii="黑体" w:eastAsia="黑体" w:hAnsi="黑体" w:hint="eastAsia"/>
          <w:color w:val="000000"/>
          <w:sz w:val="48"/>
          <w:szCs w:val="48"/>
        </w:rPr>
        <w:lastRenderedPageBreak/>
        <w:t>目录</w:t>
      </w:r>
    </w:p>
    <w:p w:rsidR="00D85F58" w:rsidRDefault="00D85F58">
      <w:pPr>
        <w:widowControl/>
        <w:jc w:val="left"/>
        <w:rPr>
          <w:rFonts w:ascii="黑体" w:eastAsia="黑体" w:hAnsi="黑体"/>
          <w:sz w:val="28"/>
          <w:szCs w:val="28"/>
        </w:rPr>
      </w:pPr>
    </w:p>
    <w:p w:rsidR="00D85F58" w:rsidRDefault="00DD1531">
      <w:pPr>
        <w:pStyle w:val="10"/>
      </w:pPr>
      <w:r>
        <w:rPr>
          <w:rFonts w:hint="eastAsia"/>
        </w:rPr>
        <w:t>公开时间：</w:t>
      </w:r>
      <w:r>
        <w:t>202</w:t>
      </w:r>
      <w:r>
        <w:rPr>
          <w:rFonts w:hint="eastAsia"/>
        </w:rPr>
        <w:t>2年9月</w:t>
      </w:r>
      <w:r>
        <w:t>15</w:t>
      </w:r>
      <w:r>
        <w:rPr>
          <w:rFonts w:hint="eastAsia"/>
        </w:rPr>
        <w:t>日</w:t>
      </w:r>
    </w:p>
    <w:p w:rsidR="00D85F58" w:rsidRDefault="00D85F58">
      <w:pPr>
        <w:jc w:val="left"/>
      </w:pPr>
    </w:p>
    <w:p w:rsidR="00D85F58" w:rsidRDefault="00DD1531">
      <w:pPr>
        <w:pStyle w:val="10"/>
        <w:adjustRightInd w:val="0"/>
        <w:snapToGrid w:val="0"/>
        <w:spacing w:before="0" w:line="440" w:lineRule="exact"/>
        <w:jc w:val="left"/>
        <w:rPr>
          <w:sz w:val="24"/>
          <w:szCs w:val="24"/>
        </w:rPr>
      </w:pPr>
      <w:r>
        <w:rPr>
          <w:rFonts w:hint="eastAsia"/>
          <w:sz w:val="24"/>
        </w:rPr>
        <w:t>第一部分单位概况</w:t>
      </w:r>
      <w:r>
        <w:rPr>
          <w:sz w:val="24"/>
          <w:szCs w:val="24"/>
        </w:rPr>
        <w:tab/>
      </w:r>
      <w:r>
        <w:rPr>
          <w:rFonts w:hint="eastAsia"/>
          <w:sz w:val="24"/>
          <w:szCs w:val="24"/>
        </w:rPr>
        <w:t>4</w:t>
      </w:r>
    </w:p>
    <w:p w:rsidR="00D85F58" w:rsidRDefault="00DD1531">
      <w:pPr>
        <w:pStyle w:val="20"/>
        <w:adjustRightInd w:val="0"/>
        <w:snapToGrid w:val="0"/>
        <w:spacing w:before="93" w:line="440" w:lineRule="exact"/>
        <w:jc w:val="left"/>
        <w:rPr>
          <w:sz w:val="24"/>
        </w:rPr>
      </w:pPr>
      <w:r>
        <w:rPr>
          <w:rFonts w:hint="eastAsia"/>
          <w:sz w:val="24"/>
        </w:rPr>
        <w:t>一、职能简介</w:t>
      </w:r>
      <w:r>
        <w:rPr>
          <w:rFonts w:ascii="仿宋" w:eastAsia="仿宋" w:hAnsi="仿宋"/>
          <w:sz w:val="24"/>
        </w:rPr>
        <w:tab/>
      </w:r>
      <w:r>
        <w:rPr>
          <w:rFonts w:ascii="仿宋" w:eastAsia="仿宋" w:hAnsi="仿宋" w:hint="eastAsia"/>
          <w:sz w:val="24"/>
        </w:rPr>
        <w:t>4</w:t>
      </w:r>
    </w:p>
    <w:p w:rsidR="00D85F58" w:rsidRDefault="00DD1531">
      <w:pPr>
        <w:pStyle w:val="20"/>
        <w:adjustRightInd w:val="0"/>
        <w:snapToGrid w:val="0"/>
        <w:spacing w:before="93" w:line="440" w:lineRule="exact"/>
        <w:jc w:val="left"/>
        <w:rPr>
          <w:rFonts w:ascii="仿宋" w:eastAsia="仿宋" w:hAnsi="仿宋"/>
          <w:sz w:val="24"/>
        </w:rPr>
      </w:pPr>
      <w:r>
        <w:rPr>
          <w:rFonts w:asciiTheme="minorEastAsia" w:eastAsiaTheme="minorEastAsia" w:hAnsiTheme="minorEastAsia" w:cstheme="minorEastAsia" w:hint="eastAsia"/>
          <w:sz w:val="24"/>
        </w:rPr>
        <w:t>二、2021年重点工作完成情况</w:t>
      </w:r>
      <w:r>
        <w:rPr>
          <w:rFonts w:ascii="仿宋" w:eastAsia="仿宋" w:hAnsi="仿宋"/>
          <w:sz w:val="24"/>
        </w:rPr>
        <w:tab/>
      </w:r>
      <w:r>
        <w:rPr>
          <w:rFonts w:ascii="仿宋" w:eastAsia="仿宋" w:hAnsi="仿宋" w:hint="eastAsia"/>
          <w:sz w:val="24"/>
        </w:rPr>
        <w:t>4</w:t>
      </w:r>
    </w:p>
    <w:p w:rsidR="00D85F58" w:rsidRDefault="00DD1531">
      <w:pPr>
        <w:pStyle w:val="20"/>
        <w:adjustRightInd w:val="0"/>
        <w:snapToGrid w:val="0"/>
        <w:spacing w:before="93" w:line="440" w:lineRule="exact"/>
        <w:jc w:val="left"/>
        <w:rPr>
          <w:rFonts w:asciiTheme="minorEastAsia" w:eastAsia="仿宋" w:hAnsiTheme="minorEastAsia" w:cstheme="minorEastAsia"/>
          <w:sz w:val="24"/>
        </w:rPr>
      </w:pPr>
      <w:r>
        <w:rPr>
          <w:rFonts w:asciiTheme="minorEastAsia" w:eastAsiaTheme="minorEastAsia" w:hAnsiTheme="minorEastAsia" w:cstheme="minorEastAsia" w:hint="eastAsia"/>
          <w:sz w:val="24"/>
        </w:rPr>
        <w:t>三、机构设置情况</w:t>
      </w:r>
      <w:r>
        <w:rPr>
          <w:rFonts w:ascii="仿宋" w:eastAsia="仿宋" w:hAnsi="仿宋"/>
          <w:sz w:val="24"/>
        </w:rPr>
        <w:tab/>
      </w:r>
      <w:r>
        <w:rPr>
          <w:rFonts w:ascii="仿宋" w:eastAsia="仿宋" w:hAnsi="仿宋" w:hint="eastAsia"/>
          <w:sz w:val="24"/>
        </w:rPr>
        <w:t>8</w:t>
      </w:r>
    </w:p>
    <w:p w:rsidR="00D85F58" w:rsidRDefault="00D85F58"/>
    <w:p w:rsidR="00D85F58" w:rsidRDefault="00DD1531">
      <w:pPr>
        <w:pStyle w:val="10"/>
        <w:adjustRightInd w:val="0"/>
        <w:snapToGrid w:val="0"/>
        <w:spacing w:before="0" w:line="440" w:lineRule="exact"/>
        <w:jc w:val="left"/>
        <w:rPr>
          <w:sz w:val="24"/>
          <w:szCs w:val="24"/>
        </w:rPr>
      </w:pPr>
      <w:r>
        <w:rPr>
          <w:rFonts w:hint="eastAsia"/>
          <w:sz w:val="24"/>
        </w:rPr>
        <w:t>第二部分2</w:t>
      </w:r>
      <w:r>
        <w:rPr>
          <w:sz w:val="24"/>
        </w:rPr>
        <w:t>02</w:t>
      </w:r>
      <w:r>
        <w:rPr>
          <w:rFonts w:hint="eastAsia"/>
          <w:sz w:val="24"/>
        </w:rPr>
        <w:t>1年度单位决算情况说明</w:t>
      </w:r>
      <w:r>
        <w:rPr>
          <w:sz w:val="24"/>
          <w:szCs w:val="24"/>
        </w:rPr>
        <w:tab/>
      </w:r>
      <w:r w:rsidR="0028670A">
        <w:rPr>
          <w:sz w:val="24"/>
          <w:szCs w:val="24"/>
        </w:rPr>
        <w:t>9</w:t>
      </w:r>
    </w:p>
    <w:p w:rsidR="00D85F58" w:rsidRDefault="00DD1531">
      <w:pPr>
        <w:pStyle w:val="20"/>
        <w:adjustRightInd w:val="0"/>
        <w:snapToGrid w:val="0"/>
        <w:spacing w:line="440" w:lineRule="exact"/>
        <w:jc w:val="left"/>
        <w:rPr>
          <w:rFonts w:ascii="仿宋" w:eastAsia="仿宋" w:hAnsi="仿宋"/>
          <w:sz w:val="24"/>
        </w:rPr>
      </w:pPr>
      <w:r>
        <w:rPr>
          <w:rFonts w:hint="eastAsia"/>
          <w:sz w:val="24"/>
        </w:rPr>
        <w:t>一、收入支出决算总体情况说明</w:t>
      </w:r>
      <w:r>
        <w:rPr>
          <w:rFonts w:ascii="仿宋" w:eastAsia="仿宋" w:hAnsi="仿宋"/>
          <w:sz w:val="24"/>
        </w:rPr>
        <w:tab/>
      </w:r>
      <w:r w:rsidR="0028670A">
        <w:rPr>
          <w:rFonts w:ascii="仿宋" w:eastAsia="仿宋" w:hAnsi="仿宋"/>
          <w:sz w:val="24"/>
        </w:rPr>
        <w:t>9</w:t>
      </w:r>
    </w:p>
    <w:p w:rsidR="00D85F58" w:rsidRDefault="00DD1531">
      <w:pPr>
        <w:pStyle w:val="20"/>
        <w:adjustRightInd w:val="0"/>
        <w:snapToGrid w:val="0"/>
        <w:spacing w:line="440" w:lineRule="exact"/>
        <w:jc w:val="left"/>
        <w:rPr>
          <w:rFonts w:ascii="仿宋" w:eastAsia="仿宋" w:hAnsi="仿宋"/>
          <w:sz w:val="24"/>
        </w:rPr>
      </w:pPr>
      <w:r>
        <w:rPr>
          <w:rFonts w:hint="eastAsia"/>
          <w:sz w:val="24"/>
        </w:rPr>
        <w:t>二、收入决算情况说明</w:t>
      </w:r>
      <w:r>
        <w:rPr>
          <w:rFonts w:ascii="仿宋" w:eastAsia="仿宋" w:hAnsi="仿宋"/>
          <w:sz w:val="24"/>
        </w:rPr>
        <w:tab/>
      </w:r>
      <w:r w:rsidR="00F344CA">
        <w:rPr>
          <w:rFonts w:ascii="仿宋" w:eastAsia="仿宋" w:hAnsi="仿宋" w:hint="eastAsia"/>
          <w:sz w:val="24"/>
        </w:rPr>
        <w:t>9</w:t>
      </w:r>
    </w:p>
    <w:p w:rsidR="00D85F58" w:rsidRDefault="00DD1531">
      <w:pPr>
        <w:pStyle w:val="20"/>
        <w:adjustRightInd w:val="0"/>
        <w:snapToGrid w:val="0"/>
        <w:spacing w:line="440" w:lineRule="exact"/>
        <w:jc w:val="left"/>
        <w:rPr>
          <w:rFonts w:ascii="仿宋" w:eastAsia="仿宋" w:hAnsi="仿宋"/>
          <w:sz w:val="24"/>
        </w:rPr>
      </w:pPr>
      <w:r>
        <w:rPr>
          <w:rFonts w:hint="eastAsia"/>
          <w:sz w:val="24"/>
        </w:rPr>
        <w:t>三、支出决算情况说明</w:t>
      </w:r>
      <w:r>
        <w:rPr>
          <w:rFonts w:ascii="仿宋" w:eastAsia="仿宋" w:hAnsi="仿宋"/>
          <w:sz w:val="24"/>
        </w:rPr>
        <w:tab/>
      </w:r>
      <w:r w:rsidR="0028670A">
        <w:rPr>
          <w:rFonts w:ascii="仿宋" w:eastAsia="仿宋" w:hAnsi="仿宋"/>
          <w:sz w:val="24"/>
        </w:rPr>
        <w:t>10</w:t>
      </w:r>
    </w:p>
    <w:p w:rsidR="00D85F58" w:rsidRDefault="00DD1531">
      <w:pPr>
        <w:pStyle w:val="20"/>
        <w:adjustRightInd w:val="0"/>
        <w:snapToGrid w:val="0"/>
        <w:spacing w:line="440" w:lineRule="exact"/>
        <w:jc w:val="left"/>
        <w:rPr>
          <w:rFonts w:ascii="仿宋" w:eastAsia="仿宋" w:hAnsi="仿宋"/>
          <w:sz w:val="24"/>
        </w:rPr>
      </w:pPr>
      <w:r>
        <w:rPr>
          <w:rFonts w:hint="eastAsia"/>
          <w:sz w:val="24"/>
        </w:rPr>
        <w:t>四、财政拨款收入支出决算总体情况说明</w:t>
      </w:r>
      <w:r>
        <w:rPr>
          <w:rFonts w:ascii="仿宋" w:eastAsia="仿宋" w:hAnsi="仿宋"/>
          <w:sz w:val="24"/>
        </w:rPr>
        <w:tab/>
      </w:r>
      <w:r w:rsidR="0028670A">
        <w:rPr>
          <w:rFonts w:ascii="仿宋" w:eastAsia="仿宋" w:hAnsi="仿宋"/>
          <w:sz w:val="24"/>
        </w:rPr>
        <w:t>10</w:t>
      </w:r>
    </w:p>
    <w:p w:rsidR="00D85F58" w:rsidRDefault="00DD1531">
      <w:pPr>
        <w:pStyle w:val="20"/>
        <w:adjustRightInd w:val="0"/>
        <w:snapToGrid w:val="0"/>
        <w:spacing w:line="440" w:lineRule="exact"/>
        <w:jc w:val="left"/>
        <w:rPr>
          <w:rFonts w:ascii="仿宋" w:eastAsia="仿宋" w:hAnsi="仿宋"/>
          <w:sz w:val="24"/>
        </w:rPr>
      </w:pPr>
      <w:r>
        <w:rPr>
          <w:rFonts w:hint="eastAsia"/>
          <w:sz w:val="24"/>
        </w:rPr>
        <w:t>五、一般公共预算财政拨款支出决算情况说明</w:t>
      </w:r>
      <w:r>
        <w:rPr>
          <w:rFonts w:ascii="仿宋" w:eastAsia="仿宋" w:hAnsi="仿宋"/>
          <w:sz w:val="24"/>
        </w:rPr>
        <w:tab/>
      </w:r>
      <w:r>
        <w:rPr>
          <w:rFonts w:ascii="仿宋" w:eastAsia="仿宋" w:hAnsi="仿宋" w:hint="eastAsia"/>
          <w:sz w:val="24"/>
        </w:rPr>
        <w:t>1</w:t>
      </w:r>
      <w:r w:rsidR="0028670A">
        <w:rPr>
          <w:rFonts w:ascii="仿宋" w:eastAsia="仿宋" w:hAnsi="仿宋"/>
          <w:sz w:val="24"/>
        </w:rPr>
        <w:t>1</w:t>
      </w:r>
    </w:p>
    <w:p w:rsidR="00D85F58" w:rsidRDefault="00DD1531">
      <w:pPr>
        <w:pStyle w:val="20"/>
        <w:adjustRightInd w:val="0"/>
        <w:snapToGrid w:val="0"/>
        <w:spacing w:line="440" w:lineRule="exact"/>
        <w:jc w:val="left"/>
        <w:rPr>
          <w:rFonts w:ascii="仿宋" w:eastAsia="仿宋" w:hAnsi="仿宋"/>
          <w:sz w:val="24"/>
        </w:rPr>
      </w:pPr>
      <w:r>
        <w:rPr>
          <w:rFonts w:hint="eastAsia"/>
          <w:sz w:val="24"/>
        </w:rPr>
        <w:t>六、一般公共预算财政拨款基本支出决算情况说明</w:t>
      </w:r>
      <w:r>
        <w:rPr>
          <w:rFonts w:ascii="仿宋" w:eastAsia="仿宋" w:hAnsi="仿宋"/>
          <w:sz w:val="24"/>
        </w:rPr>
        <w:tab/>
      </w:r>
      <w:r>
        <w:rPr>
          <w:rFonts w:ascii="仿宋" w:eastAsia="仿宋" w:hAnsi="仿宋" w:hint="eastAsia"/>
          <w:sz w:val="24"/>
        </w:rPr>
        <w:t>1</w:t>
      </w:r>
      <w:r w:rsidR="0028670A">
        <w:rPr>
          <w:rFonts w:ascii="仿宋" w:eastAsia="仿宋" w:hAnsi="仿宋"/>
          <w:sz w:val="24"/>
        </w:rPr>
        <w:t>3</w:t>
      </w:r>
    </w:p>
    <w:p w:rsidR="00D85F58" w:rsidRDefault="00DD1531">
      <w:pPr>
        <w:pStyle w:val="20"/>
        <w:adjustRightInd w:val="0"/>
        <w:snapToGrid w:val="0"/>
        <w:spacing w:line="440" w:lineRule="exact"/>
        <w:jc w:val="left"/>
        <w:rPr>
          <w:rFonts w:ascii="仿宋" w:eastAsia="仿宋" w:hAnsi="仿宋"/>
          <w:sz w:val="24"/>
        </w:rPr>
      </w:pPr>
      <w:r>
        <w:rPr>
          <w:rFonts w:hint="eastAsia"/>
          <w:sz w:val="24"/>
        </w:rPr>
        <w:t>七、</w:t>
      </w:r>
      <w:r>
        <w:rPr>
          <w:sz w:val="24"/>
        </w:rPr>
        <w:t>“</w:t>
      </w:r>
      <w:r>
        <w:rPr>
          <w:rFonts w:hint="eastAsia"/>
          <w:sz w:val="24"/>
        </w:rPr>
        <w:t>三公”经费财政拨款支出决算情况说明</w:t>
      </w:r>
      <w:r>
        <w:rPr>
          <w:rFonts w:ascii="仿宋" w:eastAsia="仿宋" w:hAnsi="仿宋"/>
          <w:sz w:val="24"/>
        </w:rPr>
        <w:tab/>
      </w:r>
      <w:r>
        <w:rPr>
          <w:rFonts w:ascii="仿宋" w:eastAsia="仿宋" w:hAnsi="仿宋" w:hint="eastAsia"/>
          <w:sz w:val="24"/>
        </w:rPr>
        <w:t>1</w:t>
      </w:r>
      <w:r w:rsidR="0028670A">
        <w:rPr>
          <w:rFonts w:ascii="仿宋" w:eastAsia="仿宋" w:hAnsi="仿宋"/>
          <w:sz w:val="24"/>
        </w:rPr>
        <w:t>4</w:t>
      </w:r>
    </w:p>
    <w:p w:rsidR="00D85F58" w:rsidRDefault="00DD1531">
      <w:pPr>
        <w:pStyle w:val="20"/>
        <w:adjustRightInd w:val="0"/>
        <w:snapToGrid w:val="0"/>
        <w:spacing w:line="440" w:lineRule="exact"/>
        <w:jc w:val="left"/>
        <w:rPr>
          <w:rFonts w:ascii="仿宋" w:eastAsia="仿宋" w:hAnsi="仿宋"/>
          <w:sz w:val="24"/>
        </w:rPr>
      </w:pPr>
      <w:r>
        <w:rPr>
          <w:rFonts w:hint="eastAsia"/>
          <w:sz w:val="24"/>
        </w:rPr>
        <w:t>八、政府性基金预算支出决算情况说明</w:t>
      </w:r>
      <w:r>
        <w:rPr>
          <w:rFonts w:ascii="仿宋" w:eastAsia="仿宋" w:hAnsi="仿宋"/>
          <w:sz w:val="24"/>
        </w:rPr>
        <w:tab/>
      </w:r>
      <w:r>
        <w:rPr>
          <w:rFonts w:ascii="仿宋" w:eastAsia="仿宋" w:hAnsi="仿宋" w:hint="eastAsia"/>
          <w:sz w:val="24"/>
        </w:rPr>
        <w:t>1</w:t>
      </w:r>
      <w:r w:rsidR="0028670A">
        <w:rPr>
          <w:rFonts w:ascii="仿宋" w:eastAsia="仿宋" w:hAnsi="仿宋"/>
          <w:sz w:val="24"/>
        </w:rPr>
        <w:t>6</w:t>
      </w:r>
    </w:p>
    <w:p w:rsidR="00D85F58" w:rsidRDefault="00DD1531">
      <w:pPr>
        <w:pStyle w:val="20"/>
        <w:adjustRightInd w:val="0"/>
        <w:snapToGrid w:val="0"/>
        <w:spacing w:line="440" w:lineRule="exact"/>
        <w:ind w:leftChars="0"/>
        <w:jc w:val="left"/>
        <w:rPr>
          <w:rFonts w:ascii="仿宋" w:eastAsia="仿宋" w:hAnsi="仿宋"/>
          <w:sz w:val="24"/>
        </w:rPr>
      </w:pPr>
      <w:r>
        <w:rPr>
          <w:rFonts w:ascii="仿宋" w:eastAsia="仿宋" w:hAnsi="仿宋" w:hint="eastAsia"/>
          <w:sz w:val="24"/>
        </w:rPr>
        <w:t>九、</w:t>
      </w:r>
      <w:r>
        <w:rPr>
          <w:rFonts w:hint="eastAsia"/>
          <w:sz w:val="24"/>
        </w:rPr>
        <w:t>国有资本经营预算支出决算情况说明</w:t>
      </w:r>
      <w:r>
        <w:rPr>
          <w:rFonts w:ascii="仿宋" w:eastAsia="仿宋" w:hAnsi="仿宋"/>
          <w:sz w:val="24"/>
        </w:rPr>
        <w:tab/>
      </w:r>
      <w:r>
        <w:rPr>
          <w:rFonts w:ascii="仿宋" w:eastAsia="仿宋" w:hAnsi="仿宋" w:hint="eastAsia"/>
          <w:sz w:val="24"/>
        </w:rPr>
        <w:t>1</w:t>
      </w:r>
      <w:r w:rsidR="0028670A">
        <w:rPr>
          <w:rFonts w:ascii="仿宋" w:eastAsia="仿宋" w:hAnsi="仿宋"/>
          <w:sz w:val="24"/>
        </w:rPr>
        <w:t>6</w:t>
      </w:r>
    </w:p>
    <w:p w:rsidR="00D85F58" w:rsidRDefault="00DD1531">
      <w:pPr>
        <w:tabs>
          <w:tab w:val="right" w:leader="dot" w:pos="8306"/>
        </w:tabs>
        <w:adjustRightInd w:val="0"/>
        <w:snapToGrid w:val="0"/>
        <w:spacing w:line="440" w:lineRule="exact"/>
        <w:ind w:firstLineChars="200" w:firstLine="480"/>
        <w:jc w:val="left"/>
        <w:rPr>
          <w:rFonts w:ascii="仿宋" w:eastAsia="仿宋" w:hAnsi="仿宋"/>
          <w:sz w:val="24"/>
        </w:rPr>
      </w:pPr>
      <w:r>
        <w:rPr>
          <w:rStyle w:val="a8"/>
          <w:rFonts w:ascii="仿宋" w:eastAsia="仿宋" w:hAnsi="仿宋" w:hint="eastAsia"/>
          <w:color w:val="000000"/>
          <w:sz w:val="24"/>
          <w:u w:val="none"/>
        </w:rPr>
        <w:t>十、</w:t>
      </w:r>
      <w:r>
        <w:rPr>
          <w:rFonts w:hint="eastAsia"/>
          <w:sz w:val="24"/>
        </w:rPr>
        <w:t>其他重要事项的情况说明</w:t>
      </w:r>
      <w:r>
        <w:rPr>
          <w:rFonts w:ascii="仿宋" w:eastAsia="仿宋" w:hAnsi="仿宋"/>
          <w:sz w:val="24"/>
        </w:rPr>
        <w:tab/>
      </w:r>
      <w:r>
        <w:rPr>
          <w:rFonts w:ascii="仿宋" w:eastAsia="仿宋" w:hAnsi="仿宋" w:hint="eastAsia"/>
          <w:sz w:val="24"/>
        </w:rPr>
        <w:t>1</w:t>
      </w:r>
      <w:r w:rsidR="0028670A">
        <w:rPr>
          <w:rFonts w:ascii="仿宋" w:eastAsia="仿宋" w:hAnsi="仿宋"/>
          <w:sz w:val="24"/>
        </w:rPr>
        <w:t>6</w:t>
      </w:r>
      <w:bookmarkStart w:id="14" w:name="_GoBack"/>
      <w:bookmarkEnd w:id="14"/>
    </w:p>
    <w:p w:rsidR="00D85F58" w:rsidRDefault="00DD1531">
      <w:pPr>
        <w:pStyle w:val="10"/>
        <w:adjustRightInd w:val="0"/>
        <w:snapToGrid w:val="0"/>
        <w:spacing w:before="0" w:line="440" w:lineRule="exact"/>
        <w:jc w:val="left"/>
        <w:rPr>
          <w:sz w:val="24"/>
          <w:szCs w:val="24"/>
        </w:rPr>
      </w:pPr>
      <w:r>
        <w:rPr>
          <w:rFonts w:hint="eastAsia"/>
          <w:sz w:val="24"/>
        </w:rPr>
        <w:t>第三部分名词解释</w:t>
      </w:r>
      <w:r>
        <w:rPr>
          <w:sz w:val="24"/>
          <w:szCs w:val="24"/>
        </w:rPr>
        <w:tab/>
      </w:r>
      <w:r>
        <w:rPr>
          <w:rFonts w:hint="eastAsia"/>
          <w:sz w:val="24"/>
          <w:szCs w:val="24"/>
        </w:rPr>
        <w:t>18</w:t>
      </w:r>
    </w:p>
    <w:p w:rsidR="00D85F58" w:rsidRDefault="00DD1531">
      <w:pPr>
        <w:pStyle w:val="10"/>
        <w:adjustRightInd w:val="0"/>
        <w:snapToGrid w:val="0"/>
        <w:spacing w:before="0" w:line="440" w:lineRule="exact"/>
        <w:jc w:val="left"/>
        <w:rPr>
          <w:sz w:val="24"/>
          <w:szCs w:val="24"/>
        </w:rPr>
      </w:pPr>
      <w:r>
        <w:rPr>
          <w:rFonts w:hint="eastAsia"/>
          <w:sz w:val="24"/>
        </w:rPr>
        <w:t>第四部分附件</w:t>
      </w:r>
      <w:r>
        <w:rPr>
          <w:sz w:val="24"/>
          <w:szCs w:val="24"/>
        </w:rPr>
        <w:tab/>
      </w:r>
      <w:r>
        <w:rPr>
          <w:rFonts w:hint="eastAsia"/>
          <w:sz w:val="24"/>
          <w:szCs w:val="24"/>
        </w:rPr>
        <w:t>21</w:t>
      </w:r>
    </w:p>
    <w:p w:rsidR="00D85F58" w:rsidRDefault="00DD1531">
      <w:pPr>
        <w:pStyle w:val="10"/>
        <w:adjustRightInd w:val="0"/>
        <w:snapToGrid w:val="0"/>
        <w:spacing w:before="0" w:line="440" w:lineRule="exact"/>
        <w:jc w:val="left"/>
        <w:rPr>
          <w:sz w:val="24"/>
          <w:szCs w:val="24"/>
        </w:rPr>
      </w:pPr>
      <w:r>
        <w:rPr>
          <w:rFonts w:hint="eastAsia"/>
          <w:sz w:val="24"/>
        </w:rPr>
        <w:t>第五部分附表</w:t>
      </w:r>
      <w:r>
        <w:rPr>
          <w:sz w:val="24"/>
          <w:szCs w:val="24"/>
        </w:rPr>
        <w:tab/>
      </w:r>
      <w:r>
        <w:rPr>
          <w:rFonts w:hint="eastAsia"/>
          <w:sz w:val="24"/>
          <w:szCs w:val="24"/>
        </w:rPr>
        <w:t>31</w:t>
      </w:r>
    </w:p>
    <w:p w:rsidR="00D85F58" w:rsidRDefault="00DD1531">
      <w:pPr>
        <w:pStyle w:val="20"/>
        <w:numPr>
          <w:ilvl w:val="0"/>
          <w:numId w:val="1"/>
        </w:numPr>
        <w:adjustRightInd w:val="0"/>
        <w:snapToGrid w:val="0"/>
        <w:spacing w:line="440" w:lineRule="exact"/>
        <w:jc w:val="left"/>
        <w:rPr>
          <w:sz w:val="24"/>
        </w:rPr>
      </w:pPr>
      <w:r>
        <w:rPr>
          <w:rFonts w:hint="eastAsia"/>
          <w:sz w:val="24"/>
        </w:rPr>
        <w:t>收入支出决算总表</w:t>
      </w:r>
      <w:r>
        <w:rPr>
          <w:sz w:val="24"/>
        </w:rPr>
        <w:tab/>
      </w:r>
      <w:r>
        <w:rPr>
          <w:rFonts w:hint="eastAsia"/>
          <w:sz w:val="24"/>
        </w:rPr>
        <w:t>31</w:t>
      </w:r>
    </w:p>
    <w:p w:rsidR="00D85F58" w:rsidRDefault="00DD1531">
      <w:pPr>
        <w:pStyle w:val="20"/>
        <w:numPr>
          <w:ilvl w:val="0"/>
          <w:numId w:val="1"/>
        </w:numPr>
        <w:adjustRightInd w:val="0"/>
        <w:snapToGrid w:val="0"/>
        <w:spacing w:line="440" w:lineRule="exact"/>
        <w:jc w:val="left"/>
        <w:rPr>
          <w:sz w:val="24"/>
        </w:rPr>
      </w:pPr>
      <w:r>
        <w:rPr>
          <w:rFonts w:hint="eastAsia"/>
          <w:sz w:val="24"/>
        </w:rPr>
        <w:t>收入</w:t>
      </w:r>
      <w:r>
        <w:rPr>
          <w:rFonts w:ascii="仿宋" w:eastAsia="仿宋" w:hAnsi="仿宋" w:hint="eastAsia"/>
          <w:sz w:val="24"/>
        </w:rPr>
        <w:t>决算</w:t>
      </w:r>
      <w:r>
        <w:rPr>
          <w:rFonts w:hint="eastAsia"/>
          <w:sz w:val="24"/>
        </w:rPr>
        <w:t>表</w:t>
      </w:r>
      <w:r>
        <w:rPr>
          <w:sz w:val="24"/>
        </w:rPr>
        <w:tab/>
      </w:r>
      <w:r>
        <w:rPr>
          <w:rFonts w:hint="eastAsia"/>
          <w:sz w:val="24"/>
        </w:rPr>
        <w:t>31</w:t>
      </w:r>
    </w:p>
    <w:p w:rsidR="00D85F58" w:rsidRDefault="00DD1531">
      <w:pPr>
        <w:pStyle w:val="20"/>
        <w:numPr>
          <w:ilvl w:val="0"/>
          <w:numId w:val="1"/>
        </w:numPr>
        <w:adjustRightInd w:val="0"/>
        <w:snapToGrid w:val="0"/>
        <w:spacing w:line="440" w:lineRule="exact"/>
        <w:jc w:val="left"/>
        <w:rPr>
          <w:sz w:val="24"/>
        </w:rPr>
      </w:pPr>
      <w:r>
        <w:rPr>
          <w:rFonts w:hint="eastAsia"/>
          <w:sz w:val="24"/>
        </w:rPr>
        <w:t>支出</w:t>
      </w:r>
      <w:r>
        <w:rPr>
          <w:rFonts w:ascii="仿宋" w:eastAsia="仿宋" w:hAnsi="仿宋" w:hint="eastAsia"/>
          <w:sz w:val="24"/>
        </w:rPr>
        <w:t>决算</w:t>
      </w:r>
      <w:r>
        <w:rPr>
          <w:rFonts w:hint="eastAsia"/>
          <w:sz w:val="24"/>
        </w:rPr>
        <w:t>表</w:t>
      </w:r>
      <w:r>
        <w:rPr>
          <w:sz w:val="24"/>
        </w:rPr>
        <w:tab/>
      </w:r>
      <w:r>
        <w:rPr>
          <w:rFonts w:hint="eastAsia"/>
          <w:sz w:val="24"/>
        </w:rPr>
        <w:t>31</w:t>
      </w:r>
    </w:p>
    <w:p w:rsidR="00D85F58" w:rsidRDefault="00DD1531">
      <w:pPr>
        <w:pStyle w:val="20"/>
        <w:numPr>
          <w:ilvl w:val="0"/>
          <w:numId w:val="1"/>
        </w:numPr>
        <w:adjustRightInd w:val="0"/>
        <w:snapToGrid w:val="0"/>
        <w:spacing w:line="440" w:lineRule="exact"/>
        <w:jc w:val="left"/>
        <w:rPr>
          <w:sz w:val="24"/>
        </w:rPr>
      </w:pPr>
      <w:r>
        <w:rPr>
          <w:rFonts w:hint="eastAsia"/>
          <w:sz w:val="24"/>
        </w:rPr>
        <w:t>财政拨款收入支出决算总表</w:t>
      </w:r>
      <w:r>
        <w:rPr>
          <w:sz w:val="24"/>
        </w:rPr>
        <w:tab/>
      </w:r>
      <w:r>
        <w:rPr>
          <w:rFonts w:hint="eastAsia"/>
          <w:sz w:val="24"/>
        </w:rPr>
        <w:t>31</w:t>
      </w:r>
    </w:p>
    <w:p w:rsidR="00D85F58" w:rsidRDefault="00DD1531">
      <w:pPr>
        <w:pStyle w:val="20"/>
        <w:adjustRightInd w:val="0"/>
        <w:snapToGrid w:val="0"/>
        <w:spacing w:line="440" w:lineRule="exact"/>
        <w:ind w:leftChars="0" w:left="0" w:firstLineChars="200" w:firstLine="480"/>
        <w:jc w:val="left"/>
        <w:rPr>
          <w:rFonts w:ascii="仿宋" w:hAnsi="仿宋"/>
          <w:sz w:val="24"/>
        </w:rPr>
      </w:pPr>
      <w:r>
        <w:rPr>
          <w:rFonts w:hint="eastAsia"/>
          <w:sz w:val="24"/>
        </w:rPr>
        <w:t>五、财政拨款支出决算明细表</w:t>
      </w:r>
      <w:r>
        <w:rPr>
          <w:sz w:val="24"/>
        </w:rPr>
        <w:tab/>
      </w:r>
      <w:r>
        <w:rPr>
          <w:rFonts w:hint="eastAsia"/>
          <w:sz w:val="24"/>
        </w:rPr>
        <w:t>31</w:t>
      </w:r>
    </w:p>
    <w:p w:rsidR="00D85F58" w:rsidRDefault="00DD1531">
      <w:pPr>
        <w:pStyle w:val="20"/>
        <w:adjustRightInd w:val="0"/>
        <w:snapToGrid w:val="0"/>
        <w:spacing w:line="440" w:lineRule="exact"/>
        <w:jc w:val="left"/>
        <w:rPr>
          <w:sz w:val="24"/>
        </w:rPr>
      </w:pPr>
      <w:r>
        <w:rPr>
          <w:rFonts w:ascii="仿宋" w:eastAsia="仿宋" w:hAnsi="仿宋" w:hint="eastAsia"/>
          <w:sz w:val="24"/>
        </w:rPr>
        <w:t>六、</w:t>
      </w:r>
      <w:r>
        <w:rPr>
          <w:rFonts w:hint="eastAsia"/>
          <w:sz w:val="24"/>
        </w:rPr>
        <w:t>一般公共预算财政拨款支出决算表</w:t>
      </w:r>
      <w:r>
        <w:rPr>
          <w:sz w:val="24"/>
        </w:rPr>
        <w:tab/>
      </w:r>
      <w:r>
        <w:rPr>
          <w:rFonts w:hint="eastAsia"/>
          <w:sz w:val="24"/>
        </w:rPr>
        <w:t>31</w:t>
      </w:r>
    </w:p>
    <w:p w:rsidR="00D85F58" w:rsidRDefault="00DD1531">
      <w:pPr>
        <w:pStyle w:val="20"/>
        <w:adjustRightInd w:val="0"/>
        <w:snapToGrid w:val="0"/>
        <w:spacing w:line="440" w:lineRule="exact"/>
        <w:jc w:val="left"/>
        <w:rPr>
          <w:sz w:val="24"/>
        </w:rPr>
      </w:pPr>
      <w:r>
        <w:rPr>
          <w:rFonts w:ascii="仿宋" w:eastAsia="仿宋" w:hAnsi="仿宋" w:hint="eastAsia"/>
          <w:sz w:val="24"/>
        </w:rPr>
        <w:t>七、</w:t>
      </w:r>
      <w:r>
        <w:rPr>
          <w:rFonts w:hint="eastAsia"/>
          <w:sz w:val="24"/>
        </w:rPr>
        <w:t>一般公共预算财政拨款支出决算明细表</w:t>
      </w:r>
      <w:r>
        <w:rPr>
          <w:sz w:val="24"/>
        </w:rPr>
        <w:tab/>
      </w:r>
      <w:r>
        <w:rPr>
          <w:rFonts w:hint="eastAsia"/>
          <w:sz w:val="24"/>
        </w:rPr>
        <w:t>31</w:t>
      </w:r>
    </w:p>
    <w:p w:rsidR="00D85F58" w:rsidRDefault="00DD1531">
      <w:pPr>
        <w:pStyle w:val="20"/>
        <w:adjustRightInd w:val="0"/>
        <w:snapToGrid w:val="0"/>
        <w:spacing w:line="440" w:lineRule="exact"/>
        <w:jc w:val="left"/>
        <w:rPr>
          <w:rFonts w:ascii="仿宋" w:hAnsi="仿宋"/>
          <w:sz w:val="24"/>
        </w:rPr>
      </w:pPr>
      <w:r>
        <w:rPr>
          <w:rFonts w:ascii="仿宋" w:eastAsia="仿宋" w:hAnsi="仿宋" w:hint="eastAsia"/>
          <w:sz w:val="24"/>
        </w:rPr>
        <w:lastRenderedPageBreak/>
        <w:t>八、</w:t>
      </w:r>
      <w:r>
        <w:rPr>
          <w:rFonts w:hint="eastAsia"/>
          <w:sz w:val="24"/>
        </w:rPr>
        <w:t>一般公共预算财政拨款基本支出决算表</w:t>
      </w:r>
      <w:r>
        <w:rPr>
          <w:sz w:val="24"/>
        </w:rPr>
        <w:tab/>
      </w:r>
      <w:r>
        <w:rPr>
          <w:rFonts w:hint="eastAsia"/>
          <w:sz w:val="24"/>
        </w:rPr>
        <w:t>31</w:t>
      </w:r>
    </w:p>
    <w:p w:rsidR="00D85F58" w:rsidRDefault="00DD1531">
      <w:pPr>
        <w:pStyle w:val="20"/>
        <w:adjustRightInd w:val="0"/>
        <w:snapToGrid w:val="0"/>
        <w:spacing w:line="440" w:lineRule="exact"/>
        <w:jc w:val="left"/>
        <w:rPr>
          <w:sz w:val="24"/>
        </w:rPr>
      </w:pPr>
      <w:r>
        <w:rPr>
          <w:rFonts w:ascii="仿宋" w:eastAsia="仿宋" w:hAnsi="仿宋" w:hint="eastAsia"/>
          <w:sz w:val="24"/>
        </w:rPr>
        <w:t>九、</w:t>
      </w:r>
      <w:r>
        <w:rPr>
          <w:rFonts w:hint="eastAsia"/>
          <w:sz w:val="24"/>
        </w:rPr>
        <w:t>一般公共预算财政拨款项目支出决算表</w:t>
      </w:r>
      <w:r>
        <w:rPr>
          <w:sz w:val="24"/>
        </w:rPr>
        <w:tab/>
      </w:r>
      <w:r>
        <w:rPr>
          <w:rFonts w:hint="eastAsia"/>
          <w:sz w:val="24"/>
        </w:rPr>
        <w:t>31</w:t>
      </w:r>
    </w:p>
    <w:p w:rsidR="00D85F58" w:rsidRDefault="00DD1531">
      <w:pPr>
        <w:pStyle w:val="20"/>
        <w:adjustRightInd w:val="0"/>
        <w:snapToGrid w:val="0"/>
        <w:spacing w:line="440" w:lineRule="exact"/>
        <w:jc w:val="left"/>
        <w:rPr>
          <w:sz w:val="24"/>
        </w:rPr>
      </w:pPr>
      <w:r>
        <w:rPr>
          <w:rFonts w:ascii="仿宋" w:eastAsia="仿宋" w:hAnsi="仿宋" w:hint="eastAsia"/>
          <w:sz w:val="24"/>
        </w:rPr>
        <w:t>十、</w:t>
      </w:r>
      <w:r>
        <w:rPr>
          <w:rFonts w:hint="eastAsia"/>
          <w:sz w:val="24"/>
        </w:rPr>
        <w:t>一般公共预算财政拨款“三公”经费支出决算表</w:t>
      </w:r>
      <w:r>
        <w:rPr>
          <w:sz w:val="24"/>
        </w:rPr>
        <w:tab/>
      </w:r>
      <w:r>
        <w:rPr>
          <w:rFonts w:hint="eastAsia"/>
          <w:sz w:val="24"/>
        </w:rPr>
        <w:t>31</w:t>
      </w:r>
    </w:p>
    <w:p w:rsidR="00D85F58" w:rsidRDefault="00DD1531">
      <w:pPr>
        <w:pStyle w:val="20"/>
        <w:adjustRightInd w:val="0"/>
        <w:snapToGrid w:val="0"/>
        <w:spacing w:line="440" w:lineRule="exact"/>
        <w:jc w:val="left"/>
        <w:rPr>
          <w:rFonts w:ascii="仿宋" w:hAnsi="仿宋"/>
          <w:sz w:val="24"/>
        </w:rPr>
      </w:pPr>
      <w:r>
        <w:rPr>
          <w:rFonts w:ascii="仿宋" w:eastAsia="仿宋" w:hAnsi="仿宋" w:hint="eastAsia"/>
          <w:sz w:val="24"/>
        </w:rPr>
        <w:t>十一、</w:t>
      </w:r>
      <w:r>
        <w:rPr>
          <w:rFonts w:hint="eastAsia"/>
          <w:sz w:val="24"/>
        </w:rPr>
        <w:t>政府性基金预算财政拨款收入支出决算表</w:t>
      </w:r>
      <w:r>
        <w:rPr>
          <w:sz w:val="24"/>
        </w:rPr>
        <w:tab/>
      </w:r>
      <w:r>
        <w:rPr>
          <w:rFonts w:hint="eastAsia"/>
          <w:sz w:val="24"/>
        </w:rPr>
        <w:t>31</w:t>
      </w:r>
    </w:p>
    <w:p w:rsidR="00D85F58" w:rsidRDefault="00DD1531">
      <w:pPr>
        <w:pStyle w:val="20"/>
        <w:tabs>
          <w:tab w:val="clear" w:pos="8296"/>
          <w:tab w:val="right" w:leader="dot" w:pos="8306"/>
        </w:tabs>
        <w:adjustRightInd w:val="0"/>
        <w:snapToGrid w:val="0"/>
        <w:spacing w:line="440" w:lineRule="exact"/>
        <w:jc w:val="left"/>
        <w:rPr>
          <w:rFonts w:ascii="仿宋" w:hAnsi="仿宋"/>
          <w:sz w:val="24"/>
        </w:rPr>
      </w:pPr>
      <w:r>
        <w:rPr>
          <w:rFonts w:ascii="仿宋" w:eastAsia="仿宋" w:hAnsi="仿宋" w:hint="eastAsia"/>
          <w:sz w:val="24"/>
        </w:rPr>
        <w:t>十二、</w:t>
      </w:r>
      <w:r>
        <w:rPr>
          <w:rFonts w:hint="eastAsia"/>
          <w:sz w:val="24"/>
        </w:rPr>
        <w:t>政府性基金预算财政拨款“三公”经费支出决算表</w:t>
      </w:r>
      <w:r>
        <w:rPr>
          <w:sz w:val="24"/>
        </w:rPr>
        <w:tab/>
      </w:r>
      <w:r>
        <w:rPr>
          <w:rFonts w:hint="eastAsia"/>
          <w:sz w:val="24"/>
        </w:rPr>
        <w:t>31</w:t>
      </w:r>
    </w:p>
    <w:p w:rsidR="00D85F58" w:rsidRDefault="00DD1531">
      <w:pPr>
        <w:pStyle w:val="20"/>
        <w:adjustRightInd w:val="0"/>
        <w:snapToGrid w:val="0"/>
        <w:spacing w:line="440" w:lineRule="exact"/>
        <w:jc w:val="left"/>
        <w:rPr>
          <w:sz w:val="24"/>
        </w:rPr>
      </w:pPr>
      <w:r>
        <w:rPr>
          <w:rFonts w:hint="eastAsia"/>
          <w:sz w:val="24"/>
        </w:rPr>
        <w:t>十三、国有资本经营预算财政拨款收入支出决算表</w:t>
      </w:r>
      <w:r>
        <w:rPr>
          <w:sz w:val="24"/>
        </w:rPr>
        <w:tab/>
      </w:r>
      <w:r>
        <w:rPr>
          <w:rFonts w:hint="eastAsia"/>
          <w:sz w:val="24"/>
        </w:rPr>
        <w:t>31</w:t>
      </w:r>
    </w:p>
    <w:p w:rsidR="00D85F58" w:rsidRDefault="00DD1531">
      <w:pPr>
        <w:pStyle w:val="20"/>
        <w:adjustRightInd w:val="0"/>
        <w:snapToGrid w:val="0"/>
        <w:spacing w:line="440" w:lineRule="exact"/>
        <w:jc w:val="left"/>
        <w:rPr>
          <w:sz w:val="24"/>
        </w:rPr>
      </w:pPr>
      <w:r>
        <w:rPr>
          <w:rFonts w:hint="eastAsia"/>
          <w:sz w:val="24"/>
        </w:rPr>
        <w:t>十四、国有资本经营预算财政拨款支出决算表</w:t>
      </w:r>
      <w:r>
        <w:rPr>
          <w:sz w:val="24"/>
        </w:rPr>
        <w:tab/>
      </w:r>
      <w:r>
        <w:rPr>
          <w:rFonts w:hint="eastAsia"/>
          <w:sz w:val="24"/>
        </w:rPr>
        <w:t>31</w:t>
      </w:r>
    </w:p>
    <w:p w:rsidR="00D85F58" w:rsidRDefault="00D85F58">
      <w:pPr>
        <w:widowControl/>
        <w:adjustRightInd w:val="0"/>
        <w:snapToGrid w:val="0"/>
        <w:spacing w:line="440" w:lineRule="exact"/>
        <w:ind w:firstLineChars="550" w:firstLine="1320"/>
        <w:jc w:val="left"/>
        <w:rPr>
          <w:rFonts w:ascii="仿宋" w:eastAsia="仿宋" w:hAnsi="仿宋"/>
          <w:color w:val="FF0000"/>
          <w:sz w:val="24"/>
        </w:rPr>
      </w:pPr>
    </w:p>
    <w:p w:rsidR="00D85F58" w:rsidRDefault="00DD1531">
      <w:pPr>
        <w:widowControl/>
        <w:spacing w:line="440" w:lineRule="exact"/>
        <w:jc w:val="left"/>
        <w:rPr>
          <w:rFonts w:ascii="仿宋" w:eastAsia="仿宋" w:hAnsi="仿宋"/>
          <w:bCs/>
          <w:kern w:val="44"/>
          <w:sz w:val="24"/>
        </w:rPr>
      </w:pPr>
      <w:r>
        <w:rPr>
          <w:rFonts w:ascii="仿宋" w:eastAsia="仿宋" w:hAnsi="仿宋"/>
          <w:b/>
          <w:sz w:val="24"/>
        </w:rPr>
        <w:br w:type="page"/>
      </w:r>
    </w:p>
    <w:bookmarkEnd w:id="12"/>
    <w:bookmarkEnd w:id="13"/>
    <w:p w:rsidR="00D85F58" w:rsidRDefault="00DD1531">
      <w:pPr>
        <w:pStyle w:val="1"/>
        <w:jc w:val="center"/>
        <w:rPr>
          <w:rStyle w:val="1CharChar"/>
          <w:rFonts w:ascii="黑体" w:eastAsia="黑体" w:hAnsi="黑体"/>
        </w:rPr>
      </w:pPr>
      <w:r>
        <w:rPr>
          <w:rFonts w:hint="eastAsia"/>
        </w:rPr>
        <w:lastRenderedPageBreak/>
        <w:t>第一部分</w:t>
      </w:r>
      <w:r>
        <w:rPr>
          <w:rStyle w:val="1CharChar"/>
          <w:rFonts w:ascii="黑体" w:eastAsia="黑体" w:hAnsi="黑体" w:hint="eastAsia"/>
        </w:rPr>
        <w:t>单位概况</w:t>
      </w:r>
      <w:bookmarkStart w:id="15" w:name="_Toc15396600"/>
      <w:bookmarkStart w:id="16" w:name="_Toc15377197"/>
    </w:p>
    <w:p w:rsidR="00D85F58" w:rsidRDefault="00DD1531">
      <w:pPr>
        <w:pStyle w:val="1"/>
        <w:rPr>
          <w:rStyle w:val="2Char"/>
          <w:rFonts w:ascii="黑体" w:eastAsia="黑体" w:hAnsi="黑体"/>
        </w:rPr>
      </w:pPr>
      <w:r>
        <w:rPr>
          <w:rStyle w:val="2Char"/>
          <w:rFonts w:ascii="黑体" w:eastAsia="黑体" w:hAnsi="黑体" w:hint="eastAsia"/>
        </w:rPr>
        <w:t>一、职能简介</w:t>
      </w:r>
      <w:bookmarkStart w:id="17" w:name="_Toc15378445"/>
      <w:bookmarkStart w:id="18" w:name="_Toc15377198"/>
    </w:p>
    <w:bookmarkEnd w:id="17"/>
    <w:bookmarkEnd w:id="18"/>
    <w:p w:rsidR="00D85F58" w:rsidRDefault="00DD1531">
      <w:pPr>
        <w:widowControl/>
        <w:spacing w:line="315" w:lineRule="atLeast"/>
        <w:ind w:firstLineChars="200" w:firstLine="640"/>
        <w:jc w:val="left"/>
        <w:rPr>
          <w:rFonts w:ascii="仿宋_GB2312" w:eastAsia="仿宋_GB2312" w:hAnsi="Calibri" w:cs="宋体"/>
          <w:color w:val="000000"/>
          <w:kern w:val="0"/>
          <w:sz w:val="32"/>
          <w:szCs w:val="32"/>
        </w:rPr>
      </w:pPr>
      <w:r>
        <w:rPr>
          <w:rFonts w:ascii="仿宋_GB2312" w:eastAsia="仿宋_GB2312" w:hAnsi="Calibri" w:cs="宋体" w:hint="eastAsia"/>
          <w:color w:val="000000"/>
          <w:kern w:val="0"/>
          <w:sz w:val="32"/>
          <w:szCs w:val="32"/>
        </w:rPr>
        <w:t>承担钒钛制品、工业产（商）品等质量安全监督检验；承担特种设备安全检验检测及咨询服务；承担全市药品、医疗器械、药品包装材料、消费环节食品、保健食品、化妆品等相关的检验检测工作；负责研究建立、保存社会公用计量标准，进行量值传递，开展能效测试，执行强制和法律规定的其他检定测试任务，为实施计量监督提供技术保证，承办有关法制计量工作；受理第三方申请的委托检验和仲裁检定或检验；承担全市药品不良反应监测和药物治疗研究工作。承担全国钒钛磁铁矿综合利用标准化委员会（TC579）秘书处、中国材料与试验团体标准委员会钒钛综合利用领域委员会秘书处（CSTM/FC20）日常工作，组织和制（修）订相关标准、钒钛领域学术交流、标准宣贯，开展钒钛领域检测方法研究和仪器设备研发。开展钒钛钢铁领域招商引资、项目建设推进等工作；组织、参与钒钛钢铁领域重大商贸活动。</w:t>
      </w:r>
    </w:p>
    <w:p w:rsidR="00D85F58" w:rsidRDefault="00DD1531">
      <w:pPr>
        <w:pStyle w:val="2"/>
        <w:rPr>
          <w:rFonts w:ascii="黑体" w:eastAsia="黑体" w:hAnsi="黑体"/>
          <w:b w:val="0"/>
        </w:rPr>
      </w:pPr>
      <w:r>
        <w:rPr>
          <w:rFonts w:ascii="黑体" w:eastAsia="黑体" w:hAnsi="黑体" w:hint="eastAsia"/>
          <w:b w:val="0"/>
        </w:rPr>
        <w:t>二、2021年重点工作</w:t>
      </w:r>
      <w:bookmarkEnd w:id="15"/>
      <w:bookmarkEnd w:id="16"/>
      <w:r>
        <w:rPr>
          <w:rFonts w:ascii="黑体" w:eastAsia="黑体" w:hAnsi="黑体" w:hint="eastAsia"/>
          <w:b w:val="0"/>
        </w:rPr>
        <w:t>完成情况</w:t>
      </w:r>
    </w:p>
    <w:p w:rsidR="00D85F58" w:rsidRDefault="00DD1531">
      <w:pPr>
        <w:ind w:firstLineChars="200" w:firstLine="640"/>
        <w:rPr>
          <w:rFonts w:ascii="仿宋_GB2312" w:eastAsia="仿宋_GB2312"/>
          <w:b/>
          <w:bCs/>
          <w:sz w:val="32"/>
          <w:szCs w:val="32"/>
        </w:rPr>
      </w:pPr>
      <w:r>
        <w:rPr>
          <w:rFonts w:ascii="仿宋_GB2312" w:eastAsia="仿宋_GB2312" w:hAnsi="方正楷体_GBK" w:cs="方正楷体_GBK" w:hint="eastAsia"/>
          <w:sz w:val="32"/>
          <w:szCs w:val="32"/>
        </w:rPr>
        <w:t>1</w:t>
      </w:r>
      <w:r>
        <w:rPr>
          <w:rFonts w:ascii="仿宋_GB2312" w:eastAsia="仿宋_GB2312" w:hAnsi="方正楷体_GBK" w:cs="方正楷体_GBK"/>
          <w:sz w:val="32"/>
          <w:szCs w:val="32"/>
        </w:rPr>
        <w:t>.</w:t>
      </w:r>
      <w:r>
        <w:rPr>
          <w:rFonts w:ascii="仿宋_GB2312" w:eastAsia="仿宋_GB2312" w:hAnsi="方正楷体_GBK" w:cs="方正楷体_GBK" w:hint="eastAsia"/>
          <w:sz w:val="32"/>
          <w:szCs w:val="32"/>
        </w:rPr>
        <w:t>检测业务全面开展。</w:t>
      </w:r>
      <w:r>
        <w:rPr>
          <w:rFonts w:ascii="仿宋_GB2312" w:eastAsia="仿宋_GB2312" w:hint="eastAsia"/>
          <w:sz w:val="32"/>
          <w:szCs w:val="32"/>
        </w:rPr>
        <w:t>2021年1—11月份</w:t>
      </w:r>
      <w:r>
        <w:rPr>
          <w:rFonts w:ascii="仿宋_GB2312" w:eastAsia="仿宋_GB2312" w:hAnsi="Times" w:hint="eastAsia"/>
          <w:sz w:val="32"/>
          <w:szCs w:val="32"/>
        </w:rPr>
        <w:t>完成业务收入3282万元，同比增长21.2%；为行政监管提供技术支撑，配合开展春雷行动药品抽检工作35批次，配合开展“百日攻</w:t>
      </w:r>
      <w:r>
        <w:rPr>
          <w:rFonts w:ascii="仿宋_GB2312" w:eastAsia="仿宋_GB2312" w:hAnsi="Times" w:hint="eastAsia"/>
          <w:sz w:val="32"/>
          <w:szCs w:val="32"/>
        </w:rPr>
        <w:lastRenderedPageBreak/>
        <w:t>坚”行动、5·20计量日和6·26国际禁毒日宣传活动、医疗器械不良事件宣传活动，配合开展</w:t>
      </w:r>
      <w:r>
        <w:rPr>
          <w:rFonts w:ascii="仿宋_GB2312" w:eastAsia="仿宋_GB2312" w:hint="eastAsia"/>
          <w:sz w:val="32"/>
          <w:szCs w:val="32"/>
        </w:rPr>
        <w:t>100日叉车整顿，检验未注册设备42台（次），提出安全隐患89项。</w:t>
      </w:r>
    </w:p>
    <w:p w:rsidR="00D85F58" w:rsidRDefault="00DD1531">
      <w:pPr>
        <w:ind w:firstLineChars="200" w:firstLine="640"/>
        <w:rPr>
          <w:rFonts w:ascii="仿宋_GB2312" w:eastAsia="仿宋_GB2312" w:hAnsi="Times"/>
          <w:sz w:val="32"/>
          <w:szCs w:val="32"/>
        </w:rPr>
      </w:pPr>
      <w:r>
        <w:rPr>
          <w:rFonts w:ascii="仿宋_GB2312" w:eastAsia="仿宋_GB2312" w:hAnsi="方正楷体_GBK" w:cs="方正楷体_GBK" w:hint="eastAsia"/>
          <w:sz w:val="32"/>
          <w:szCs w:val="32"/>
        </w:rPr>
        <w:t>2</w:t>
      </w:r>
      <w:r>
        <w:rPr>
          <w:rFonts w:ascii="仿宋_GB2312" w:eastAsia="仿宋_GB2312" w:hAnsi="方正楷体_GBK" w:cs="方正楷体_GBK"/>
          <w:sz w:val="32"/>
          <w:szCs w:val="32"/>
        </w:rPr>
        <w:t>.</w:t>
      </w:r>
      <w:r>
        <w:rPr>
          <w:rFonts w:ascii="仿宋_GB2312" w:eastAsia="仿宋_GB2312" w:hAnsi="方正楷体_GBK" w:cs="方正楷体_GBK" w:hint="eastAsia"/>
          <w:sz w:val="32"/>
          <w:szCs w:val="32"/>
        </w:rPr>
        <w:t>人才队伍持续壮大。</w:t>
      </w:r>
      <w:r>
        <w:rPr>
          <w:rFonts w:ascii="仿宋_GB2312" w:eastAsia="仿宋_GB2312" w:hAnsi="Times" w:hint="eastAsia"/>
          <w:sz w:val="32"/>
          <w:szCs w:val="32"/>
        </w:rPr>
        <w:t>2021年新引进硕士研究生</w:t>
      </w:r>
      <w:r>
        <w:rPr>
          <w:rFonts w:ascii="仿宋_GB2312" w:eastAsia="仿宋_GB2312" w:hint="eastAsia"/>
          <w:sz w:val="32"/>
          <w:szCs w:val="32"/>
        </w:rPr>
        <w:t>7</w:t>
      </w:r>
      <w:r>
        <w:rPr>
          <w:rFonts w:ascii="仿宋_GB2312" w:eastAsia="仿宋_GB2312" w:hAnsi="Times" w:hint="eastAsia"/>
          <w:sz w:val="32"/>
          <w:szCs w:val="32"/>
        </w:rPr>
        <w:t>人，研究生人数达到27人，全院本科及以上学历占比76%；高级职称38人（其中正高1人，副高37人），中级职称58人，中级及以上职称占比54%；四川省特检院行政许可鉴定评审员专家库人员4名，四川省工程系列中、高级职称评审专家人员1人，</w:t>
      </w:r>
      <w:r>
        <w:rPr>
          <w:rFonts w:ascii="仿宋_GB2312" w:eastAsia="仿宋_GB2312" w:hint="eastAsia"/>
          <w:sz w:val="32"/>
          <w:szCs w:val="32"/>
        </w:rPr>
        <w:t>省局“一站式”服务平台专家7人</w:t>
      </w:r>
      <w:r>
        <w:rPr>
          <w:rFonts w:ascii="仿宋_GB2312" w:eastAsia="仿宋_GB2312" w:hAnsi="Times" w:hint="eastAsia"/>
          <w:sz w:val="32"/>
          <w:szCs w:val="32"/>
        </w:rPr>
        <w:t>，标准化专家3人，市级专家1人</w:t>
      </w:r>
      <w:r>
        <w:rPr>
          <w:rFonts w:ascii="仿宋_GB2312" w:eastAsia="仿宋_GB2312" w:hint="eastAsia"/>
          <w:sz w:val="32"/>
          <w:szCs w:val="32"/>
        </w:rPr>
        <w:t>；</w:t>
      </w:r>
      <w:r>
        <w:rPr>
          <w:rFonts w:ascii="仿宋_GB2312" w:eastAsia="仿宋_GB2312" w:hAnsi="Times" w:hint="eastAsia"/>
          <w:sz w:val="32"/>
          <w:szCs w:val="32"/>
        </w:rPr>
        <w:t>第五类高层次人才1人，第八类高层次人才13人。</w:t>
      </w:r>
    </w:p>
    <w:p w:rsidR="00D85F58" w:rsidRDefault="00DD1531">
      <w:pPr>
        <w:ind w:firstLineChars="200" w:firstLine="640"/>
        <w:rPr>
          <w:rFonts w:ascii="仿宋_GB2312" w:eastAsia="仿宋_GB2312" w:hAnsi="Times"/>
          <w:sz w:val="32"/>
          <w:szCs w:val="32"/>
        </w:rPr>
      </w:pPr>
      <w:r>
        <w:rPr>
          <w:rFonts w:ascii="仿宋_GB2312" w:eastAsia="仿宋_GB2312" w:hAnsi="方正楷体_GBK" w:cs="方正楷体_GBK" w:hint="eastAsia"/>
          <w:sz w:val="32"/>
          <w:szCs w:val="32"/>
        </w:rPr>
        <w:t>3</w:t>
      </w:r>
      <w:r>
        <w:rPr>
          <w:rFonts w:ascii="仿宋_GB2312" w:eastAsia="仿宋_GB2312" w:hAnsi="方正楷体_GBK" w:cs="方正楷体_GBK"/>
          <w:sz w:val="32"/>
          <w:szCs w:val="32"/>
        </w:rPr>
        <w:t>.</w:t>
      </w:r>
      <w:r>
        <w:rPr>
          <w:rFonts w:ascii="仿宋_GB2312" w:eastAsia="仿宋_GB2312" w:hAnsi="方正楷体_GBK" w:cs="方正楷体_GBK" w:hint="eastAsia"/>
          <w:sz w:val="32"/>
          <w:szCs w:val="32"/>
        </w:rPr>
        <w:t>平台建设成效显著。</w:t>
      </w:r>
      <w:r>
        <w:rPr>
          <w:rFonts w:ascii="仿宋_GB2312" w:eastAsia="仿宋_GB2312" w:hAnsi="Times" w:hint="eastAsia"/>
          <w:sz w:val="32"/>
          <w:szCs w:val="32"/>
        </w:rPr>
        <w:t>国检中心多次承担国家和省级钒钛产品质量监督抽查任务，2020年，我院出色完成了国家市场监管总局铝、钛合金加工产品质量安全风险监测站建设工作项目，在国家市场监管总局国家质检中心2020年度考核中，我院在有色金属及制品领域全国16家国家质检中心中排名第一；以</w:t>
      </w:r>
      <w:r>
        <w:rPr>
          <w:rFonts w:ascii="仿宋_GB2312" w:eastAsia="仿宋_GB2312" w:hAnsi="仿宋_GB2312" w:cs="仿宋_GB2312" w:hint="eastAsia"/>
          <w:sz w:val="32"/>
          <w:szCs w:val="32"/>
        </w:rPr>
        <w:t>“</w:t>
      </w:r>
      <w:r>
        <w:rPr>
          <w:rFonts w:ascii="仿宋_GB2312" w:eastAsia="仿宋_GB2312" w:hint="eastAsia"/>
          <w:sz w:val="32"/>
          <w:szCs w:val="32"/>
        </w:rPr>
        <w:t>30</w:t>
      </w:r>
      <w:r>
        <w:rPr>
          <w:rFonts w:ascii="仿宋_GB2312" w:eastAsia="仿宋_GB2312" w:hAnsi="仿宋_GB2312" w:cs="仿宋_GB2312" w:hint="eastAsia"/>
          <w:sz w:val="32"/>
          <w:szCs w:val="32"/>
        </w:rPr>
        <w:t>年内不落后”</w:t>
      </w:r>
      <w:r>
        <w:rPr>
          <w:rFonts w:ascii="仿宋_GB2312" w:eastAsia="仿宋_GB2312" w:hAnsi="Times" w:hint="eastAsia"/>
          <w:sz w:val="32"/>
          <w:szCs w:val="32"/>
        </w:rPr>
        <w:t>的标准，</w:t>
      </w:r>
      <w:r>
        <w:rPr>
          <w:rFonts w:ascii="仿宋_GB2312" w:eastAsia="仿宋_GB2312" w:hint="eastAsia"/>
          <w:kern w:val="0"/>
          <w:sz w:val="32"/>
          <w:szCs w:val="32"/>
        </w:rPr>
        <w:t>积极推动</w:t>
      </w:r>
      <w:r>
        <w:rPr>
          <w:rFonts w:ascii="仿宋_GB2312" w:eastAsia="仿宋_GB2312" w:hAnsi="Times" w:hint="eastAsia"/>
          <w:sz w:val="32"/>
          <w:szCs w:val="32"/>
        </w:rPr>
        <w:t>省药监局重点实验室建设，大幅度提升食品药品检验检测水平、健全完善食品药品检验检测体系、全力保障我市食品药品安全；开展资质扩项2次，新增参数100个；</w:t>
      </w:r>
      <w:r>
        <w:rPr>
          <w:rFonts w:ascii="仿宋_GB2312" w:eastAsia="仿宋_GB2312" w:hint="eastAsia"/>
          <w:sz w:val="32"/>
          <w:szCs w:val="32"/>
        </w:rPr>
        <w:t>全力推进11项计量标准新建工作，</w:t>
      </w:r>
      <w:r>
        <w:rPr>
          <w:rFonts w:ascii="仿宋_GB2312" w:eastAsia="仿宋_GB2312" w:hAnsi="宋体" w:hint="eastAsia"/>
          <w:sz w:val="32"/>
          <w:szCs w:val="32"/>
        </w:rPr>
        <w:t>完成后我院社会公用计量标准数将达到</w:t>
      </w:r>
      <w:r>
        <w:rPr>
          <w:rFonts w:ascii="仿宋_GB2312" w:eastAsia="仿宋_GB2312" w:hint="eastAsia"/>
          <w:sz w:val="32"/>
          <w:szCs w:val="32"/>
        </w:rPr>
        <w:t>124</w:t>
      </w:r>
      <w:r>
        <w:rPr>
          <w:rFonts w:ascii="仿宋_GB2312" w:eastAsia="仿宋_GB2312" w:hAnsi="宋体" w:hint="eastAsia"/>
          <w:sz w:val="32"/>
          <w:szCs w:val="32"/>
        </w:rPr>
        <w:t>项；</w:t>
      </w:r>
      <w:r>
        <w:rPr>
          <w:rFonts w:ascii="仿宋_GB2312" w:eastAsia="仿宋_GB2312" w:hint="eastAsia"/>
          <w:sz w:val="32"/>
          <w:szCs w:val="32"/>
        </w:rPr>
        <w:t>全力推进包含国检中心、攀枝花市钒钛资源综合利用展</w:t>
      </w:r>
      <w:r>
        <w:rPr>
          <w:rFonts w:ascii="仿宋_GB2312" w:eastAsia="仿宋_GB2312" w:hint="eastAsia"/>
          <w:sz w:val="32"/>
          <w:szCs w:val="32"/>
        </w:rPr>
        <w:lastRenderedPageBreak/>
        <w:t>览馆、攀枝花市电梯安全公众体验中心3个场馆的国家市场监督管理总局科普基地建设；联合攀研院、攀枝花学院、龙蟒矿冶有限公司等13家企（事）业单位成功组建“攀西钒钛检验检测技术创新联盟”，集聚和整合钒钛检验检测行业和产业资源，充分发挥各方优势，提升检验检测服务能力。</w:t>
      </w:r>
    </w:p>
    <w:p w:rsidR="00D85F58" w:rsidRDefault="00DD1531">
      <w:pPr>
        <w:ind w:firstLineChars="200" w:firstLine="640"/>
        <w:rPr>
          <w:rFonts w:ascii="仿宋_GB2312" w:eastAsia="仿宋_GB2312" w:hAnsi="Times"/>
          <w:sz w:val="32"/>
          <w:szCs w:val="32"/>
        </w:rPr>
      </w:pPr>
      <w:r>
        <w:rPr>
          <w:rFonts w:ascii="仿宋_GB2312" w:eastAsia="仿宋_GB2312" w:hAnsi="方正楷体_GBK" w:cs="方正楷体_GBK" w:hint="eastAsia"/>
          <w:sz w:val="32"/>
          <w:szCs w:val="32"/>
        </w:rPr>
        <w:t>4</w:t>
      </w:r>
      <w:r>
        <w:rPr>
          <w:rFonts w:ascii="仿宋_GB2312" w:eastAsia="仿宋_GB2312" w:hAnsi="方正楷体_GBK" w:cs="方正楷体_GBK"/>
          <w:sz w:val="32"/>
          <w:szCs w:val="32"/>
        </w:rPr>
        <w:t>.</w:t>
      </w:r>
      <w:r>
        <w:rPr>
          <w:rFonts w:ascii="仿宋_GB2312" w:eastAsia="仿宋_GB2312" w:hAnsi="方正楷体_GBK" w:cs="方正楷体_GBK" w:hint="eastAsia"/>
          <w:sz w:val="32"/>
          <w:szCs w:val="32"/>
        </w:rPr>
        <w:t>科研项目深入实施。</w:t>
      </w:r>
      <w:r>
        <w:rPr>
          <w:rFonts w:ascii="仿宋_GB2312" w:eastAsia="仿宋_GB2312" w:hAnsi="Times" w:hint="eastAsia"/>
          <w:sz w:val="32"/>
          <w:szCs w:val="32"/>
        </w:rPr>
        <w:t>2021年，在市场监管总局市场监管技术保障专项“揭榜挂帅”活动中，成功申报《儿童磁性玩具质量安全风险研究与典型产品质量安全监督与风险评估技术研究》《基于结构化标准知识的中小企业标准化支撑平台研究》2项科研项目；申报《钛精矿硫含量的测定高频燃烧—红外线吸收法标准制订》《电感耦合等离子体发射光谱法测量海绵钛及钛合金中19种中微量元素含量的方法研究》等省局科研项目4项，申报《稀土强化黑色二氧化钛光催化剂制备技术研究》市级科研项目1项；与四川大学、攀枝花市天民钛业有限公司合作实施《高性能航空航天钛合金锻件的关键制造技术研究》项目。</w:t>
      </w:r>
    </w:p>
    <w:p w:rsidR="00D85F58" w:rsidRDefault="00DD1531">
      <w:pPr>
        <w:ind w:firstLineChars="200" w:firstLine="640"/>
        <w:jc w:val="left"/>
        <w:rPr>
          <w:rFonts w:ascii="仿宋_GB2312" w:eastAsia="仿宋_GB2312" w:hAnsi="Times"/>
          <w:sz w:val="32"/>
          <w:szCs w:val="32"/>
        </w:rPr>
      </w:pPr>
      <w:r>
        <w:rPr>
          <w:rFonts w:ascii="仿宋_GB2312" w:eastAsia="仿宋_GB2312" w:hAnsi="方正楷体_GBK" w:cs="方正楷体_GBK" w:hint="eastAsia"/>
          <w:sz w:val="32"/>
          <w:szCs w:val="32"/>
        </w:rPr>
        <w:t>5</w:t>
      </w:r>
      <w:r>
        <w:rPr>
          <w:rFonts w:ascii="仿宋_GB2312" w:eastAsia="仿宋_GB2312" w:hAnsi="方正楷体_GBK" w:cs="方正楷体_GBK"/>
          <w:sz w:val="32"/>
          <w:szCs w:val="32"/>
        </w:rPr>
        <w:t>.</w:t>
      </w:r>
      <w:r>
        <w:rPr>
          <w:rFonts w:ascii="仿宋_GB2312" w:eastAsia="仿宋_GB2312" w:hAnsi="方正楷体_GBK" w:cs="方正楷体_GBK" w:hint="eastAsia"/>
          <w:sz w:val="32"/>
          <w:szCs w:val="32"/>
        </w:rPr>
        <w:t>标委会工作扎实推进。</w:t>
      </w:r>
      <w:r>
        <w:rPr>
          <w:rFonts w:ascii="仿宋_GB2312" w:eastAsia="仿宋_GB2312" w:hAnsi="Times" w:hint="eastAsia"/>
          <w:sz w:val="32"/>
          <w:szCs w:val="32"/>
        </w:rPr>
        <w:t>今年5月份完成工信部备案，打通行业标准申报通道，在钒钛综合利用标准制修订领域形成国家、行业、团体三级互补。全力筹备</w:t>
      </w:r>
      <w:r>
        <w:rPr>
          <w:rFonts w:ascii="仿宋_GB2312" w:eastAsia="仿宋_GB2312" w:hint="eastAsia"/>
          <w:sz w:val="32"/>
          <w:szCs w:val="32"/>
        </w:rPr>
        <w:t>“2021中国·攀西钒钛论坛”“全国钒钛磁铁矿综合利用标准化技术委员会2021年年会”。目前，论坛和年会暂定于2022年2月8日在攀枝花会展中心同期召开，论坛主要议程已基本确定，各项</w:t>
      </w:r>
      <w:r>
        <w:rPr>
          <w:rFonts w:ascii="仿宋_GB2312" w:eastAsia="仿宋_GB2312" w:hint="eastAsia"/>
          <w:sz w:val="32"/>
          <w:szCs w:val="32"/>
        </w:rPr>
        <w:lastRenderedPageBreak/>
        <w:t>会务筹备工作稳步推进；组织申报立项《钒钛磁铁矿综合利用 术语和定义》《钒钛磁铁矿 矿物定量检测方法》2项国家标准；申报立项《提钛尾渣基公路水稳层用土体固化剂》《提钛尾渣基矿山修复用土体固化剂》2项行业标准；申报立项《碳化钛渣》等21项团体标准，其中已发布《钒钛磁铁矿尾矿资源综合利用调查与评价指南》等4项团体标准；对《钒钛磁铁矿综合利用白皮书》进行修订完善，进一步优化框架、明确方向、充实内容，不断提升《白皮书》的指导作用。</w:t>
      </w:r>
      <w:r>
        <w:rPr>
          <w:rFonts w:ascii="仿宋_GB2312" w:eastAsia="仿宋_GB2312" w:hAnsi="Times" w:hint="eastAsia"/>
          <w:sz w:val="32"/>
          <w:szCs w:val="32"/>
        </w:rPr>
        <w:t>梳理现行国内外涉“钒”“钛”类标准，建立标准信息库，已与中国标准出版社和软件公司达成合作意向，在标委会网站开辟钒钛标准应用查询功能，全力建设国内首个向社会提供钒钛标准查询、购买的“标准淘宝网”。</w:t>
      </w:r>
    </w:p>
    <w:p w:rsidR="00D85F58" w:rsidRDefault="00DD1531">
      <w:pPr>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方正楷体_GBK" w:cs="方正楷体_GBK" w:hint="eastAsia"/>
          <w:sz w:val="32"/>
          <w:szCs w:val="32"/>
        </w:rPr>
        <w:t>6</w:t>
      </w:r>
      <w:r>
        <w:rPr>
          <w:rFonts w:ascii="仿宋_GB2312" w:eastAsia="仿宋_GB2312" w:hAnsi="方正楷体_GBK" w:cs="方正楷体_GBK"/>
          <w:sz w:val="32"/>
          <w:szCs w:val="32"/>
        </w:rPr>
        <w:t>.</w:t>
      </w:r>
      <w:r>
        <w:rPr>
          <w:rFonts w:ascii="仿宋_GB2312" w:eastAsia="仿宋_GB2312" w:hAnsi="方正楷体_GBK" w:cs="方正楷体_GBK" w:hint="eastAsia"/>
          <w:sz w:val="32"/>
          <w:szCs w:val="32"/>
        </w:rPr>
        <w:t>业务市场不断拓展。</w:t>
      </w:r>
      <w:r>
        <w:rPr>
          <w:rFonts w:ascii="仿宋_GB2312" w:eastAsia="仿宋_GB2312" w:hAnsi="Times" w:hint="eastAsia"/>
          <w:sz w:val="32"/>
          <w:szCs w:val="32"/>
        </w:rPr>
        <w:t>发挥“</w:t>
      </w:r>
      <w:r>
        <w:rPr>
          <w:rFonts w:ascii="仿宋_GB2312" w:eastAsia="仿宋_GB2312" w:hAnsi="宋体" w:cs="仿宋_GB2312" w:hint="eastAsia"/>
          <w:color w:val="000000"/>
          <w:kern w:val="0"/>
          <w:sz w:val="32"/>
          <w:szCs w:val="32"/>
        </w:rPr>
        <w:t>一站式</w:t>
      </w:r>
      <w:r>
        <w:rPr>
          <w:rFonts w:ascii="仿宋_GB2312" w:eastAsia="仿宋_GB2312" w:hAnsi="Times" w:hint="eastAsia"/>
          <w:sz w:val="32"/>
          <w:szCs w:val="32"/>
        </w:rPr>
        <w:t>”</w:t>
      </w:r>
      <w:r>
        <w:rPr>
          <w:rFonts w:ascii="仿宋_GB2312" w:eastAsia="仿宋_GB2312" w:hAnsi="宋体" w:cs="仿宋_GB2312" w:hint="eastAsia"/>
          <w:color w:val="000000"/>
          <w:kern w:val="0"/>
          <w:sz w:val="32"/>
          <w:szCs w:val="32"/>
        </w:rPr>
        <w:t>服务平台效能，满足个性化检验检测服务需求，</w:t>
      </w:r>
      <w:r>
        <w:rPr>
          <w:rFonts w:ascii="仿宋_GB2312" w:eastAsia="仿宋_GB2312" w:hint="eastAsia"/>
          <w:sz w:val="32"/>
          <w:szCs w:val="32"/>
        </w:rPr>
        <w:t>签订“一站式”打包服务合同16份；同时</w:t>
      </w:r>
      <w:r>
        <w:rPr>
          <w:rFonts w:ascii="仿宋_GB2312" w:eastAsia="仿宋_GB2312" w:hAnsi="宋体" w:cs="仿宋_GB2312" w:hint="eastAsia"/>
          <w:color w:val="000000"/>
          <w:kern w:val="0"/>
          <w:sz w:val="32"/>
          <w:szCs w:val="32"/>
        </w:rPr>
        <w:t>推广</w:t>
      </w:r>
      <w:r>
        <w:rPr>
          <w:rFonts w:ascii="仿宋_GB2312" w:eastAsia="仿宋_GB2312" w:hAnsi="仿宋_GB2312" w:cs="仿宋_GB2312" w:hint="eastAsia"/>
          <w:color w:val="000000"/>
          <w:kern w:val="0"/>
          <w:sz w:val="32"/>
          <w:szCs w:val="32"/>
        </w:rPr>
        <w:t>“快检”</w:t>
      </w:r>
      <w:r>
        <w:rPr>
          <w:rFonts w:ascii="仿宋_GB2312" w:eastAsia="仿宋_GB2312" w:hAnsi="宋体" w:cs="仿宋_GB2312" w:hint="eastAsia"/>
          <w:color w:val="000000"/>
          <w:kern w:val="0"/>
          <w:sz w:val="32"/>
          <w:szCs w:val="32"/>
        </w:rPr>
        <w:t>服务，在保障检验检测质量的前提下，大幅缩减检验检测时限，目前</w:t>
      </w:r>
      <w:r>
        <w:rPr>
          <w:rFonts w:ascii="仿宋_GB2312" w:eastAsia="仿宋_GB2312" w:hAnsi="仿宋_GB2312" w:cs="仿宋_GB2312" w:hint="eastAsia"/>
          <w:color w:val="000000"/>
          <w:kern w:val="0"/>
          <w:sz w:val="32"/>
          <w:szCs w:val="32"/>
        </w:rPr>
        <w:t>“快检”</w:t>
      </w:r>
      <w:r>
        <w:rPr>
          <w:rFonts w:ascii="仿宋_GB2312" w:eastAsia="仿宋_GB2312" w:hAnsi="宋体" w:cs="仿宋_GB2312" w:hint="eastAsia"/>
          <w:color w:val="000000"/>
          <w:kern w:val="0"/>
          <w:sz w:val="32"/>
          <w:szCs w:val="32"/>
        </w:rPr>
        <w:t>业务已覆盖企业</w:t>
      </w:r>
      <w:r>
        <w:rPr>
          <w:rFonts w:ascii="仿宋_GB2312" w:eastAsia="仿宋_GB2312" w:hint="eastAsia"/>
          <w:color w:val="000000"/>
          <w:kern w:val="0"/>
          <w:sz w:val="32"/>
          <w:szCs w:val="32"/>
        </w:rPr>
        <w:t>100</w:t>
      </w:r>
      <w:r>
        <w:rPr>
          <w:rFonts w:ascii="仿宋_GB2312" w:eastAsia="仿宋_GB2312" w:hAnsi="宋体" w:cs="仿宋_GB2312" w:hint="eastAsia"/>
          <w:color w:val="000000"/>
          <w:kern w:val="0"/>
          <w:sz w:val="32"/>
          <w:szCs w:val="32"/>
        </w:rPr>
        <w:t>余家；主动融入“成渝地区双城经济圈”，与重庆计量质检院、重庆海关技术中心、中检集团四川分公司等签订战略合作协议；大力拓展特种设备检测市场，已在贵州、重庆、遂宁、绵阳等地开展特种设备检测业务；</w:t>
      </w:r>
      <w:r>
        <w:rPr>
          <w:rFonts w:ascii="仿宋_GB2312" w:eastAsia="仿宋_GB2312" w:hAnsi="仿宋_GB2312" w:cs="仿宋_GB2312" w:hint="eastAsia"/>
          <w:sz w:val="32"/>
          <w:szCs w:val="32"/>
        </w:rPr>
        <w:t>与山东省特检院公司签订战略合作协议，围绕人员交流、检验项目、质量管理、技术拓展等重点内容磋商合作项目，全力推进项目落地实施，让攀西检测走出国门。</w:t>
      </w:r>
    </w:p>
    <w:p w:rsidR="00D85F58" w:rsidRDefault="00D85F58" w:rsidP="00A31BD9">
      <w:pPr>
        <w:pStyle w:val="a3"/>
        <w:spacing w:before="93"/>
        <w:rPr>
          <w:rFonts w:hAnsi="仿宋_GB2312" w:cs="仿宋_GB2312"/>
          <w:sz w:val="32"/>
          <w:szCs w:val="32"/>
        </w:rPr>
      </w:pPr>
    </w:p>
    <w:p w:rsidR="00D85F58" w:rsidRDefault="00DD1531">
      <w:pPr>
        <w:pStyle w:val="2"/>
        <w:spacing w:line="326" w:lineRule="auto"/>
        <w:ind w:left="640"/>
        <w:rPr>
          <w:rFonts w:ascii="黑体" w:eastAsia="黑体" w:hAnsi="黑体"/>
          <w:b w:val="0"/>
        </w:rPr>
      </w:pPr>
      <w:r>
        <w:rPr>
          <w:rFonts w:ascii="黑体" w:eastAsia="黑体" w:hAnsi="黑体" w:hint="eastAsia"/>
          <w:b w:val="0"/>
        </w:rPr>
        <w:lastRenderedPageBreak/>
        <w:t>三、机构设置情况</w:t>
      </w:r>
    </w:p>
    <w:p w:rsidR="00D85F58" w:rsidRDefault="00DD1531">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攀西院由原市食品药品检验所、市计量测试研究所、市产品质量监督检验所、市特种设备监督检验所于2019年8月正式整合组建，为市市场监督管理局</w:t>
      </w:r>
      <w:r w:rsidR="00A31BD9">
        <w:rPr>
          <w:rFonts w:ascii="仿宋_GB2312" w:eastAsia="仿宋_GB2312" w:hAnsi="仿宋_GB2312" w:cs="仿宋_GB2312" w:hint="eastAsia"/>
          <w:sz w:val="32"/>
          <w:szCs w:val="32"/>
        </w:rPr>
        <w:t>下属的二级预算单位</w:t>
      </w:r>
      <w:r>
        <w:rPr>
          <w:rFonts w:ascii="仿宋_GB2312" w:eastAsia="仿宋_GB2312" w:hAnsi="仿宋_GB2312" w:cs="仿宋_GB2312" w:hint="eastAsia"/>
          <w:sz w:val="32"/>
          <w:szCs w:val="32"/>
        </w:rPr>
        <w:t>，是目前攀西地区最大的、攀枝花市唯一的综合性检验检测机构，为保障我市“四大安全”、民生计量服务等提供了强有力的专业技术支撑。内设部门11个（</w:t>
      </w:r>
      <w:r>
        <w:rPr>
          <w:rFonts w:ascii="仿宋_GB2312" w:eastAsia="仿宋_GB2312" w:hAnsi="仿宋_GB2312" w:cs="仿宋_GB2312" w:hint="eastAsia"/>
          <w:color w:val="000000"/>
          <w:kern w:val="0"/>
          <w:sz w:val="32"/>
          <w:szCs w:val="32"/>
          <w:lang w:bidi="ar"/>
        </w:rPr>
        <w:t>办公室、人力资源部、财务部、科学技术部、质量部、项目开发部、质检事务部、计量事务部、 特检事务部、药品事务部、党委办公室</w:t>
      </w:r>
      <w:r>
        <w:rPr>
          <w:rFonts w:ascii="仿宋_GB2312" w:eastAsia="仿宋_GB2312" w:hAnsi="仿宋_GB2312" w:cs="仿宋_GB2312" w:hint="eastAsia"/>
          <w:sz w:val="32"/>
          <w:szCs w:val="32"/>
        </w:rPr>
        <w:t>），核定编制145人。</w:t>
      </w:r>
    </w:p>
    <w:p w:rsidR="0028670A" w:rsidRDefault="0028670A">
      <w:pPr>
        <w:widowControl/>
        <w:ind w:firstLineChars="200" w:firstLine="640"/>
        <w:jc w:val="left"/>
        <w:rPr>
          <w:rFonts w:ascii="仿宋_GB2312" w:eastAsia="仿宋_GB2312" w:hAnsi="仿宋_GB2312" w:cs="仿宋_GB2312"/>
          <w:sz w:val="32"/>
          <w:szCs w:val="32"/>
        </w:rPr>
      </w:pPr>
    </w:p>
    <w:p w:rsidR="0028670A" w:rsidRDefault="0028670A">
      <w:pPr>
        <w:widowControl/>
        <w:ind w:firstLineChars="200" w:firstLine="640"/>
        <w:jc w:val="left"/>
        <w:rPr>
          <w:rFonts w:ascii="仿宋_GB2312" w:eastAsia="仿宋_GB2312" w:hAnsi="仿宋_GB2312" w:cs="仿宋_GB2312"/>
          <w:sz w:val="32"/>
          <w:szCs w:val="32"/>
        </w:rPr>
      </w:pPr>
    </w:p>
    <w:p w:rsidR="0028670A" w:rsidRDefault="0028670A">
      <w:pPr>
        <w:widowControl/>
        <w:ind w:firstLineChars="200" w:firstLine="640"/>
        <w:jc w:val="left"/>
        <w:rPr>
          <w:rFonts w:ascii="仿宋_GB2312" w:eastAsia="仿宋_GB2312" w:hAnsi="仿宋_GB2312" w:cs="仿宋_GB2312"/>
          <w:sz w:val="32"/>
          <w:szCs w:val="32"/>
        </w:rPr>
      </w:pPr>
    </w:p>
    <w:p w:rsidR="0028670A" w:rsidRDefault="0028670A">
      <w:pPr>
        <w:widowControl/>
        <w:ind w:firstLineChars="200" w:firstLine="640"/>
        <w:jc w:val="left"/>
        <w:rPr>
          <w:rFonts w:ascii="仿宋_GB2312" w:eastAsia="仿宋_GB2312" w:hAnsi="仿宋_GB2312" w:cs="仿宋_GB2312"/>
          <w:sz w:val="32"/>
          <w:szCs w:val="32"/>
        </w:rPr>
      </w:pPr>
    </w:p>
    <w:p w:rsidR="0028670A" w:rsidRDefault="0028670A">
      <w:pPr>
        <w:widowControl/>
        <w:ind w:firstLineChars="200" w:firstLine="640"/>
        <w:jc w:val="left"/>
        <w:rPr>
          <w:rFonts w:ascii="仿宋_GB2312" w:eastAsia="仿宋_GB2312" w:hAnsi="仿宋_GB2312" w:cs="仿宋_GB2312"/>
          <w:sz w:val="32"/>
          <w:szCs w:val="32"/>
        </w:rPr>
      </w:pPr>
    </w:p>
    <w:p w:rsidR="0028670A" w:rsidRDefault="0028670A">
      <w:pPr>
        <w:widowControl/>
        <w:ind w:firstLineChars="200" w:firstLine="640"/>
        <w:jc w:val="left"/>
        <w:rPr>
          <w:rFonts w:ascii="仿宋_GB2312" w:eastAsia="仿宋_GB2312" w:hAnsi="仿宋_GB2312" w:cs="仿宋_GB2312"/>
          <w:sz w:val="32"/>
          <w:szCs w:val="32"/>
        </w:rPr>
      </w:pPr>
    </w:p>
    <w:p w:rsidR="0028670A" w:rsidRDefault="0028670A">
      <w:pPr>
        <w:widowControl/>
        <w:ind w:firstLineChars="200" w:firstLine="640"/>
        <w:jc w:val="left"/>
        <w:rPr>
          <w:rFonts w:ascii="仿宋_GB2312" w:eastAsia="仿宋_GB2312" w:hAnsi="仿宋_GB2312" w:cs="仿宋_GB2312"/>
          <w:sz w:val="32"/>
          <w:szCs w:val="32"/>
        </w:rPr>
      </w:pPr>
    </w:p>
    <w:p w:rsidR="0028670A" w:rsidRDefault="0028670A">
      <w:pPr>
        <w:widowControl/>
        <w:ind w:firstLineChars="200" w:firstLine="640"/>
        <w:jc w:val="left"/>
        <w:rPr>
          <w:rFonts w:ascii="仿宋_GB2312" w:eastAsia="仿宋_GB2312" w:hAnsi="仿宋_GB2312" w:cs="仿宋_GB2312"/>
          <w:sz w:val="32"/>
          <w:szCs w:val="32"/>
        </w:rPr>
      </w:pPr>
    </w:p>
    <w:p w:rsidR="0028670A" w:rsidRDefault="0028670A">
      <w:pPr>
        <w:widowControl/>
        <w:ind w:firstLineChars="200" w:firstLine="640"/>
        <w:jc w:val="left"/>
        <w:rPr>
          <w:rFonts w:ascii="仿宋_GB2312" w:eastAsia="仿宋_GB2312" w:hAnsi="仿宋_GB2312" w:cs="仿宋_GB2312" w:hint="eastAsia"/>
          <w:sz w:val="32"/>
          <w:szCs w:val="32"/>
        </w:rPr>
      </w:pPr>
    </w:p>
    <w:p w:rsidR="00D85F58" w:rsidRDefault="00DD1531">
      <w:pPr>
        <w:pStyle w:val="1"/>
        <w:ind w:right="440"/>
        <w:rPr>
          <w:rFonts w:ascii="黑体" w:eastAsia="黑体" w:hAnsi="黑体"/>
          <w:b w:val="0"/>
        </w:rPr>
      </w:pPr>
      <w:bookmarkStart w:id="19" w:name="_Toc15396602"/>
      <w:bookmarkStart w:id="20" w:name="_Toc15377204"/>
      <w:r>
        <w:rPr>
          <w:rFonts w:ascii="黑体" w:eastAsia="黑体" w:hAnsi="黑体" w:hint="eastAsia"/>
          <w:b w:val="0"/>
        </w:rPr>
        <w:lastRenderedPageBreak/>
        <w:t>第二部分 2021年度</w:t>
      </w:r>
      <w:r>
        <w:rPr>
          <w:rStyle w:val="1Char"/>
          <w:rFonts w:ascii="黑体" w:eastAsia="黑体" w:hAnsi="黑体" w:hint="eastAsia"/>
          <w:bCs/>
        </w:rPr>
        <w:t>单位决算情况说明</w:t>
      </w:r>
      <w:bookmarkEnd w:id="19"/>
      <w:bookmarkEnd w:id="20"/>
    </w:p>
    <w:p w:rsidR="00D85F58" w:rsidRDefault="00DD1531">
      <w:pPr>
        <w:pStyle w:val="a9"/>
        <w:numPr>
          <w:ilvl w:val="0"/>
          <w:numId w:val="2"/>
        </w:numPr>
        <w:spacing w:line="600" w:lineRule="exact"/>
        <w:ind w:firstLineChars="0"/>
        <w:outlineLvl w:val="1"/>
        <w:rPr>
          <w:rStyle w:val="2Char"/>
          <w:rFonts w:ascii="黑体" w:eastAsia="黑体" w:hAnsi="黑体"/>
          <w:b w:val="0"/>
        </w:rPr>
      </w:pPr>
      <w:bookmarkStart w:id="21" w:name="_Toc15396603"/>
      <w:bookmarkStart w:id="22"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21"/>
      <w:bookmarkEnd w:id="22"/>
    </w:p>
    <w:p w:rsidR="00D85F58" w:rsidRDefault="00DD1531">
      <w:pPr>
        <w:ind w:firstLineChars="200" w:firstLine="640"/>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2021年度收、支总计5165.97万元。与2020年相比，收、支总计各减少3313.03万元，下降39</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。主要变动原因是抗疫国债专项资金减少，造成了两年收支总计差异较大。</w:t>
      </w:r>
    </w:p>
    <w:p w:rsidR="00D85F58" w:rsidRDefault="00DD1531">
      <w:pPr>
        <w:ind w:firstLineChars="200" w:firstLine="640"/>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（图</w:t>
      </w:r>
      <w:r>
        <w:rPr>
          <w:rFonts w:ascii="仿宋_GB2312" w:eastAsia="仿宋_GB2312" w:hAnsi="宋体" w:cs="仿宋_GB2312"/>
          <w:color w:val="000000"/>
          <w:kern w:val="0"/>
          <w:sz w:val="32"/>
          <w:szCs w:val="32"/>
        </w:rPr>
        <w:t>1</w:t>
      </w:r>
      <w:r>
        <w:rPr>
          <w:rFonts w:ascii="仿宋_GB2312" w:eastAsia="仿宋_GB2312" w:hAnsi="宋体" w:cs="仿宋_GB2312" w:hint="eastAsia"/>
          <w:color w:val="000000"/>
          <w:kern w:val="0"/>
          <w:sz w:val="32"/>
          <w:szCs w:val="32"/>
        </w:rPr>
        <w:t>：收、支决算总计变动情况图）（柱状图）</w:t>
      </w:r>
      <w:r>
        <w:rPr>
          <w:rFonts w:ascii="仿宋_GB2312" w:eastAsia="仿宋_GB2312" w:hAnsi="宋体" w:cs="仿宋_GB2312"/>
          <w:noProof/>
          <w:color w:val="000000"/>
          <w:kern w:val="0"/>
          <w:sz w:val="32"/>
          <w:szCs w:val="32"/>
        </w:rPr>
        <w:drawing>
          <wp:anchor distT="0" distB="0" distL="0" distR="0" simplePos="0" relativeHeight="251659264" behindDoc="0" locked="0" layoutInCell="1" allowOverlap="1">
            <wp:simplePos x="0" y="0"/>
            <wp:positionH relativeFrom="column">
              <wp:posOffset>0</wp:posOffset>
            </wp:positionH>
            <wp:positionV relativeFrom="paragraph">
              <wp:posOffset>610870</wp:posOffset>
            </wp:positionV>
            <wp:extent cx="5429250" cy="1757680"/>
            <wp:effectExtent l="0" t="0" r="0" b="0"/>
            <wp:wrapSquare wrapText="bothSides"/>
            <wp:docPr id="1" name="对象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D85F58" w:rsidRDefault="00D85F58">
      <w:pPr>
        <w:pStyle w:val="a9"/>
        <w:spacing w:line="600" w:lineRule="exact"/>
        <w:ind w:left="1360" w:firstLineChars="0" w:firstLine="0"/>
        <w:outlineLvl w:val="1"/>
        <w:rPr>
          <w:rFonts w:ascii="黑体" w:eastAsia="黑体" w:hAnsi="黑体" w:cstheme="majorBidi"/>
          <w:bCs/>
          <w:sz w:val="32"/>
          <w:szCs w:val="32"/>
        </w:rPr>
      </w:pPr>
      <w:bookmarkStart w:id="23" w:name="_Toc15377206"/>
      <w:bookmarkStart w:id="24" w:name="_Toc15396604"/>
    </w:p>
    <w:p w:rsidR="00D85F58" w:rsidRDefault="00DD1531">
      <w:pPr>
        <w:pStyle w:val="a9"/>
        <w:numPr>
          <w:ilvl w:val="0"/>
          <w:numId w:val="2"/>
        </w:numPr>
        <w:spacing w:line="600" w:lineRule="exact"/>
        <w:ind w:firstLineChars="0"/>
        <w:outlineLvl w:val="1"/>
        <w:rPr>
          <w:rStyle w:val="2Char"/>
          <w:rFonts w:ascii="黑体" w:eastAsia="黑体" w:hAnsi="黑体"/>
          <w:b w:val="0"/>
        </w:rPr>
      </w:pPr>
      <w:r>
        <w:rPr>
          <w:rFonts w:ascii="黑体" w:eastAsia="黑体" w:hAnsi="黑体" w:hint="eastAsia"/>
          <w:sz w:val="32"/>
          <w:szCs w:val="32"/>
        </w:rPr>
        <w:t>收</w:t>
      </w:r>
      <w:r>
        <w:rPr>
          <w:rStyle w:val="2Char"/>
          <w:rFonts w:ascii="黑体" w:eastAsia="黑体" w:hAnsi="黑体" w:hint="eastAsia"/>
          <w:b w:val="0"/>
        </w:rPr>
        <w:t>入决算情况说明</w:t>
      </w:r>
      <w:bookmarkEnd w:id="23"/>
      <w:bookmarkEnd w:id="24"/>
    </w:p>
    <w:p w:rsidR="00D85F58" w:rsidRDefault="00DD1531">
      <w:pPr>
        <w:spacing w:line="600" w:lineRule="exact"/>
        <w:ind w:firstLineChars="200" w:firstLine="640"/>
        <w:outlineLvl w:val="1"/>
        <w:rPr>
          <w:rFonts w:ascii="仿宋_GB2312" w:eastAsia="仿宋_GB2312" w:hAnsi="宋体" w:cs="仿宋_GB2312"/>
          <w:color w:val="000000"/>
          <w:kern w:val="0"/>
          <w:sz w:val="32"/>
          <w:szCs w:val="32"/>
        </w:rPr>
      </w:pPr>
      <w:r>
        <w:rPr>
          <w:rFonts w:ascii="仿宋_GB2312" w:eastAsia="仿宋_GB2312" w:hAnsi="宋体" w:cs="仿宋_GB2312"/>
          <w:color w:val="000000"/>
          <w:kern w:val="0"/>
          <w:sz w:val="32"/>
          <w:szCs w:val="32"/>
        </w:rPr>
        <w:t>20</w:t>
      </w:r>
      <w:r>
        <w:rPr>
          <w:rFonts w:ascii="仿宋_GB2312" w:eastAsia="仿宋_GB2312" w:hAnsi="宋体" w:cs="仿宋_GB2312" w:hint="eastAsia"/>
          <w:color w:val="000000"/>
          <w:kern w:val="0"/>
          <w:sz w:val="32"/>
          <w:szCs w:val="32"/>
        </w:rPr>
        <w:t>21年本年收入合计4954.04万元，其中：一般公共预算财政拨款收入4954.04万元，占100</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；政府性基金预算财政拨款收入0万元，占0</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；国有资本经营预算财政拨款收入0万元，占0</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；上级补助收入0万元，占0</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；事业收入0万元，占0</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；经营收入0万元，占0</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；附属单位上缴收入0万元，占0</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；其他收入0万元，占0</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w:t>
      </w:r>
    </w:p>
    <w:p w:rsidR="00D85F58" w:rsidRDefault="00DD1531">
      <w:pPr>
        <w:spacing w:line="600" w:lineRule="exac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（图2：收入决算结构图）（饼状图）</w:t>
      </w:r>
    </w:p>
    <w:p w:rsidR="00D85F58" w:rsidRDefault="00D85F58">
      <w:pPr>
        <w:pStyle w:val="a3"/>
        <w:spacing w:before="93"/>
      </w:pPr>
    </w:p>
    <w:p w:rsidR="00D85F58" w:rsidRDefault="00DD1531">
      <w:pPr>
        <w:pStyle w:val="a3"/>
        <w:spacing w:before="93"/>
      </w:pPr>
      <w:r>
        <w:rPr>
          <w:rFonts w:ascii="仿宋" w:eastAsia="仿宋" w:hAnsi="仿宋"/>
          <w:noProof/>
          <w:color w:val="000000"/>
          <w:sz w:val="32"/>
          <w:szCs w:val="32"/>
        </w:rPr>
        <w:lastRenderedPageBreak/>
        <w:drawing>
          <wp:anchor distT="0" distB="0" distL="0" distR="0" simplePos="0" relativeHeight="251661312" behindDoc="0" locked="0" layoutInCell="1" allowOverlap="1">
            <wp:simplePos x="0" y="0"/>
            <wp:positionH relativeFrom="column">
              <wp:posOffset>516890</wp:posOffset>
            </wp:positionH>
            <wp:positionV relativeFrom="paragraph">
              <wp:posOffset>114300</wp:posOffset>
            </wp:positionV>
            <wp:extent cx="3963670" cy="1998345"/>
            <wp:effectExtent l="0" t="0" r="0" b="0"/>
            <wp:wrapSquare wrapText="bothSides"/>
            <wp:docPr id="2"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D85F58" w:rsidRDefault="00D85F58">
      <w:pPr>
        <w:pStyle w:val="a3"/>
        <w:spacing w:before="93"/>
      </w:pPr>
    </w:p>
    <w:p w:rsidR="00D85F58" w:rsidRDefault="00D85F58">
      <w:pPr>
        <w:pStyle w:val="a3"/>
        <w:spacing w:before="93"/>
      </w:pPr>
    </w:p>
    <w:p w:rsidR="00D85F58" w:rsidRDefault="00D85F58">
      <w:pPr>
        <w:spacing w:line="600" w:lineRule="exact"/>
        <w:ind w:firstLineChars="200" w:firstLine="640"/>
        <w:rPr>
          <w:rFonts w:ascii="仿宋_GB2312" w:eastAsia="仿宋_GB2312"/>
          <w:sz w:val="32"/>
          <w:szCs w:val="32"/>
        </w:rPr>
      </w:pPr>
    </w:p>
    <w:p w:rsidR="00D85F58" w:rsidRDefault="00DD1531">
      <w:pPr>
        <w:pStyle w:val="a9"/>
        <w:numPr>
          <w:ilvl w:val="0"/>
          <w:numId w:val="2"/>
        </w:numPr>
        <w:spacing w:line="600" w:lineRule="exact"/>
        <w:ind w:firstLineChars="0"/>
        <w:outlineLvl w:val="1"/>
        <w:rPr>
          <w:rStyle w:val="2Char"/>
          <w:rFonts w:ascii="黑体" w:eastAsia="黑体" w:hAnsi="黑体"/>
          <w:b w:val="0"/>
        </w:rPr>
      </w:pPr>
      <w:bookmarkStart w:id="25" w:name="_Toc15396605"/>
      <w:bookmarkStart w:id="26" w:name="_Toc15377207"/>
      <w:r>
        <w:rPr>
          <w:rFonts w:ascii="黑体" w:eastAsia="黑体" w:hAnsi="黑体" w:hint="eastAsia"/>
          <w:sz w:val="32"/>
          <w:szCs w:val="32"/>
        </w:rPr>
        <w:t>支</w:t>
      </w:r>
      <w:r>
        <w:rPr>
          <w:rStyle w:val="2Char"/>
          <w:rFonts w:ascii="黑体" w:eastAsia="黑体" w:hAnsi="黑体" w:hint="eastAsia"/>
          <w:b w:val="0"/>
        </w:rPr>
        <w:t>出决算情况说明</w:t>
      </w:r>
      <w:bookmarkEnd w:id="25"/>
      <w:bookmarkEnd w:id="26"/>
    </w:p>
    <w:p w:rsidR="00D85F58" w:rsidRDefault="00DD1531">
      <w:pPr>
        <w:spacing w:line="600" w:lineRule="exact"/>
        <w:ind w:firstLineChars="200" w:firstLine="640"/>
        <w:outlineLvl w:val="1"/>
        <w:rPr>
          <w:rFonts w:ascii="仿宋_GB2312" w:eastAsia="仿宋_GB2312" w:hAnsi="宋体" w:cs="仿宋_GB2312"/>
          <w:color w:val="000000"/>
          <w:kern w:val="0"/>
          <w:sz w:val="32"/>
          <w:szCs w:val="32"/>
        </w:rPr>
      </w:pPr>
      <w:r>
        <w:rPr>
          <w:rFonts w:ascii="仿宋_GB2312" w:eastAsia="仿宋_GB2312" w:hAnsi="宋体" w:cs="仿宋_GB2312"/>
          <w:color w:val="000000"/>
          <w:kern w:val="0"/>
          <w:sz w:val="32"/>
          <w:szCs w:val="32"/>
        </w:rPr>
        <w:t>20</w:t>
      </w:r>
      <w:r>
        <w:rPr>
          <w:rFonts w:ascii="仿宋_GB2312" w:eastAsia="仿宋_GB2312" w:hAnsi="宋体" w:cs="仿宋_GB2312" w:hint="eastAsia"/>
          <w:color w:val="000000"/>
          <w:kern w:val="0"/>
          <w:sz w:val="32"/>
          <w:szCs w:val="32"/>
        </w:rPr>
        <w:t>21年本年支出合计5161.95万元，其中：基本支出3483.79万元，占67</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；项目支出1678.16万元，占33</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；上缴上级支出0万元，占0</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；经营支出0万元，占0</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；对附属单位补助支出0万元，占0</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w:t>
      </w:r>
    </w:p>
    <w:p w:rsidR="00D85F58" w:rsidRDefault="00DD1531">
      <w:pPr>
        <w:spacing w:line="600" w:lineRule="exac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（图3：支出决算结构图）（饼状图）</w:t>
      </w:r>
    </w:p>
    <w:p w:rsidR="00D85F58" w:rsidRDefault="00DD1531">
      <w:pPr>
        <w:pStyle w:val="a3"/>
        <w:spacing w:before="93"/>
      </w:pPr>
      <w:r>
        <w:rPr>
          <w:rFonts w:ascii="仿宋" w:eastAsia="仿宋" w:hAnsi="仿宋"/>
          <w:b/>
          <w:noProof/>
          <w:color w:val="FF0000"/>
          <w:sz w:val="32"/>
          <w:szCs w:val="32"/>
        </w:rPr>
        <w:drawing>
          <wp:inline distT="0" distB="0" distL="0" distR="0">
            <wp:extent cx="4963160" cy="2079625"/>
            <wp:effectExtent l="0" t="0" r="0" b="0"/>
            <wp:docPr id="3" name="对象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5F58" w:rsidRDefault="00D85F58">
      <w:pPr>
        <w:spacing w:line="600" w:lineRule="exact"/>
        <w:rPr>
          <w:rFonts w:ascii="仿宋_GB2312" w:eastAsia="仿宋_GB2312"/>
          <w:sz w:val="32"/>
          <w:szCs w:val="32"/>
        </w:rPr>
      </w:pPr>
    </w:p>
    <w:p w:rsidR="00D85F58" w:rsidRDefault="00DD1531">
      <w:pPr>
        <w:spacing w:line="600" w:lineRule="exact"/>
        <w:ind w:firstLineChars="200" w:firstLine="640"/>
        <w:outlineLvl w:val="1"/>
        <w:rPr>
          <w:rStyle w:val="2Char"/>
          <w:rFonts w:ascii="黑体" w:eastAsia="黑体" w:hAnsi="黑体"/>
          <w:b w:val="0"/>
        </w:rPr>
      </w:pPr>
      <w:bookmarkStart w:id="27" w:name="_Toc15396606"/>
      <w:bookmarkStart w:id="28" w:name="_Toc15377208"/>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27"/>
      <w:bookmarkEnd w:id="28"/>
    </w:p>
    <w:p w:rsidR="00D85F58" w:rsidRDefault="00DD1531">
      <w:pPr>
        <w:spacing w:line="600" w:lineRule="exact"/>
        <w:ind w:firstLineChars="200" w:firstLine="640"/>
        <w:outlineLvl w:val="1"/>
        <w:rPr>
          <w:rFonts w:ascii="仿宋_GB2312" w:eastAsia="仿宋_GB2312" w:hAnsi="宋体" w:cs="仿宋_GB2312"/>
          <w:color w:val="000000"/>
          <w:kern w:val="0"/>
          <w:sz w:val="32"/>
          <w:szCs w:val="32"/>
        </w:rPr>
      </w:pPr>
      <w:r>
        <w:rPr>
          <w:rFonts w:ascii="仿宋_GB2312" w:eastAsia="仿宋_GB2312" w:hAnsi="宋体" w:cs="仿宋_GB2312"/>
          <w:color w:val="000000"/>
          <w:kern w:val="0"/>
          <w:sz w:val="32"/>
          <w:szCs w:val="32"/>
        </w:rPr>
        <w:t>20</w:t>
      </w:r>
      <w:r>
        <w:rPr>
          <w:rFonts w:ascii="仿宋_GB2312" w:eastAsia="仿宋_GB2312" w:hAnsi="宋体" w:cs="仿宋_GB2312" w:hint="eastAsia"/>
          <w:color w:val="000000"/>
          <w:kern w:val="0"/>
          <w:sz w:val="32"/>
          <w:szCs w:val="32"/>
        </w:rPr>
        <w:t>21年财政拨款收、支总计5147.24万元。与</w:t>
      </w:r>
      <w:r>
        <w:rPr>
          <w:rFonts w:ascii="仿宋_GB2312" w:eastAsia="仿宋_GB2312" w:hAnsi="宋体" w:cs="仿宋_GB2312"/>
          <w:color w:val="000000"/>
          <w:kern w:val="0"/>
          <w:sz w:val="32"/>
          <w:szCs w:val="32"/>
        </w:rPr>
        <w:t>20</w:t>
      </w:r>
      <w:r>
        <w:rPr>
          <w:rFonts w:ascii="仿宋_GB2312" w:eastAsia="仿宋_GB2312" w:hAnsi="宋体" w:cs="仿宋_GB2312" w:hint="eastAsia"/>
          <w:color w:val="000000"/>
          <w:kern w:val="0"/>
          <w:sz w:val="32"/>
          <w:szCs w:val="32"/>
        </w:rPr>
        <w:t>20年相比，财政拨款收、支总计各减少3264.50万元，下降39</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w:t>
      </w:r>
      <w:r>
        <w:rPr>
          <w:rFonts w:ascii="仿宋_GB2312" w:eastAsia="仿宋_GB2312" w:hAnsi="宋体" w:cs="仿宋_GB2312" w:hint="eastAsia"/>
          <w:color w:val="000000"/>
          <w:kern w:val="0"/>
          <w:sz w:val="32"/>
          <w:szCs w:val="32"/>
        </w:rPr>
        <w:lastRenderedPageBreak/>
        <w:t>主要变动原因是抗疫资金专项减少，造成了两年收支总计差异较大。</w:t>
      </w:r>
    </w:p>
    <w:p w:rsidR="00D85F58" w:rsidRDefault="00DD1531">
      <w:pPr>
        <w:spacing w:line="600" w:lineRule="exact"/>
        <w:ind w:firstLineChars="200" w:firstLine="640"/>
        <w:outlineLvl w:val="1"/>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（图4：财政拨款收、支决算总计变动情况）（柱状图）</w:t>
      </w:r>
    </w:p>
    <w:p w:rsidR="00D85F58" w:rsidRDefault="00DD1531">
      <w:pPr>
        <w:pStyle w:val="a3"/>
        <w:spacing w:before="93"/>
      </w:pPr>
      <w:r>
        <w:rPr>
          <w:rFonts w:ascii="仿宋" w:eastAsia="仿宋" w:hAnsi="仿宋"/>
          <w:noProof/>
          <w:color w:val="000000"/>
          <w:sz w:val="32"/>
          <w:szCs w:val="32"/>
        </w:rPr>
        <w:drawing>
          <wp:inline distT="0" distB="0" distL="0" distR="0">
            <wp:extent cx="5086350" cy="1877695"/>
            <wp:effectExtent l="0" t="0" r="0" b="0"/>
            <wp:docPr id="4" name="对象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5F58" w:rsidRDefault="00DD1531">
      <w:pPr>
        <w:spacing w:line="600" w:lineRule="exact"/>
        <w:ind w:firstLineChars="200" w:firstLine="640"/>
        <w:outlineLvl w:val="1"/>
        <w:rPr>
          <w:rStyle w:val="2Char"/>
          <w:rFonts w:ascii="黑体" w:eastAsia="黑体" w:hAnsi="黑体"/>
          <w:b w:val="0"/>
        </w:rPr>
      </w:pPr>
      <w:bookmarkStart w:id="29" w:name="_Toc15377209"/>
      <w:bookmarkStart w:id="30" w:name="_Toc15396607"/>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9"/>
      <w:bookmarkEnd w:id="30"/>
    </w:p>
    <w:p w:rsidR="00D85F58" w:rsidRPr="0028670A" w:rsidRDefault="00DD1531">
      <w:pPr>
        <w:spacing w:line="600" w:lineRule="exact"/>
        <w:ind w:firstLineChars="200" w:firstLine="640"/>
        <w:outlineLvl w:val="2"/>
        <w:rPr>
          <w:rFonts w:ascii="楷体" w:eastAsia="楷体" w:hAnsi="楷体"/>
          <w:sz w:val="32"/>
          <w:szCs w:val="32"/>
        </w:rPr>
      </w:pPr>
      <w:bookmarkStart w:id="31" w:name="_Toc15377210"/>
      <w:r w:rsidRPr="0028670A">
        <w:rPr>
          <w:rFonts w:ascii="楷体" w:eastAsia="楷体" w:hAnsi="楷体" w:hint="eastAsia"/>
          <w:sz w:val="32"/>
          <w:szCs w:val="32"/>
        </w:rPr>
        <w:t>（一）一般公共预算财政拨款支出决算总体情况</w:t>
      </w:r>
      <w:bookmarkEnd w:id="31"/>
    </w:p>
    <w:p w:rsidR="00D85F58" w:rsidRDefault="00DD1531">
      <w:pPr>
        <w:spacing w:line="600" w:lineRule="exact"/>
        <w:ind w:firstLineChars="200" w:firstLine="640"/>
        <w:outlineLvl w:val="1"/>
        <w:rPr>
          <w:rFonts w:ascii="仿宋_GB2312" w:eastAsia="仿宋_GB2312" w:hAnsi="宋体" w:cs="仿宋_GB2312"/>
          <w:color w:val="000000"/>
          <w:kern w:val="0"/>
          <w:sz w:val="32"/>
          <w:szCs w:val="32"/>
        </w:rPr>
      </w:pPr>
      <w:r>
        <w:rPr>
          <w:rFonts w:ascii="仿宋_GB2312" w:eastAsia="仿宋_GB2312" w:hAnsi="宋体" w:cs="仿宋_GB2312"/>
          <w:color w:val="000000"/>
          <w:kern w:val="0"/>
          <w:sz w:val="32"/>
          <w:szCs w:val="32"/>
        </w:rPr>
        <w:t>20</w:t>
      </w:r>
      <w:r>
        <w:rPr>
          <w:rFonts w:ascii="仿宋_GB2312" w:eastAsia="仿宋_GB2312" w:hAnsi="宋体" w:cs="仿宋_GB2312" w:hint="eastAsia"/>
          <w:color w:val="000000"/>
          <w:kern w:val="0"/>
          <w:sz w:val="32"/>
          <w:szCs w:val="32"/>
        </w:rPr>
        <w:t>21年一般公共预算财政拨款支出5147.24万元，占本年支出合计的99</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。与</w:t>
      </w:r>
      <w:r>
        <w:rPr>
          <w:rFonts w:ascii="仿宋_GB2312" w:eastAsia="仿宋_GB2312" w:hAnsi="宋体" w:cs="仿宋_GB2312"/>
          <w:color w:val="000000"/>
          <w:kern w:val="0"/>
          <w:sz w:val="32"/>
          <w:szCs w:val="32"/>
        </w:rPr>
        <w:t>20</w:t>
      </w:r>
      <w:r>
        <w:rPr>
          <w:rFonts w:ascii="仿宋_GB2312" w:eastAsia="仿宋_GB2312" w:hAnsi="宋体" w:cs="仿宋_GB2312" w:hint="eastAsia"/>
          <w:color w:val="000000"/>
          <w:kern w:val="0"/>
          <w:sz w:val="32"/>
          <w:szCs w:val="32"/>
        </w:rPr>
        <w:t>20年相比，一般公共预算财政拨款支出增加2682.15万元，增长52</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。主要变动原因是2021年无政府性基金支出，专项全部下达到一般公共预算财政拨款中。</w:t>
      </w:r>
    </w:p>
    <w:p w:rsidR="00D85F58" w:rsidRDefault="00DD1531">
      <w:pPr>
        <w:spacing w:line="600" w:lineRule="exact"/>
        <w:ind w:firstLineChars="200" w:firstLine="640"/>
        <w:outlineLvl w:val="1"/>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（图5：一般公共预算财政拨款支出决算变动情况）（柱状图）</w:t>
      </w:r>
    </w:p>
    <w:p w:rsidR="00D85F58" w:rsidRDefault="00DD1531">
      <w:pPr>
        <w:pStyle w:val="a3"/>
        <w:spacing w:before="93"/>
      </w:pPr>
      <w:r>
        <w:rPr>
          <w:rFonts w:ascii="仿宋" w:eastAsia="仿宋" w:hAnsi="仿宋"/>
          <w:noProof/>
          <w:color w:val="000000"/>
          <w:sz w:val="32"/>
          <w:szCs w:val="32"/>
        </w:rPr>
        <w:drawing>
          <wp:inline distT="0" distB="0" distL="0" distR="0">
            <wp:extent cx="4407535" cy="1716405"/>
            <wp:effectExtent l="0" t="0" r="0" b="0"/>
            <wp:docPr id="5" name="对象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5F58" w:rsidRPr="0028670A" w:rsidRDefault="00DD1531">
      <w:pPr>
        <w:spacing w:line="600" w:lineRule="exact"/>
        <w:ind w:firstLineChars="200" w:firstLine="640"/>
        <w:outlineLvl w:val="2"/>
        <w:rPr>
          <w:rFonts w:ascii="楷体" w:eastAsia="楷体" w:hAnsi="楷体"/>
          <w:sz w:val="32"/>
          <w:szCs w:val="32"/>
        </w:rPr>
      </w:pPr>
      <w:bookmarkStart w:id="32" w:name="_Toc15377211"/>
      <w:r w:rsidRPr="0028670A">
        <w:rPr>
          <w:rFonts w:ascii="楷体" w:eastAsia="楷体" w:hAnsi="楷体" w:hint="eastAsia"/>
          <w:sz w:val="32"/>
          <w:szCs w:val="32"/>
        </w:rPr>
        <w:t>（二）一般公共预算财政拨款支出决算结构情况</w:t>
      </w:r>
      <w:bookmarkEnd w:id="32"/>
    </w:p>
    <w:p w:rsidR="00D85F58" w:rsidRDefault="00DD1531">
      <w:pPr>
        <w:spacing w:line="600" w:lineRule="exact"/>
        <w:ind w:firstLine="640"/>
        <w:rPr>
          <w:rFonts w:ascii="仿宋_GB2312" w:eastAsia="仿宋_GB2312" w:hAnsi="宋体" w:cs="仿宋_GB2312"/>
          <w:color w:val="000000"/>
          <w:kern w:val="0"/>
          <w:sz w:val="32"/>
          <w:szCs w:val="32"/>
        </w:rPr>
      </w:pPr>
      <w:r>
        <w:rPr>
          <w:rFonts w:ascii="仿宋_GB2312" w:eastAsia="仿宋_GB2312" w:hAnsi="宋体" w:cs="仿宋_GB2312"/>
          <w:color w:val="000000"/>
          <w:kern w:val="0"/>
          <w:sz w:val="32"/>
          <w:szCs w:val="32"/>
        </w:rPr>
        <w:lastRenderedPageBreak/>
        <w:t>20</w:t>
      </w:r>
      <w:r>
        <w:rPr>
          <w:rFonts w:ascii="仿宋_GB2312" w:eastAsia="仿宋_GB2312" w:hAnsi="宋体" w:cs="仿宋_GB2312" w:hint="eastAsia"/>
          <w:color w:val="000000"/>
          <w:kern w:val="0"/>
          <w:sz w:val="32"/>
          <w:szCs w:val="32"/>
        </w:rPr>
        <w:t>21年一般公共预算财政拨款支出5147.24万元，主要用于以下方面</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一般公共服务（类）支出3880.46万元，占75</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；社会保障和就业（类）支出370.03万元，占7</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；城乡社区支出708.91万元，占14</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；住房保障支出187.84万元，占4</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w:t>
      </w:r>
    </w:p>
    <w:p w:rsidR="00D85F58" w:rsidRDefault="00DD1531">
      <w:pPr>
        <w:spacing w:line="60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（图6：一般公共预算财政拨款支出决算结构）（饼状图）</w:t>
      </w:r>
    </w:p>
    <w:p w:rsidR="00D85F58" w:rsidRDefault="00DD1531">
      <w:pPr>
        <w:pStyle w:val="a3"/>
        <w:spacing w:before="93"/>
      </w:pPr>
      <w:r>
        <w:rPr>
          <w:rFonts w:ascii="仿宋" w:eastAsia="仿宋" w:hAnsi="仿宋"/>
          <w:b/>
          <w:noProof/>
          <w:color w:val="000000"/>
          <w:sz w:val="32"/>
          <w:szCs w:val="32"/>
        </w:rPr>
        <w:drawing>
          <wp:inline distT="0" distB="0" distL="0" distR="0">
            <wp:extent cx="4875530" cy="2173605"/>
            <wp:effectExtent l="0" t="0" r="0" b="0"/>
            <wp:docPr id="6" name="对象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85F58" w:rsidRPr="0028670A" w:rsidRDefault="00DD1531">
      <w:pPr>
        <w:spacing w:line="600" w:lineRule="exact"/>
        <w:ind w:firstLineChars="200" w:firstLine="640"/>
        <w:outlineLvl w:val="2"/>
        <w:rPr>
          <w:rFonts w:ascii="楷体" w:eastAsia="楷体" w:hAnsi="楷体"/>
          <w:sz w:val="32"/>
          <w:szCs w:val="32"/>
        </w:rPr>
      </w:pPr>
      <w:bookmarkStart w:id="33" w:name="_Toc15377212"/>
      <w:r w:rsidRPr="0028670A">
        <w:rPr>
          <w:rFonts w:ascii="楷体" w:eastAsia="楷体" w:hAnsi="楷体" w:hint="eastAsia"/>
          <w:sz w:val="32"/>
          <w:szCs w:val="32"/>
        </w:rPr>
        <w:t>（三）一般公共预算财政拨款支出决算具体情况</w:t>
      </w:r>
      <w:bookmarkEnd w:id="33"/>
    </w:p>
    <w:p w:rsidR="00D85F58" w:rsidRDefault="00DD1531">
      <w:pPr>
        <w:spacing w:line="600" w:lineRule="exact"/>
        <w:ind w:firstLineChars="200" w:firstLine="640"/>
        <w:outlineLvl w:val="2"/>
        <w:rPr>
          <w:rFonts w:ascii="仿宋" w:eastAsia="仿宋" w:hAnsi="仿宋"/>
          <w:sz w:val="32"/>
          <w:szCs w:val="32"/>
        </w:rPr>
      </w:pPr>
      <w:bookmarkStart w:id="34" w:name="_Toc15378460"/>
      <w:bookmarkStart w:id="35" w:name="_Toc15377213"/>
      <w:bookmarkStart w:id="36" w:name="_Toc15377444"/>
      <w:r>
        <w:rPr>
          <w:rStyle w:val="a7"/>
          <w:rFonts w:ascii="仿宋_GB2312" w:eastAsia="仿宋_GB2312" w:hint="eastAsia"/>
          <w:b w:val="0"/>
          <w:bCs/>
          <w:color w:val="000000"/>
          <w:sz w:val="32"/>
          <w:szCs w:val="32"/>
        </w:rPr>
        <w:t>2021年一般公共预算支出决算数为5147.24万元，完成预算100</w:t>
      </w:r>
      <w:r>
        <w:rPr>
          <w:rStyle w:val="a7"/>
          <w:rFonts w:ascii="仿宋_GB2312" w:eastAsia="仿宋_GB2312"/>
          <w:b w:val="0"/>
          <w:bCs/>
          <w:color w:val="000000"/>
          <w:sz w:val="32"/>
          <w:szCs w:val="32"/>
        </w:rPr>
        <w:t>%</w:t>
      </w:r>
      <w:r>
        <w:rPr>
          <w:rStyle w:val="a7"/>
          <w:rFonts w:ascii="仿宋_GB2312" w:eastAsia="仿宋_GB2312" w:hint="eastAsia"/>
          <w:b w:val="0"/>
          <w:bCs/>
          <w:color w:val="000000"/>
          <w:sz w:val="32"/>
          <w:szCs w:val="32"/>
        </w:rPr>
        <w:t>。其中</w:t>
      </w:r>
      <w:r>
        <w:rPr>
          <w:rStyle w:val="a7"/>
          <w:rFonts w:ascii="仿宋" w:eastAsia="仿宋" w:hAnsi="仿宋" w:hint="eastAsia"/>
          <w:bCs/>
          <w:sz w:val="32"/>
          <w:szCs w:val="32"/>
        </w:rPr>
        <w:t>：</w:t>
      </w:r>
      <w:bookmarkEnd w:id="34"/>
      <w:bookmarkEnd w:id="35"/>
      <w:bookmarkEnd w:id="36"/>
    </w:p>
    <w:p w:rsidR="00D85F58" w:rsidRDefault="00DD1531">
      <w:pPr>
        <w:spacing w:line="326" w:lineRule="auto"/>
        <w:ind w:firstLineChars="200" w:firstLine="640"/>
        <w:jc w:val="left"/>
        <w:rPr>
          <w:rStyle w:val="a7"/>
          <w:rFonts w:ascii="仿宋_GB2312" w:eastAsia="仿宋_GB2312"/>
          <w:b w:val="0"/>
          <w:bCs/>
          <w:color w:val="000000"/>
          <w:sz w:val="32"/>
          <w:szCs w:val="32"/>
        </w:rPr>
      </w:pPr>
      <w:r>
        <w:rPr>
          <w:rStyle w:val="a7"/>
          <w:rFonts w:ascii="仿宋_GB2312" w:eastAsia="仿宋_GB2312" w:hint="eastAsia"/>
          <w:b w:val="0"/>
          <w:color w:val="000000"/>
          <w:sz w:val="32"/>
          <w:szCs w:val="32"/>
        </w:rPr>
        <w:t>1.一般公共服务支出（类）人力资源事务（款）其他人力资源事务支出（项）:支出决算为28.44万元，完成预算100%。</w:t>
      </w:r>
    </w:p>
    <w:p w:rsidR="00D85F58" w:rsidRDefault="00DD1531">
      <w:pPr>
        <w:spacing w:line="326" w:lineRule="auto"/>
        <w:ind w:firstLineChars="200" w:firstLine="640"/>
        <w:jc w:val="left"/>
        <w:rPr>
          <w:rStyle w:val="a7"/>
          <w:rFonts w:ascii="仿宋_GB2312" w:eastAsia="仿宋_GB2312"/>
          <w:b w:val="0"/>
          <w:color w:val="000000"/>
          <w:sz w:val="32"/>
          <w:szCs w:val="32"/>
        </w:rPr>
      </w:pPr>
      <w:r>
        <w:rPr>
          <w:rStyle w:val="a7"/>
          <w:rFonts w:ascii="仿宋_GB2312" w:eastAsia="仿宋_GB2312" w:hint="eastAsia"/>
          <w:b w:val="0"/>
          <w:color w:val="000000"/>
          <w:sz w:val="32"/>
          <w:szCs w:val="32"/>
        </w:rPr>
        <w:t>2.一般公共服务支出（类）知识产权事务（款）其他知识产权事务支出（项）:支出决算为3.60万元，完成预算100%。</w:t>
      </w:r>
    </w:p>
    <w:p w:rsidR="00D85F58" w:rsidRDefault="00DD1531">
      <w:pPr>
        <w:spacing w:line="326" w:lineRule="auto"/>
        <w:ind w:firstLineChars="200" w:firstLine="640"/>
        <w:jc w:val="left"/>
        <w:rPr>
          <w:rStyle w:val="a7"/>
          <w:rFonts w:ascii="仿宋_GB2312" w:eastAsia="仿宋_GB2312"/>
          <w:b w:val="0"/>
          <w:bCs/>
          <w:color w:val="000000"/>
          <w:sz w:val="32"/>
          <w:szCs w:val="32"/>
        </w:rPr>
      </w:pPr>
      <w:r>
        <w:rPr>
          <w:rStyle w:val="a7"/>
          <w:rFonts w:ascii="仿宋_GB2312" w:eastAsia="仿宋_GB2312" w:hint="eastAsia"/>
          <w:b w:val="0"/>
          <w:color w:val="000000"/>
          <w:sz w:val="32"/>
          <w:szCs w:val="32"/>
        </w:rPr>
        <w:t>3.一般公共服务支出（类）市场监督管理事务（款）一般行政管理事务（项）:支出决算为191.11万元，完成预算</w:t>
      </w:r>
      <w:r>
        <w:rPr>
          <w:rStyle w:val="a7"/>
          <w:rFonts w:ascii="仿宋_GB2312" w:eastAsia="仿宋_GB2312" w:hint="eastAsia"/>
          <w:b w:val="0"/>
          <w:color w:val="000000"/>
          <w:sz w:val="32"/>
          <w:szCs w:val="32"/>
        </w:rPr>
        <w:lastRenderedPageBreak/>
        <w:t>100%。</w:t>
      </w:r>
    </w:p>
    <w:p w:rsidR="00D85F58" w:rsidRDefault="00DD1531">
      <w:pPr>
        <w:spacing w:line="326" w:lineRule="auto"/>
        <w:ind w:firstLineChars="200" w:firstLine="640"/>
        <w:jc w:val="left"/>
        <w:rPr>
          <w:rStyle w:val="a7"/>
          <w:rFonts w:ascii="仿宋_GB2312" w:eastAsia="仿宋_GB2312"/>
          <w:b w:val="0"/>
          <w:bCs/>
          <w:color w:val="000000"/>
          <w:sz w:val="32"/>
          <w:szCs w:val="32"/>
        </w:rPr>
      </w:pPr>
      <w:r>
        <w:rPr>
          <w:rStyle w:val="a7"/>
          <w:rFonts w:ascii="仿宋_GB2312" w:eastAsia="仿宋_GB2312" w:hint="eastAsia"/>
          <w:b w:val="0"/>
          <w:color w:val="000000"/>
          <w:sz w:val="32"/>
          <w:szCs w:val="32"/>
        </w:rPr>
        <w:t>4.一般公共服务支出（类）市场监督管理事务（款）药品事务（项）:支出决算为61.70万元，完成预算100%。</w:t>
      </w:r>
    </w:p>
    <w:p w:rsidR="00D85F58" w:rsidRDefault="00DD1531">
      <w:pPr>
        <w:spacing w:line="326" w:lineRule="auto"/>
        <w:ind w:firstLineChars="196" w:firstLine="627"/>
        <w:jc w:val="left"/>
        <w:rPr>
          <w:rStyle w:val="a7"/>
          <w:rFonts w:ascii="仿宋_GB2312" w:eastAsia="仿宋_GB2312"/>
          <w:b w:val="0"/>
          <w:bCs/>
          <w:color w:val="000000"/>
          <w:sz w:val="32"/>
          <w:szCs w:val="32"/>
        </w:rPr>
      </w:pPr>
      <w:r>
        <w:rPr>
          <w:rStyle w:val="a7"/>
          <w:rFonts w:ascii="仿宋_GB2312" w:eastAsia="仿宋_GB2312" w:hint="eastAsia"/>
          <w:b w:val="0"/>
          <w:color w:val="000000"/>
          <w:sz w:val="32"/>
          <w:szCs w:val="32"/>
        </w:rPr>
        <w:t>5.一般公共服务支出（类）市场监督管理事务（款）事业运行（项）:支出决算为2953.65万元，完成预算100%。</w:t>
      </w:r>
    </w:p>
    <w:p w:rsidR="00D85F58" w:rsidRDefault="00DD1531">
      <w:pPr>
        <w:spacing w:line="326" w:lineRule="auto"/>
        <w:ind w:firstLineChars="200" w:firstLine="640"/>
        <w:jc w:val="left"/>
        <w:rPr>
          <w:rStyle w:val="a7"/>
          <w:rFonts w:ascii="仿宋_GB2312" w:eastAsia="仿宋_GB2312"/>
          <w:b w:val="0"/>
          <w:bCs/>
          <w:color w:val="000000"/>
          <w:sz w:val="32"/>
          <w:szCs w:val="32"/>
        </w:rPr>
      </w:pPr>
      <w:r>
        <w:rPr>
          <w:rStyle w:val="a7"/>
          <w:rFonts w:ascii="仿宋_GB2312" w:eastAsia="仿宋_GB2312" w:hint="eastAsia"/>
          <w:b w:val="0"/>
          <w:color w:val="000000"/>
          <w:sz w:val="32"/>
          <w:szCs w:val="32"/>
        </w:rPr>
        <w:t>6.一般公共服务支出（类）市场监督管理事务（款）其他市场监督管理事务（项）:支出决算为670.40万元，完成预算100%。</w:t>
      </w:r>
    </w:p>
    <w:p w:rsidR="00D85F58" w:rsidRDefault="00DD1531">
      <w:pPr>
        <w:spacing w:line="326" w:lineRule="auto"/>
        <w:ind w:firstLineChars="200" w:firstLine="640"/>
        <w:jc w:val="left"/>
        <w:rPr>
          <w:rStyle w:val="a7"/>
          <w:rFonts w:ascii="仿宋_GB2312" w:eastAsia="仿宋_GB2312"/>
          <w:b w:val="0"/>
          <w:bCs/>
          <w:color w:val="000000"/>
          <w:sz w:val="32"/>
          <w:szCs w:val="32"/>
        </w:rPr>
      </w:pPr>
      <w:r>
        <w:rPr>
          <w:rStyle w:val="a7"/>
          <w:rFonts w:ascii="仿宋_GB2312" w:eastAsia="仿宋_GB2312" w:hint="eastAsia"/>
          <w:b w:val="0"/>
          <w:color w:val="000000"/>
          <w:sz w:val="32"/>
          <w:szCs w:val="32"/>
        </w:rPr>
        <w:t>7.社会保障和就业支出（类）行政事业单位离退休（款）事业单位离退休（项）:支出决算为131.59万元，完成预算100%。</w:t>
      </w:r>
    </w:p>
    <w:p w:rsidR="00D85F58" w:rsidRDefault="00DD1531">
      <w:pPr>
        <w:spacing w:line="326" w:lineRule="auto"/>
        <w:ind w:firstLineChars="200" w:firstLine="640"/>
        <w:jc w:val="left"/>
        <w:rPr>
          <w:rStyle w:val="a7"/>
          <w:rFonts w:ascii="仿宋_GB2312" w:eastAsia="仿宋_GB2312"/>
          <w:b w:val="0"/>
          <w:bCs/>
          <w:color w:val="000000"/>
          <w:sz w:val="32"/>
          <w:szCs w:val="32"/>
        </w:rPr>
      </w:pPr>
      <w:r>
        <w:rPr>
          <w:rStyle w:val="a7"/>
          <w:rFonts w:ascii="仿宋_GB2312" w:eastAsia="仿宋_GB2312" w:hint="eastAsia"/>
          <w:b w:val="0"/>
          <w:color w:val="000000"/>
          <w:sz w:val="32"/>
          <w:szCs w:val="32"/>
        </w:rPr>
        <w:t>8.社会保障和就业支出（类）行政事业单位离退休（款）机关事业单位基本养老保险缴费支出（项）:支出决算为205.60万元，完成预算100%。</w:t>
      </w:r>
    </w:p>
    <w:p w:rsidR="00D85F58" w:rsidRDefault="00DD1531">
      <w:pPr>
        <w:spacing w:line="326" w:lineRule="auto"/>
        <w:ind w:firstLineChars="200" w:firstLine="640"/>
        <w:jc w:val="left"/>
        <w:rPr>
          <w:rStyle w:val="a7"/>
          <w:rFonts w:ascii="仿宋_GB2312" w:eastAsia="仿宋_GB2312"/>
          <w:b w:val="0"/>
          <w:bCs/>
          <w:color w:val="000000"/>
          <w:sz w:val="32"/>
          <w:szCs w:val="32"/>
        </w:rPr>
      </w:pPr>
      <w:r>
        <w:rPr>
          <w:rStyle w:val="a7"/>
          <w:rFonts w:ascii="仿宋_GB2312" w:eastAsia="仿宋_GB2312" w:hint="eastAsia"/>
          <w:b w:val="0"/>
          <w:color w:val="000000"/>
          <w:sz w:val="32"/>
          <w:szCs w:val="32"/>
        </w:rPr>
        <w:t>9. 社会保障和就业支出（类）抚恤（款）死亡抚恤（项）:支出决算为4.40万元，完成预算100%。</w:t>
      </w:r>
    </w:p>
    <w:p w:rsidR="00D85F58" w:rsidRDefault="00DD1531">
      <w:pPr>
        <w:spacing w:line="326" w:lineRule="auto"/>
        <w:ind w:firstLineChars="200" w:firstLine="640"/>
        <w:jc w:val="left"/>
        <w:rPr>
          <w:rStyle w:val="a7"/>
          <w:rFonts w:ascii="仿宋_GB2312" w:eastAsia="仿宋_GB2312"/>
          <w:b w:val="0"/>
          <w:color w:val="000000"/>
          <w:sz w:val="32"/>
          <w:szCs w:val="32"/>
        </w:rPr>
      </w:pPr>
      <w:r>
        <w:rPr>
          <w:rFonts w:ascii="仿宋_GB2312" w:eastAsia="仿宋_GB2312" w:hint="eastAsia"/>
          <w:color w:val="000000"/>
          <w:sz w:val="32"/>
          <w:szCs w:val="32"/>
        </w:rPr>
        <w:t>10.</w:t>
      </w:r>
      <w:r>
        <w:rPr>
          <w:rFonts w:ascii="仿宋_GB2312" w:eastAsia="仿宋_GB2312" w:hint="eastAsia"/>
          <w:bCs/>
          <w:color w:val="000000"/>
          <w:sz w:val="32"/>
          <w:szCs w:val="32"/>
        </w:rPr>
        <w:t>住房保障</w:t>
      </w:r>
      <w:r>
        <w:rPr>
          <w:rStyle w:val="a7"/>
          <w:rFonts w:ascii="仿宋_GB2312" w:eastAsia="仿宋_GB2312" w:hint="eastAsia"/>
          <w:b w:val="0"/>
          <w:color w:val="000000"/>
          <w:sz w:val="32"/>
          <w:szCs w:val="32"/>
        </w:rPr>
        <w:t>（类）住房改革支出（款）住房公积金（项）:支出决算为187.84万元，完成预算100%。</w:t>
      </w:r>
    </w:p>
    <w:p w:rsidR="00D85F58" w:rsidRDefault="00DD1531">
      <w:pPr>
        <w:spacing w:line="326" w:lineRule="auto"/>
        <w:ind w:firstLineChars="200" w:firstLine="640"/>
        <w:jc w:val="left"/>
        <w:rPr>
          <w:rStyle w:val="a7"/>
          <w:rFonts w:ascii="仿宋_GB2312" w:eastAsia="仿宋_GB2312"/>
          <w:b w:val="0"/>
          <w:color w:val="000000"/>
          <w:sz w:val="32"/>
          <w:szCs w:val="32"/>
        </w:rPr>
      </w:pPr>
      <w:r>
        <w:rPr>
          <w:rFonts w:ascii="仿宋_GB2312" w:eastAsia="仿宋_GB2312" w:hint="eastAsia"/>
          <w:color w:val="000000"/>
          <w:sz w:val="32"/>
          <w:szCs w:val="32"/>
        </w:rPr>
        <w:t>11.</w:t>
      </w:r>
      <w:r>
        <w:rPr>
          <w:rFonts w:ascii="仿宋_GB2312" w:eastAsia="仿宋_GB2312" w:hint="eastAsia"/>
          <w:bCs/>
          <w:color w:val="000000"/>
          <w:sz w:val="32"/>
          <w:szCs w:val="32"/>
        </w:rPr>
        <w:t>城乡社区支出</w:t>
      </w:r>
      <w:r>
        <w:rPr>
          <w:rStyle w:val="a7"/>
          <w:rFonts w:ascii="仿宋_GB2312" w:eastAsia="仿宋_GB2312" w:hint="eastAsia"/>
          <w:b w:val="0"/>
          <w:color w:val="000000"/>
          <w:sz w:val="32"/>
          <w:szCs w:val="32"/>
        </w:rPr>
        <w:t>（类）城乡社区公共设施（款）  其他城乡社区公共设施支出（项）:支出决算为708.91万元，完成预算100%。</w:t>
      </w:r>
    </w:p>
    <w:p w:rsidR="00D85F58" w:rsidRDefault="00DD1531">
      <w:pPr>
        <w:tabs>
          <w:tab w:val="right" w:pos="8306"/>
        </w:tabs>
        <w:spacing w:line="600" w:lineRule="exact"/>
        <w:ind w:firstLine="640"/>
        <w:outlineLvl w:val="1"/>
        <w:rPr>
          <w:rStyle w:val="2Char"/>
        </w:rPr>
      </w:pPr>
      <w:bookmarkStart w:id="37" w:name="_Toc15377214"/>
      <w:bookmarkStart w:id="38" w:name="_Toc15396608"/>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7"/>
      <w:bookmarkEnd w:id="38"/>
      <w:r>
        <w:rPr>
          <w:rStyle w:val="2Char"/>
          <w:rFonts w:ascii="黑体" w:eastAsia="黑体" w:hAnsi="黑体"/>
          <w:b w:val="0"/>
        </w:rPr>
        <w:tab/>
      </w:r>
    </w:p>
    <w:p w:rsidR="00D85F58" w:rsidRDefault="00DD1531">
      <w:pPr>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20</w:t>
      </w:r>
      <w:r>
        <w:rPr>
          <w:rFonts w:ascii="仿宋_GB2312" w:eastAsia="仿宋_GB2312" w:hAnsi="仿宋_GB2312" w:cs="仿宋_GB2312" w:hint="eastAsia"/>
          <w:color w:val="000000"/>
          <w:sz w:val="32"/>
          <w:szCs w:val="32"/>
        </w:rPr>
        <w:t>21年一般公共预算财政拨款基本支出3483.08万元，其中：</w:t>
      </w:r>
    </w:p>
    <w:p w:rsidR="00D85F58" w:rsidRDefault="00DD1531">
      <w:pPr>
        <w:spacing w:line="600" w:lineRule="exact"/>
        <w:ind w:firstLine="645"/>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人员经费2646.06万元，主要包括：基本工资、津贴补贴、绩效工资、机关事业单位基本养老保险缴费、公务员医疗补助、其他社会保障缴费、其他工资福利支出、退休费、生活补助、奖励金、住房公积金等。</w:t>
      </w:r>
    </w:p>
    <w:p w:rsidR="00D85F58" w:rsidRDefault="00DD1531">
      <w:pPr>
        <w:spacing w:line="600" w:lineRule="exact"/>
        <w:ind w:firstLine="645"/>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日常公用经费837.02万元，主要包括：办公费、印刷费、手续费、水费、电费、邮电费、物业管理费、差旅费、维修（护）费、租赁费、会议费、培训费、公务接待费、劳务费、委托业务费、工会经费、福利费、公务用车运行维护费、其他交通费、其他商品和服务支出、办公设备购置、专用设备购置等。</w:t>
      </w:r>
    </w:p>
    <w:p w:rsidR="00D85F58" w:rsidRDefault="00DD1531">
      <w:pPr>
        <w:spacing w:line="600" w:lineRule="exact"/>
        <w:ind w:firstLine="640"/>
        <w:outlineLvl w:val="1"/>
        <w:rPr>
          <w:rStyle w:val="2Char"/>
          <w:rFonts w:ascii="黑体" w:eastAsia="黑体" w:hAnsi="黑体"/>
          <w:b w:val="0"/>
        </w:rPr>
      </w:pPr>
      <w:bookmarkStart w:id="39" w:name="_Toc15377215"/>
      <w:bookmarkStart w:id="40" w:name="_Toc15396609"/>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9"/>
      <w:bookmarkEnd w:id="40"/>
    </w:p>
    <w:p w:rsidR="00D85F58" w:rsidRPr="0028670A" w:rsidRDefault="00DD1531">
      <w:pPr>
        <w:spacing w:line="600" w:lineRule="exact"/>
        <w:ind w:firstLine="640"/>
        <w:outlineLvl w:val="2"/>
        <w:rPr>
          <w:rFonts w:ascii="楷体" w:eastAsia="楷体" w:hAnsi="楷体"/>
          <w:sz w:val="32"/>
          <w:szCs w:val="32"/>
        </w:rPr>
      </w:pPr>
      <w:bookmarkStart w:id="41" w:name="_Toc15377216"/>
      <w:r w:rsidRPr="0028670A">
        <w:rPr>
          <w:rFonts w:ascii="楷体" w:eastAsia="楷体" w:hAnsi="楷体" w:hint="eastAsia"/>
          <w:sz w:val="32"/>
          <w:szCs w:val="32"/>
        </w:rPr>
        <w:t>（一）“三公”经费财政拨款支出决算总体情况说明</w:t>
      </w:r>
      <w:bookmarkEnd w:id="41"/>
    </w:p>
    <w:p w:rsidR="00D85F58" w:rsidRDefault="00DD1531">
      <w:pPr>
        <w:spacing w:line="600" w:lineRule="exact"/>
        <w:ind w:firstLine="640"/>
        <w:rPr>
          <w:rFonts w:ascii="仿宋" w:eastAsia="仿宋" w:hAnsi="仿宋"/>
          <w:sz w:val="32"/>
          <w:szCs w:val="32"/>
        </w:rPr>
      </w:pPr>
      <w:r>
        <w:rPr>
          <w:rFonts w:ascii="仿宋_GB2312" w:eastAsia="仿宋_GB2312" w:hAnsi="仿宋_GB2312" w:cs="仿宋_GB2312"/>
          <w:color w:val="000000"/>
          <w:sz w:val="32"/>
          <w:szCs w:val="32"/>
        </w:rPr>
        <w:t>20</w:t>
      </w:r>
      <w:r>
        <w:rPr>
          <w:rFonts w:ascii="仿宋_GB2312" w:eastAsia="仿宋_GB2312" w:hAnsi="仿宋_GB2312" w:cs="仿宋_GB2312" w:hint="eastAsia"/>
          <w:color w:val="000000"/>
          <w:sz w:val="32"/>
          <w:szCs w:val="32"/>
        </w:rPr>
        <w:t>21年“三公”经费财政拨款支出决算为22.85万元，完成预算100</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，决算数与预算数持平。</w:t>
      </w:r>
    </w:p>
    <w:p w:rsidR="00D85F58" w:rsidRPr="0028670A" w:rsidRDefault="00DD1531">
      <w:pPr>
        <w:spacing w:line="600" w:lineRule="exact"/>
        <w:ind w:firstLine="640"/>
        <w:outlineLvl w:val="2"/>
        <w:rPr>
          <w:rFonts w:ascii="楷体" w:eastAsia="楷体" w:hAnsi="楷体"/>
          <w:sz w:val="32"/>
          <w:szCs w:val="32"/>
        </w:rPr>
      </w:pPr>
      <w:bookmarkStart w:id="42" w:name="_Toc15377217"/>
      <w:r w:rsidRPr="0028670A">
        <w:rPr>
          <w:rFonts w:ascii="楷体" w:eastAsia="楷体" w:hAnsi="楷体" w:hint="eastAsia"/>
          <w:sz w:val="32"/>
          <w:szCs w:val="32"/>
        </w:rPr>
        <w:t>（二）“三公”经费财政拨款支出决算具体情况说明</w:t>
      </w:r>
      <w:bookmarkEnd w:id="42"/>
    </w:p>
    <w:p w:rsidR="00D85F58" w:rsidRDefault="00DD1531">
      <w:pPr>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20</w:t>
      </w:r>
      <w:r>
        <w:rPr>
          <w:rFonts w:ascii="仿宋_GB2312" w:eastAsia="仿宋_GB2312" w:hAnsi="仿宋_GB2312" w:cs="仿宋_GB2312" w:hint="eastAsia"/>
          <w:color w:val="000000"/>
          <w:sz w:val="32"/>
          <w:szCs w:val="32"/>
        </w:rPr>
        <w:t>21年“三公”经费财政拨款支出决算中，因公出国（境）费支出决算0万元，占0</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；公务用车购置及运行维护费支出决算21万元，占92</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；公务接待费支出决算1.85万元，占8</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。具体情况如下：</w:t>
      </w:r>
    </w:p>
    <w:p w:rsidR="00D85F58" w:rsidRDefault="00DD1531">
      <w:pPr>
        <w:spacing w:line="600" w:lineRule="exact"/>
        <w:ind w:firstLine="640"/>
        <w:rPr>
          <w:rFonts w:ascii="仿宋" w:eastAsia="仿宋" w:hAnsi="仿宋"/>
          <w:sz w:val="32"/>
          <w:szCs w:val="32"/>
        </w:rPr>
      </w:pPr>
      <w:r>
        <w:rPr>
          <w:rFonts w:ascii="仿宋" w:eastAsia="仿宋" w:hAnsi="仿宋" w:hint="eastAsia"/>
          <w:sz w:val="32"/>
          <w:szCs w:val="32"/>
        </w:rPr>
        <w:t>（图7：“三公”经费财政拨款支出结构）（饼状图）</w:t>
      </w:r>
    </w:p>
    <w:p w:rsidR="00D85F58" w:rsidRDefault="00DD1531">
      <w:pPr>
        <w:spacing w:line="600" w:lineRule="exact"/>
        <w:rPr>
          <w:rFonts w:ascii="仿宋" w:eastAsia="仿宋" w:hAnsi="仿宋"/>
          <w:sz w:val="32"/>
          <w:szCs w:val="32"/>
        </w:rPr>
      </w:pPr>
      <w:r>
        <w:rPr>
          <w:rFonts w:ascii="仿宋" w:eastAsia="仿宋" w:hAnsi="仿宋"/>
          <w:noProof/>
          <w:color w:val="000000"/>
          <w:sz w:val="32"/>
          <w:szCs w:val="32"/>
        </w:rPr>
        <w:lastRenderedPageBreak/>
        <w:drawing>
          <wp:anchor distT="0" distB="0" distL="114300" distR="114300" simplePos="0" relativeHeight="251660288" behindDoc="0" locked="0" layoutInCell="1" allowOverlap="1">
            <wp:simplePos x="0" y="0"/>
            <wp:positionH relativeFrom="column">
              <wp:posOffset>344170</wp:posOffset>
            </wp:positionH>
            <wp:positionV relativeFrom="paragraph">
              <wp:posOffset>346710</wp:posOffset>
            </wp:positionV>
            <wp:extent cx="4838700" cy="1793240"/>
            <wp:effectExtent l="0" t="0" r="0" b="0"/>
            <wp:wrapSquare wrapText="right"/>
            <wp:docPr id="8"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D85F58" w:rsidRDefault="00DD1531">
      <w:pPr>
        <w:spacing w:line="600" w:lineRule="exact"/>
        <w:ind w:firstLine="640"/>
        <w:rPr>
          <w:rFonts w:ascii="仿宋_GB2312" w:eastAsia="仿宋_GB2312"/>
          <w:sz w:val="32"/>
          <w:szCs w:val="32"/>
        </w:rPr>
      </w:pPr>
      <w:r w:rsidRPr="00016232">
        <w:rPr>
          <w:rFonts w:ascii="仿宋_GB2312" w:eastAsia="仿宋_GB2312"/>
          <w:sz w:val="32"/>
          <w:szCs w:val="32"/>
        </w:rPr>
        <w:t>1.</w:t>
      </w:r>
      <w:r w:rsidRPr="00016232">
        <w:rPr>
          <w:rFonts w:ascii="仿宋_GB2312" w:eastAsia="仿宋_GB2312" w:hint="eastAsia"/>
          <w:sz w:val="32"/>
          <w:szCs w:val="32"/>
        </w:rPr>
        <w:t>因公出国（境）经费支出</w:t>
      </w:r>
      <w:r>
        <w:rPr>
          <w:rFonts w:ascii="仿宋_GB2312" w:eastAsia="仿宋_GB2312" w:hint="eastAsia"/>
          <w:sz w:val="32"/>
          <w:szCs w:val="32"/>
        </w:rPr>
        <w:t>0万元。</w:t>
      </w:r>
    </w:p>
    <w:p w:rsidR="00D85F58" w:rsidRDefault="00DD1531">
      <w:pPr>
        <w:spacing w:line="600" w:lineRule="exact"/>
        <w:ind w:firstLine="640"/>
        <w:rPr>
          <w:rFonts w:ascii="仿宋_GB2312" w:eastAsia="仿宋_GB2312"/>
          <w:b/>
          <w:sz w:val="32"/>
          <w:szCs w:val="32"/>
        </w:rPr>
      </w:pPr>
      <w:r w:rsidRPr="00016232">
        <w:rPr>
          <w:rFonts w:ascii="仿宋_GB2312" w:eastAsia="仿宋_GB2312"/>
          <w:sz w:val="32"/>
          <w:szCs w:val="32"/>
        </w:rPr>
        <w:t>2.</w:t>
      </w:r>
      <w:r w:rsidRPr="00016232">
        <w:rPr>
          <w:rFonts w:ascii="仿宋_GB2312" w:eastAsia="仿宋_GB2312" w:hint="eastAsia"/>
          <w:sz w:val="32"/>
          <w:szCs w:val="32"/>
        </w:rPr>
        <w:t>公务用车购置及运行维护费支出</w:t>
      </w:r>
      <w:r>
        <w:rPr>
          <w:rFonts w:ascii="仿宋_GB2312" w:eastAsia="仿宋_GB2312" w:hint="eastAsia"/>
          <w:sz w:val="32"/>
          <w:szCs w:val="32"/>
        </w:rPr>
        <w:t>21万元,完成预算</w:t>
      </w:r>
      <w:r>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20年减少16.11万元，下降43</w:t>
      </w:r>
      <w:r>
        <w:rPr>
          <w:rFonts w:ascii="仿宋_GB2312" w:eastAsia="仿宋_GB2312"/>
          <w:sz w:val="32"/>
          <w:szCs w:val="32"/>
        </w:rPr>
        <w:t>%</w:t>
      </w:r>
      <w:r>
        <w:rPr>
          <w:rFonts w:ascii="仿宋_GB2312" w:eastAsia="仿宋_GB2312" w:hint="eastAsia"/>
          <w:sz w:val="32"/>
          <w:szCs w:val="32"/>
        </w:rPr>
        <w:t>。主要原因是压缩三公经费。</w:t>
      </w:r>
    </w:p>
    <w:p w:rsidR="00D85F58" w:rsidRDefault="00DD1531">
      <w:pPr>
        <w:spacing w:line="326" w:lineRule="auto"/>
        <w:ind w:firstLineChars="200" w:firstLine="640"/>
        <w:rPr>
          <w:rFonts w:ascii="仿宋_GB2312" w:eastAsia="仿宋_GB2312"/>
          <w:bCs/>
          <w:sz w:val="32"/>
          <w:szCs w:val="32"/>
        </w:rPr>
      </w:pPr>
      <w:r>
        <w:rPr>
          <w:rFonts w:ascii="仿宋_GB2312" w:eastAsia="仿宋_GB2312" w:hint="eastAsia"/>
          <w:sz w:val="32"/>
          <w:szCs w:val="32"/>
        </w:rPr>
        <w:t>其中：</w:t>
      </w:r>
      <w:r w:rsidRPr="00016232">
        <w:rPr>
          <w:rFonts w:ascii="仿宋_GB2312" w:eastAsia="仿宋_GB2312" w:hint="eastAsia"/>
          <w:sz w:val="32"/>
          <w:szCs w:val="32"/>
        </w:rPr>
        <w:t>公务用车购置支出</w:t>
      </w:r>
      <w:r>
        <w:rPr>
          <w:rFonts w:ascii="仿宋_GB2312" w:eastAsia="仿宋_GB2312" w:hint="eastAsia"/>
          <w:sz w:val="32"/>
          <w:szCs w:val="32"/>
        </w:rPr>
        <w:t>0万元。</w:t>
      </w:r>
      <w:r>
        <w:rPr>
          <w:rStyle w:val="a7"/>
          <w:rFonts w:ascii="仿宋_GB2312" w:eastAsia="仿宋_GB2312" w:hint="eastAsia"/>
          <w:b w:val="0"/>
          <w:bCs/>
          <w:sz w:val="32"/>
          <w:szCs w:val="32"/>
        </w:rPr>
        <w:t>全年按规定更新购置公务用车0辆，金额0元。截至2021年12月底，单位共有公务用车</w:t>
      </w:r>
      <w:r>
        <w:rPr>
          <w:rStyle w:val="a7"/>
          <w:rFonts w:ascii="仿宋_GB2312" w:eastAsia="仿宋_GB2312"/>
          <w:b w:val="0"/>
          <w:bCs/>
          <w:sz w:val="32"/>
          <w:szCs w:val="32"/>
        </w:rPr>
        <w:t>16</w:t>
      </w:r>
      <w:r>
        <w:rPr>
          <w:rStyle w:val="a7"/>
          <w:rFonts w:ascii="仿宋_GB2312" w:eastAsia="仿宋_GB2312" w:hint="eastAsia"/>
          <w:b w:val="0"/>
          <w:bCs/>
          <w:sz w:val="32"/>
          <w:szCs w:val="32"/>
        </w:rPr>
        <w:t>辆，其中：轿车</w:t>
      </w:r>
      <w:r>
        <w:rPr>
          <w:rStyle w:val="a7"/>
          <w:rFonts w:ascii="仿宋_GB2312" w:eastAsia="仿宋_GB2312"/>
          <w:b w:val="0"/>
          <w:bCs/>
          <w:sz w:val="32"/>
          <w:szCs w:val="32"/>
        </w:rPr>
        <w:t>4</w:t>
      </w:r>
      <w:r>
        <w:rPr>
          <w:rStyle w:val="a7"/>
          <w:rFonts w:ascii="仿宋_GB2312" w:eastAsia="仿宋_GB2312" w:hint="eastAsia"/>
          <w:b w:val="0"/>
          <w:bCs/>
          <w:sz w:val="32"/>
          <w:szCs w:val="32"/>
        </w:rPr>
        <w:t>辆、越野车</w:t>
      </w:r>
      <w:r>
        <w:rPr>
          <w:rStyle w:val="a7"/>
          <w:rFonts w:ascii="仿宋_GB2312" w:eastAsia="仿宋_GB2312"/>
          <w:b w:val="0"/>
          <w:bCs/>
          <w:sz w:val="32"/>
          <w:szCs w:val="32"/>
        </w:rPr>
        <w:t>5</w:t>
      </w:r>
      <w:r>
        <w:rPr>
          <w:rStyle w:val="a7"/>
          <w:rFonts w:ascii="仿宋_GB2312" w:eastAsia="仿宋_GB2312" w:hint="eastAsia"/>
          <w:b w:val="0"/>
          <w:bCs/>
          <w:sz w:val="32"/>
          <w:szCs w:val="32"/>
        </w:rPr>
        <w:t>辆、载客汽车</w:t>
      </w:r>
      <w:r>
        <w:rPr>
          <w:rStyle w:val="a7"/>
          <w:rFonts w:ascii="仿宋_GB2312" w:eastAsia="仿宋_GB2312"/>
          <w:b w:val="0"/>
          <w:bCs/>
          <w:sz w:val="32"/>
          <w:szCs w:val="32"/>
        </w:rPr>
        <w:t>5</w:t>
      </w:r>
      <w:r>
        <w:rPr>
          <w:rStyle w:val="a7"/>
          <w:rFonts w:ascii="仿宋_GB2312" w:eastAsia="仿宋_GB2312" w:hint="eastAsia"/>
          <w:b w:val="0"/>
          <w:bCs/>
          <w:sz w:val="32"/>
          <w:szCs w:val="32"/>
        </w:rPr>
        <w:t>辆、其他车辆</w:t>
      </w:r>
      <w:r>
        <w:rPr>
          <w:rStyle w:val="a7"/>
          <w:rFonts w:ascii="仿宋_GB2312" w:eastAsia="仿宋_GB2312"/>
          <w:b w:val="0"/>
          <w:bCs/>
          <w:sz w:val="32"/>
          <w:szCs w:val="32"/>
        </w:rPr>
        <w:t>2</w:t>
      </w:r>
      <w:r>
        <w:rPr>
          <w:rStyle w:val="a7"/>
          <w:rFonts w:ascii="仿宋_GB2312" w:eastAsia="仿宋_GB2312" w:hint="eastAsia"/>
          <w:b w:val="0"/>
          <w:bCs/>
          <w:sz w:val="32"/>
          <w:szCs w:val="32"/>
        </w:rPr>
        <w:t>辆。</w:t>
      </w:r>
    </w:p>
    <w:p w:rsidR="00D85F58" w:rsidRDefault="00DD1531">
      <w:pPr>
        <w:spacing w:line="600" w:lineRule="exact"/>
        <w:ind w:firstLine="640"/>
        <w:jc w:val="left"/>
        <w:rPr>
          <w:rFonts w:ascii="仿宋_GB2312" w:eastAsia="仿宋_GB2312"/>
          <w:color w:val="000000"/>
          <w:sz w:val="32"/>
          <w:szCs w:val="32"/>
        </w:rPr>
      </w:pPr>
      <w:r w:rsidRPr="00016232">
        <w:rPr>
          <w:rFonts w:ascii="仿宋_GB2312" w:eastAsia="仿宋_GB2312" w:hint="eastAsia"/>
          <w:sz w:val="32"/>
          <w:szCs w:val="32"/>
        </w:rPr>
        <w:t>公务用车运行维护费支出</w:t>
      </w:r>
      <w:r>
        <w:rPr>
          <w:rFonts w:ascii="仿宋_GB2312" w:eastAsia="仿宋_GB2312" w:hint="eastAsia"/>
          <w:sz w:val="32"/>
          <w:szCs w:val="32"/>
        </w:rPr>
        <w:t>21万元。</w:t>
      </w:r>
      <w:r>
        <w:rPr>
          <w:rFonts w:ascii="仿宋_GB2312" w:eastAsia="仿宋_GB2312" w:hint="eastAsia"/>
          <w:color w:val="000000"/>
          <w:sz w:val="32"/>
          <w:szCs w:val="32"/>
        </w:rPr>
        <w:t>主要用于</w:t>
      </w:r>
      <w:r>
        <w:rPr>
          <w:rFonts w:ascii="仿宋_GB2312" w:eastAsia="仿宋_GB2312" w:hAnsi="Calibri" w:cs="宋体" w:hint="eastAsia"/>
          <w:color w:val="000000"/>
          <w:kern w:val="0"/>
          <w:sz w:val="32"/>
          <w:szCs w:val="32"/>
        </w:rPr>
        <w:t>钒钛制品、工业产（商）品等质量安全监督检验；特种设备安全检验检测；全市药品、医疗器械、药品包装材料、消费环节食品、保健食品、化妆品等相关的检验检测工作；社会公用计量标准进行量值传递，开展能效测试，执行强制和法律规定的其他检定测试任务</w:t>
      </w:r>
      <w:r>
        <w:rPr>
          <w:rFonts w:ascii="仿宋_GB2312" w:eastAsia="仿宋_GB2312" w:hint="eastAsia"/>
          <w:color w:val="000000"/>
          <w:sz w:val="32"/>
          <w:szCs w:val="32"/>
        </w:rPr>
        <w:t>等所需的公务用车燃料费、维修费、过路过桥费、保险费等支出。</w:t>
      </w:r>
    </w:p>
    <w:p w:rsidR="00D85F58" w:rsidRDefault="00DD1531">
      <w:pPr>
        <w:spacing w:line="600" w:lineRule="exact"/>
        <w:ind w:firstLine="640"/>
        <w:rPr>
          <w:rFonts w:ascii="仿宋_GB2312" w:eastAsia="仿宋_GB2312"/>
          <w:sz w:val="32"/>
          <w:szCs w:val="32"/>
        </w:rPr>
      </w:pPr>
      <w:r w:rsidRPr="00016232">
        <w:rPr>
          <w:rFonts w:ascii="仿宋_GB2312" w:eastAsia="仿宋_GB2312"/>
          <w:sz w:val="32"/>
          <w:szCs w:val="32"/>
        </w:rPr>
        <w:t>3.</w:t>
      </w:r>
      <w:r w:rsidRPr="00016232">
        <w:rPr>
          <w:rFonts w:ascii="仿宋_GB2312" w:eastAsia="仿宋_GB2312" w:hint="eastAsia"/>
          <w:sz w:val="32"/>
          <w:szCs w:val="32"/>
        </w:rPr>
        <w:t>公务接待费支出</w:t>
      </w:r>
      <w:r>
        <w:rPr>
          <w:rFonts w:ascii="仿宋_GB2312" w:eastAsia="仿宋_GB2312" w:hint="eastAsia"/>
          <w:sz w:val="32"/>
          <w:szCs w:val="32"/>
        </w:rPr>
        <w:t>1.85万元，</w:t>
      </w:r>
      <w:r>
        <w:rPr>
          <w:rFonts w:ascii="仿宋_GB2312" w:eastAsia="仿宋_GB2312" w:hint="eastAsia"/>
          <w:color w:val="000000"/>
          <w:sz w:val="32"/>
          <w:szCs w:val="32"/>
        </w:rPr>
        <w:t>完成预算100</w:t>
      </w:r>
      <w:r>
        <w:rPr>
          <w:rFonts w:ascii="仿宋_GB2312" w:eastAsia="仿宋_GB2312"/>
          <w:color w:val="000000"/>
          <w:sz w:val="32"/>
          <w:szCs w:val="32"/>
        </w:rPr>
        <w:t>%</w:t>
      </w:r>
      <w:r>
        <w:rPr>
          <w:rFonts w:ascii="仿宋_GB2312" w:eastAsia="仿宋_GB2312" w:hint="eastAsia"/>
          <w:color w:val="000000"/>
          <w:sz w:val="32"/>
          <w:szCs w:val="32"/>
        </w:rPr>
        <w:t>。</w:t>
      </w:r>
      <w:r>
        <w:rPr>
          <w:rFonts w:ascii="仿宋_GB2312" w:eastAsia="仿宋_GB2312" w:hint="eastAsia"/>
          <w:sz w:val="32"/>
          <w:szCs w:val="32"/>
        </w:rPr>
        <w:t>公务接</w:t>
      </w:r>
      <w:r>
        <w:rPr>
          <w:rFonts w:ascii="仿宋_GB2312" w:eastAsia="仿宋_GB2312" w:hint="eastAsia"/>
          <w:sz w:val="32"/>
          <w:szCs w:val="32"/>
        </w:rPr>
        <w:lastRenderedPageBreak/>
        <w:t>待费支出决算比</w:t>
      </w:r>
      <w:r>
        <w:rPr>
          <w:rFonts w:ascii="仿宋_GB2312" w:eastAsia="仿宋_GB2312"/>
          <w:sz w:val="32"/>
          <w:szCs w:val="32"/>
        </w:rPr>
        <w:t>20</w:t>
      </w:r>
      <w:r>
        <w:rPr>
          <w:rFonts w:ascii="仿宋_GB2312" w:eastAsia="仿宋_GB2312" w:hint="eastAsia"/>
          <w:sz w:val="32"/>
          <w:szCs w:val="32"/>
        </w:rPr>
        <w:t>20年增加0.76万元，增长41</w:t>
      </w:r>
      <w:r>
        <w:rPr>
          <w:rFonts w:ascii="仿宋_GB2312" w:eastAsia="仿宋_GB2312"/>
          <w:sz w:val="32"/>
          <w:szCs w:val="32"/>
        </w:rPr>
        <w:t>%</w:t>
      </w:r>
      <w:r>
        <w:rPr>
          <w:rFonts w:ascii="仿宋_GB2312" w:eastAsia="仿宋_GB2312" w:hint="eastAsia"/>
          <w:sz w:val="32"/>
          <w:szCs w:val="32"/>
        </w:rPr>
        <w:t>。主要原因是标准考核接待增加。其中：</w:t>
      </w:r>
    </w:p>
    <w:p w:rsidR="00D85F58" w:rsidRDefault="00DD1531">
      <w:pPr>
        <w:spacing w:line="326" w:lineRule="auto"/>
        <w:ind w:firstLine="640"/>
        <w:jc w:val="left"/>
        <w:rPr>
          <w:rFonts w:ascii="仿宋_GB2312" w:eastAsia="仿宋_GB2312"/>
          <w:color w:val="000000"/>
          <w:sz w:val="32"/>
          <w:szCs w:val="32"/>
        </w:rPr>
      </w:pPr>
      <w:r>
        <w:rPr>
          <w:rFonts w:ascii="仿宋_GB2312" w:eastAsia="仿宋_GB2312" w:hint="eastAsia"/>
          <w:color w:val="000000"/>
          <w:sz w:val="32"/>
          <w:szCs w:val="32"/>
        </w:rPr>
        <w:t>国内公务接待支出1.85万元，主要用于执行公务、开展业务活动开支的交通费、住宿费、用餐费等</w:t>
      </w:r>
      <w:r>
        <w:rPr>
          <w:rFonts w:ascii="仿宋_GB2312" w:eastAsia="仿宋_GB2312" w:hint="eastAsia"/>
          <w:sz w:val="32"/>
          <w:szCs w:val="32"/>
        </w:rPr>
        <w:t>。国内公务接待10批次，45人次（不包括陪同人员），共计支出1.85万元，具体内容包括：</w:t>
      </w:r>
      <w:r>
        <w:rPr>
          <w:rFonts w:eastAsia="仿宋_GB2312" w:hint="eastAsia"/>
          <w:color w:val="000000"/>
          <w:sz w:val="32"/>
          <w:szCs w:val="32"/>
        </w:rPr>
        <w:t>接待上级有关部门来攀开展项目检查、调研，其他市州部门来攀考察合作、调研、学习交流等。</w:t>
      </w:r>
    </w:p>
    <w:p w:rsidR="00D85F58" w:rsidRDefault="00DD1531">
      <w:pPr>
        <w:spacing w:line="326" w:lineRule="auto"/>
        <w:ind w:firstLineChars="200" w:firstLine="640"/>
        <w:rPr>
          <w:rFonts w:ascii="黑体" w:eastAsia="黑体"/>
          <w:sz w:val="32"/>
          <w:szCs w:val="32"/>
        </w:rPr>
      </w:pPr>
      <w:bookmarkStart w:id="43" w:name="_Toc15396610"/>
      <w:bookmarkStart w:id="44" w:name="_Toc15377218"/>
      <w:r w:rsidRPr="00016232">
        <w:rPr>
          <w:rFonts w:ascii="仿宋" w:eastAsia="仿宋" w:hAnsi="仿宋" w:hint="eastAsia"/>
          <w:sz w:val="32"/>
          <w:szCs w:val="32"/>
        </w:rPr>
        <w:t>外事接待支出</w:t>
      </w:r>
      <w:r>
        <w:rPr>
          <w:rFonts w:ascii="仿宋" w:eastAsia="仿宋" w:hAnsi="仿宋"/>
          <w:sz w:val="32"/>
          <w:szCs w:val="32"/>
        </w:rPr>
        <w:t>0</w:t>
      </w:r>
      <w:r>
        <w:rPr>
          <w:rFonts w:ascii="仿宋_GB2312" w:eastAsia="仿宋_GB2312" w:hint="eastAsia"/>
          <w:sz w:val="32"/>
          <w:szCs w:val="32"/>
        </w:rPr>
        <w:t>万元，外事接待</w:t>
      </w:r>
      <w:r>
        <w:rPr>
          <w:rFonts w:ascii="仿宋_GB2312" w:eastAsia="仿宋_GB2312"/>
          <w:sz w:val="32"/>
          <w:szCs w:val="32"/>
        </w:rPr>
        <w:t>0</w:t>
      </w:r>
      <w:r>
        <w:rPr>
          <w:rFonts w:ascii="仿宋_GB2312" w:eastAsia="仿宋_GB2312" w:hint="eastAsia"/>
          <w:sz w:val="32"/>
          <w:szCs w:val="32"/>
        </w:rPr>
        <w:t>批次，</w:t>
      </w:r>
      <w:r>
        <w:rPr>
          <w:rFonts w:ascii="仿宋_GB2312" w:eastAsia="仿宋_GB2312"/>
          <w:sz w:val="32"/>
          <w:szCs w:val="32"/>
        </w:rPr>
        <w:t>0</w:t>
      </w:r>
      <w:r>
        <w:rPr>
          <w:rFonts w:ascii="仿宋_GB2312" w:eastAsia="仿宋_GB2312" w:hint="eastAsia"/>
          <w:sz w:val="32"/>
          <w:szCs w:val="32"/>
        </w:rPr>
        <w:t>人，共计支出</w:t>
      </w:r>
      <w:r>
        <w:rPr>
          <w:rFonts w:ascii="仿宋_GB2312" w:eastAsia="仿宋_GB2312"/>
          <w:sz w:val="32"/>
          <w:szCs w:val="32"/>
        </w:rPr>
        <w:t>0</w:t>
      </w:r>
      <w:r>
        <w:rPr>
          <w:rFonts w:ascii="仿宋_GB2312" w:eastAsia="仿宋_GB2312" w:hint="eastAsia"/>
          <w:sz w:val="32"/>
          <w:szCs w:val="32"/>
        </w:rPr>
        <w:t>万元。</w:t>
      </w:r>
    </w:p>
    <w:p w:rsidR="00D85F58" w:rsidRDefault="00DD1531">
      <w:pPr>
        <w:spacing w:line="600" w:lineRule="exact"/>
        <w:ind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b w:val="0"/>
        </w:rPr>
        <w:t>政府性基金预算支出决算情况说明</w:t>
      </w:r>
      <w:bookmarkEnd w:id="43"/>
      <w:bookmarkEnd w:id="44"/>
    </w:p>
    <w:p w:rsidR="00D85F58" w:rsidRDefault="00DD1531">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21年政府性基金预算财政拨款支出0万元。</w:t>
      </w:r>
    </w:p>
    <w:p w:rsidR="00D85F58" w:rsidRDefault="00DD1531">
      <w:pPr>
        <w:numPr>
          <w:ilvl w:val="0"/>
          <w:numId w:val="3"/>
        </w:numPr>
        <w:spacing w:line="600" w:lineRule="exact"/>
        <w:ind w:firstLine="640"/>
        <w:outlineLvl w:val="1"/>
        <w:rPr>
          <w:rStyle w:val="2Char"/>
          <w:rFonts w:ascii="黑体" w:eastAsia="黑体" w:hAnsi="黑体"/>
          <w:b w:val="0"/>
        </w:rPr>
      </w:pPr>
      <w:bookmarkStart w:id="45" w:name="_Toc15377219"/>
      <w:bookmarkStart w:id="46" w:name="_Toc15396611"/>
      <w:r>
        <w:rPr>
          <w:rStyle w:val="2Char"/>
          <w:rFonts w:ascii="黑体" w:eastAsia="黑体" w:hAnsi="黑体" w:hint="eastAsia"/>
          <w:b w:val="0"/>
        </w:rPr>
        <w:t>国有资本经营预算支出决算情况说明</w:t>
      </w:r>
      <w:bookmarkEnd w:id="45"/>
      <w:bookmarkEnd w:id="46"/>
    </w:p>
    <w:p w:rsidR="00D85F58" w:rsidRDefault="00DD1531">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21年国有资本经营预算财政拨款支出0万元。</w:t>
      </w:r>
    </w:p>
    <w:p w:rsidR="00D85F58" w:rsidRDefault="00DD1531">
      <w:pPr>
        <w:numPr>
          <w:ilvl w:val="0"/>
          <w:numId w:val="3"/>
        </w:numPr>
        <w:spacing w:line="600" w:lineRule="exact"/>
        <w:ind w:firstLine="640"/>
        <w:outlineLvl w:val="1"/>
        <w:rPr>
          <w:rStyle w:val="2Char"/>
          <w:rFonts w:ascii="黑体" w:eastAsia="黑体" w:hAnsi="黑体"/>
          <w:b w:val="0"/>
        </w:rPr>
      </w:pPr>
      <w:bookmarkStart w:id="47" w:name="_Toc15377221"/>
      <w:bookmarkStart w:id="48" w:name="_Toc15396612"/>
      <w:r>
        <w:rPr>
          <w:rStyle w:val="2Char"/>
          <w:rFonts w:ascii="黑体" w:eastAsia="黑体" w:hAnsi="黑体" w:hint="eastAsia"/>
          <w:b w:val="0"/>
        </w:rPr>
        <w:t>其他重要事项的情况说明</w:t>
      </w:r>
      <w:bookmarkEnd w:id="47"/>
      <w:bookmarkEnd w:id="48"/>
    </w:p>
    <w:p w:rsidR="00D85F58" w:rsidRPr="00016232" w:rsidRDefault="00DD1531">
      <w:pPr>
        <w:spacing w:line="600" w:lineRule="exact"/>
        <w:ind w:firstLine="640"/>
        <w:outlineLvl w:val="2"/>
        <w:rPr>
          <w:rFonts w:ascii="楷体" w:eastAsia="楷体" w:hAnsi="楷体"/>
          <w:sz w:val="32"/>
          <w:szCs w:val="32"/>
        </w:rPr>
      </w:pPr>
      <w:bookmarkStart w:id="49" w:name="_Toc15377222"/>
      <w:r w:rsidRPr="00016232">
        <w:rPr>
          <w:rFonts w:ascii="楷体" w:eastAsia="楷体" w:hAnsi="楷体" w:hint="eastAsia"/>
          <w:sz w:val="32"/>
          <w:szCs w:val="32"/>
        </w:rPr>
        <w:t>（一）机关运行经费支出情况</w:t>
      </w:r>
      <w:bookmarkEnd w:id="49"/>
    </w:p>
    <w:p w:rsidR="00D85F58" w:rsidRDefault="00DD1531">
      <w:pPr>
        <w:spacing w:line="600" w:lineRule="exact"/>
        <w:ind w:firstLineChars="200" w:firstLine="640"/>
        <w:rPr>
          <w:rFonts w:ascii="仿宋" w:eastAsia="仿宋" w:hAnsi="仿宋"/>
          <w:b/>
          <w:sz w:val="32"/>
          <w:szCs w:val="32"/>
        </w:rPr>
      </w:pPr>
      <w:r>
        <w:rPr>
          <w:rFonts w:ascii="仿宋_GB2312" w:eastAsia="仿宋_GB2312" w:hint="eastAsia"/>
          <w:sz w:val="32"/>
          <w:szCs w:val="32"/>
        </w:rPr>
        <w:t>攀西院为事业单位，</w:t>
      </w:r>
      <w:r>
        <w:rPr>
          <w:rFonts w:ascii="仿宋_GB2312" w:eastAsia="仿宋_GB2312"/>
          <w:sz w:val="32"/>
          <w:szCs w:val="32"/>
        </w:rPr>
        <w:t>20</w:t>
      </w:r>
      <w:r>
        <w:rPr>
          <w:rFonts w:ascii="仿宋_GB2312" w:eastAsia="仿宋_GB2312" w:hint="eastAsia"/>
          <w:sz w:val="32"/>
          <w:szCs w:val="32"/>
        </w:rPr>
        <w:t>21年无机关运行经费支出。</w:t>
      </w:r>
    </w:p>
    <w:p w:rsidR="00D85F58" w:rsidRPr="00016232" w:rsidRDefault="00DD1531">
      <w:pPr>
        <w:spacing w:line="600" w:lineRule="exact"/>
        <w:ind w:firstLine="640"/>
        <w:outlineLvl w:val="2"/>
        <w:rPr>
          <w:rFonts w:ascii="楷体" w:eastAsia="楷体" w:hAnsi="楷体"/>
          <w:sz w:val="32"/>
          <w:szCs w:val="32"/>
        </w:rPr>
      </w:pPr>
      <w:bookmarkStart w:id="50" w:name="_Toc15377223"/>
      <w:r w:rsidRPr="00016232">
        <w:rPr>
          <w:rFonts w:ascii="楷体" w:eastAsia="楷体" w:hAnsi="楷体" w:hint="eastAsia"/>
          <w:sz w:val="32"/>
          <w:szCs w:val="32"/>
        </w:rPr>
        <w:t>（二）政府采购支出情况</w:t>
      </w:r>
      <w:bookmarkEnd w:id="50"/>
    </w:p>
    <w:p w:rsidR="00D85F58" w:rsidRDefault="00DD1531">
      <w:pPr>
        <w:spacing w:line="600" w:lineRule="exact"/>
        <w:ind w:firstLineChars="200" w:firstLine="640"/>
        <w:jc w:val="left"/>
        <w:rPr>
          <w:rFonts w:ascii="仿宋" w:eastAsia="仿宋" w:hAnsi="仿宋"/>
          <w:b/>
          <w:color w:val="FF0000"/>
          <w:sz w:val="32"/>
          <w:szCs w:val="32"/>
        </w:rPr>
      </w:pPr>
      <w:r>
        <w:rPr>
          <w:rFonts w:ascii="仿宋_GB2312" w:eastAsia="仿宋_GB2312"/>
          <w:sz w:val="32"/>
          <w:szCs w:val="32"/>
        </w:rPr>
        <w:t>20</w:t>
      </w:r>
      <w:r>
        <w:rPr>
          <w:rFonts w:ascii="仿宋_GB2312" w:eastAsia="仿宋_GB2312" w:hint="eastAsia"/>
          <w:sz w:val="32"/>
          <w:szCs w:val="32"/>
        </w:rPr>
        <w:t>21年，攀西院政府采购支出总额1001.16万元，其中：政府采购货物支出972.16万元、政府采购工程支出0万元、政府采购服务支出29万元。</w:t>
      </w:r>
      <w:r>
        <w:rPr>
          <w:rFonts w:ascii="仿宋_GB2312" w:eastAsia="仿宋_GB2312" w:hint="eastAsia"/>
          <w:color w:val="000000"/>
          <w:sz w:val="32"/>
          <w:szCs w:val="32"/>
        </w:rPr>
        <w:t>主要用于购置产品质检、食品药品检验、特种设备检测等专用设备，有利于业务开展。授予中小企业合同金额0万元，占政府采购支出总额的0</w:t>
      </w:r>
      <w:r>
        <w:rPr>
          <w:rFonts w:ascii="仿宋_GB2312" w:eastAsia="仿宋_GB2312"/>
          <w:color w:val="000000"/>
          <w:sz w:val="32"/>
          <w:szCs w:val="32"/>
        </w:rPr>
        <w:t>%</w:t>
      </w:r>
      <w:r>
        <w:rPr>
          <w:rFonts w:ascii="仿宋_GB2312" w:eastAsia="仿宋_GB2312" w:hint="eastAsia"/>
          <w:color w:val="000000"/>
          <w:sz w:val="32"/>
          <w:szCs w:val="32"/>
        </w:rPr>
        <w:t>，其</w:t>
      </w:r>
      <w:r>
        <w:rPr>
          <w:rFonts w:ascii="仿宋_GB2312" w:eastAsia="仿宋_GB2312" w:hint="eastAsia"/>
          <w:color w:val="000000"/>
          <w:sz w:val="32"/>
          <w:szCs w:val="32"/>
        </w:rPr>
        <w:lastRenderedPageBreak/>
        <w:t>中：授予小微企业合同金额0万元，占政府采购支出总额的0</w:t>
      </w:r>
      <w:r>
        <w:rPr>
          <w:rFonts w:ascii="仿宋_GB2312" w:eastAsia="仿宋_GB2312"/>
          <w:color w:val="000000"/>
          <w:sz w:val="32"/>
          <w:szCs w:val="32"/>
        </w:rPr>
        <w:t>%</w:t>
      </w:r>
      <w:r>
        <w:rPr>
          <w:rFonts w:ascii="仿宋_GB2312" w:eastAsia="仿宋_GB2312" w:hint="eastAsia"/>
          <w:color w:val="000000"/>
          <w:sz w:val="32"/>
          <w:szCs w:val="32"/>
        </w:rPr>
        <w:t>。</w:t>
      </w:r>
    </w:p>
    <w:p w:rsidR="00D85F58" w:rsidRPr="00016232" w:rsidRDefault="00DD1531">
      <w:pPr>
        <w:spacing w:line="600" w:lineRule="exact"/>
        <w:ind w:firstLine="640"/>
        <w:outlineLvl w:val="2"/>
        <w:rPr>
          <w:rFonts w:ascii="楷体" w:eastAsia="楷体" w:hAnsi="楷体"/>
          <w:sz w:val="32"/>
          <w:szCs w:val="32"/>
        </w:rPr>
      </w:pPr>
      <w:bookmarkStart w:id="51" w:name="_Toc15377224"/>
      <w:r w:rsidRPr="00016232">
        <w:rPr>
          <w:rFonts w:ascii="楷体" w:eastAsia="楷体" w:hAnsi="楷体" w:hint="eastAsia"/>
          <w:sz w:val="32"/>
          <w:szCs w:val="32"/>
        </w:rPr>
        <w:t>（三）国有资产占有使用情况</w:t>
      </w:r>
      <w:bookmarkEnd w:id="51"/>
    </w:p>
    <w:p w:rsidR="00D85F58" w:rsidRDefault="00DD1531">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日，攀西院共有车辆16辆，其中：主要领导干部用车0辆、机要通信用车0辆、应急保障用车0辆、其他用车16辆，其他用车主要是用于</w:t>
      </w:r>
      <w:r>
        <w:rPr>
          <w:rFonts w:ascii="仿宋_GB2312" w:eastAsia="仿宋_GB2312" w:hint="eastAsia"/>
          <w:color w:val="000000"/>
          <w:sz w:val="32"/>
          <w:szCs w:val="32"/>
        </w:rPr>
        <w:t>,开展检验检测工作。</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万元以上通用设备0台（套），单价</w:t>
      </w:r>
      <w:r>
        <w:rPr>
          <w:rFonts w:ascii="仿宋_GB2312" w:eastAsia="仿宋_GB2312"/>
          <w:sz w:val="32"/>
          <w:szCs w:val="32"/>
        </w:rPr>
        <w:t>100</w:t>
      </w:r>
      <w:r>
        <w:rPr>
          <w:rFonts w:ascii="仿宋_GB2312" w:eastAsia="仿宋_GB2312" w:hint="eastAsia"/>
          <w:sz w:val="32"/>
          <w:szCs w:val="32"/>
        </w:rPr>
        <w:t>万元以上专用设备0台（套）。</w:t>
      </w:r>
    </w:p>
    <w:p w:rsidR="00D85F58" w:rsidRPr="00016232" w:rsidRDefault="00DD1531">
      <w:pPr>
        <w:spacing w:line="600" w:lineRule="exact"/>
        <w:ind w:firstLine="640"/>
        <w:outlineLvl w:val="2"/>
        <w:rPr>
          <w:rFonts w:ascii="楷体" w:eastAsia="楷体" w:hAnsi="楷体"/>
          <w:sz w:val="32"/>
          <w:szCs w:val="32"/>
        </w:rPr>
      </w:pPr>
      <w:r w:rsidRPr="00016232">
        <w:rPr>
          <w:rFonts w:ascii="楷体" w:eastAsia="楷体" w:hAnsi="楷体" w:hint="eastAsia"/>
          <w:sz w:val="32"/>
          <w:szCs w:val="32"/>
        </w:rPr>
        <w:t>（四）预算绩效管理情况</w:t>
      </w:r>
    </w:p>
    <w:p w:rsidR="00D85F58" w:rsidRDefault="00DD153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根据预算绩效管理要求，本单位在2021年度预算编制阶段，组织对</w:t>
      </w:r>
      <w:r>
        <w:rPr>
          <w:rFonts w:ascii="仿宋_GB2312" w:eastAsia="仿宋_GB2312" w:hAnsi="黑体" w:cs="黑体" w:hint="eastAsia"/>
          <w:sz w:val="32"/>
          <w:szCs w:val="32"/>
        </w:rPr>
        <w:t>攀西钒钛论坛经费</w:t>
      </w:r>
      <w:r>
        <w:rPr>
          <w:rFonts w:ascii="仿宋_GB2312" w:eastAsia="仿宋_GB2312" w:hAnsi="仿宋_GB2312" w:cs="仿宋_GB2312" w:hint="eastAsia"/>
          <w:sz w:val="32"/>
          <w:szCs w:val="32"/>
        </w:rPr>
        <w:t>、业务运行费、能力提升经费、钒钛磁铁矿标委会经费四个项目开展了预算事前绩效评估，对四个项目编制了绩效目标，预算执行过程中，选取五个项目开展绩效监控，年终执行完毕后，对五个项目开展了绩效自评，2021年特定目标类部门预算项目绩效目标自评表见附件（第四部分）。</w:t>
      </w:r>
    </w:p>
    <w:p w:rsidR="00D85F58" w:rsidRDefault="00D85F58">
      <w:pPr>
        <w:pStyle w:val="a3"/>
        <w:spacing w:before="93"/>
        <w:rPr>
          <w:highlight w:val="yellow"/>
        </w:rPr>
      </w:pPr>
    </w:p>
    <w:p w:rsidR="00D85F58" w:rsidRDefault="00DD1531">
      <w:pPr>
        <w:widowControl/>
        <w:jc w:val="left"/>
        <w:rPr>
          <w:rFonts w:ascii="仿宋_GB2312" w:eastAsia="仿宋_GB2312"/>
          <w:b/>
          <w:sz w:val="32"/>
          <w:szCs w:val="32"/>
        </w:rPr>
      </w:pPr>
      <w:r>
        <w:rPr>
          <w:rFonts w:ascii="仿宋_GB2312" w:eastAsia="仿宋_GB2312"/>
          <w:b/>
          <w:sz w:val="32"/>
          <w:szCs w:val="32"/>
        </w:rPr>
        <w:br w:type="page"/>
      </w:r>
    </w:p>
    <w:p w:rsidR="00D85F58" w:rsidRDefault="00DD1531">
      <w:pPr>
        <w:numPr>
          <w:ilvl w:val="0"/>
          <w:numId w:val="4"/>
        </w:numPr>
        <w:spacing w:line="600" w:lineRule="exact"/>
        <w:ind w:firstLineChars="150" w:firstLine="660"/>
        <w:jc w:val="center"/>
        <w:outlineLvl w:val="0"/>
        <w:rPr>
          <w:rStyle w:val="1Char"/>
          <w:rFonts w:ascii="黑体" w:eastAsia="黑体" w:hAnsi="黑体"/>
          <w:b w:val="0"/>
        </w:rPr>
      </w:pPr>
      <w:bookmarkStart w:id="52" w:name="_Toc15396613"/>
      <w:bookmarkStart w:id="53" w:name="_Toc15377225"/>
      <w:r>
        <w:rPr>
          <w:rFonts w:ascii="黑体" w:eastAsia="黑体" w:hAnsi="黑体" w:hint="eastAsia"/>
          <w:sz w:val="44"/>
          <w:szCs w:val="44"/>
        </w:rPr>
        <w:lastRenderedPageBreak/>
        <w:t>名</w:t>
      </w:r>
      <w:r>
        <w:rPr>
          <w:rStyle w:val="1Char"/>
          <w:rFonts w:ascii="黑体" w:eastAsia="黑体" w:hAnsi="黑体" w:hint="eastAsia"/>
          <w:b w:val="0"/>
        </w:rPr>
        <w:t>词解释</w:t>
      </w:r>
      <w:bookmarkEnd w:id="52"/>
      <w:bookmarkEnd w:id="53"/>
    </w:p>
    <w:p w:rsidR="00D85F58" w:rsidRDefault="00D85F58">
      <w:pPr>
        <w:spacing w:line="600" w:lineRule="exact"/>
        <w:jc w:val="left"/>
        <w:rPr>
          <w:rFonts w:ascii="宋体"/>
          <w:b/>
          <w:sz w:val="44"/>
          <w:szCs w:val="44"/>
        </w:rPr>
      </w:pPr>
    </w:p>
    <w:p w:rsidR="00D85F58" w:rsidRDefault="00DD1531">
      <w:pPr>
        <w:pStyle w:val="Default"/>
        <w:spacing w:line="326" w:lineRule="auto"/>
        <w:ind w:firstLineChars="200" w:firstLine="640"/>
        <w:rPr>
          <w:rFonts w:ascii="Times New Roman" w:eastAsia="仿宋_GB2312" w:hAnsi="Times New Roman"/>
          <w:sz w:val="32"/>
          <w:szCs w:val="32"/>
        </w:rPr>
      </w:pPr>
      <w:bookmarkStart w:id="54" w:name="_Toc15377226"/>
      <w:r>
        <w:rPr>
          <w:rFonts w:ascii="Times New Roman" w:eastAsia="仿宋_GB2312" w:hAnsi="Times New Roman"/>
          <w:sz w:val="32"/>
          <w:szCs w:val="32"/>
        </w:rPr>
        <w:t>1.</w:t>
      </w:r>
      <w:r>
        <w:rPr>
          <w:rFonts w:ascii="Times New Roman" w:eastAsia="仿宋_GB2312" w:hAnsi="Times New Roman" w:hint="eastAsia"/>
          <w:sz w:val="32"/>
          <w:szCs w:val="32"/>
        </w:rPr>
        <w:t>财政拨款收入：指单位从同级财政部门取得的财政预算资金。</w:t>
      </w:r>
    </w:p>
    <w:p w:rsidR="00D85F58" w:rsidRDefault="00DD1531">
      <w:pPr>
        <w:pStyle w:val="Default"/>
        <w:spacing w:line="326"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事业收入：指事业单位开展专业业务活动及辅助活动取得的收入。</w:t>
      </w:r>
    </w:p>
    <w:p w:rsidR="00D85F58" w:rsidRDefault="00DD1531">
      <w:pPr>
        <w:pStyle w:val="Default"/>
        <w:spacing w:line="326"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经营收入：指事业单位在专业业务活动及其辅助活动之外开展非独立核算经营活动取得的收入。</w:t>
      </w:r>
    </w:p>
    <w:p w:rsidR="00D85F58" w:rsidRDefault="00DD1531">
      <w:pPr>
        <w:pStyle w:val="Default"/>
        <w:spacing w:line="326"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其他收入：指单位取得的除上述收入以外的各项收入。主要是上级单位转入项目经费等。</w:t>
      </w:r>
    </w:p>
    <w:p w:rsidR="00D85F58" w:rsidRDefault="00DD1531">
      <w:pPr>
        <w:pStyle w:val="Default"/>
        <w:spacing w:line="326"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D85F58" w:rsidRDefault="00DD1531">
      <w:pPr>
        <w:pStyle w:val="Default"/>
        <w:spacing w:line="326"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年初结转和结余：指以前年度尚未完成、结转到本年按有关规定继续使用的资金。</w:t>
      </w:r>
    </w:p>
    <w:p w:rsidR="00D85F58" w:rsidRDefault="00DD1531">
      <w:pPr>
        <w:pStyle w:val="Default"/>
        <w:spacing w:line="326"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hint="eastAsia"/>
          <w:sz w:val="32"/>
          <w:szCs w:val="32"/>
        </w:rPr>
        <w:t>结余分配：指事业单位按照事业单位会计制度的规定从非财政补助结余中分配的事业基金和职工福利基金等。</w:t>
      </w:r>
    </w:p>
    <w:p w:rsidR="00D85F58" w:rsidRDefault="00DD1531">
      <w:pPr>
        <w:pStyle w:val="Default"/>
        <w:spacing w:line="326"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hint="eastAsia"/>
          <w:sz w:val="32"/>
          <w:szCs w:val="32"/>
        </w:rPr>
        <w:t>.</w:t>
      </w:r>
      <w:r>
        <w:rPr>
          <w:rFonts w:ascii="Times New Roman" w:eastAsia="仿宋_GB2312" w:hAnsi="Times New Roman" w:hint="eastAsia"/>
          <w:sz w:val="32"/>
          <w:szCs w:val="32"/>
        </w:rPr>
        <w:t>年末结转和结余：指单位按有关规定结转到下年或以后年度继续使用的资金。</w:t>
      </w:r>
    </w:p>
    <w:p w:rsidR="00D85F58" w:rsidRDefault="00DD1531">
      <w:pPr>
        <w:pStyle w:val="Default"/>
        <w:spacing w:line="326" w:lineRule="auto"/>
        <w:ind w:firstLineChars="200" w:firstLine="640"/>
        <w:rPr>
          <w:rFonts w:ascii="仿宋_GB2312" w:eastAsia="仿宋_GB2312"/>
          <w:sz w:val="32"/>
          <w:szCs w:val="32"/>
        </w:rPr>
      </w:pPr>
      <w:r>
        <w:rPr>
          <w:rFonts w:ascii="仿宋_GB2312" w:eastAsia="仿宋_GB2312" w:hint="eastAsia"/>
          <w:sz w:val="32"/>
          <w:szCs w:val="32"/>
        </w:rPr>
        <w:t>9.一般公共服务（类）人力资源事务（款）其他人力资</w:t>
      </w:r>
      <w:r>
        <w:rPr>
          <w:rFonts w:ascii="仿宋_GB2312" w:eastAsia="仿宋_GB2312" w:hint="eastAsia"/>
          <w:sz w:val="32"/>
          <w:szCs w:val="32"/>
        </w:rPr>
        <w:lastRenderedPageBreak/>
        <w:t>源事务支出（项）:反映其他人力资源事务方面的支出。</w:t>
      </w:r>
    </w:p>
    <w:p w:rsidR="00D85F58" w:rsidRDefault="00DD1531">
      <w:pPr>
        <w:pStyle w:val="Default"/>
        <w:spacing w:line="326" w:lineRule="auto"/>
        <w:ind w:firstLineChars="200" w:firstLine="640"/>
        <w:rPr>
          <w:rStyle w:val="a7"/>
          <w:rFonts w:ascii="仿宋_GB2312" w:eastAsia="仿宋_GB2312"/>
          <w:b w:val="0"/>
          <w:bCs/>
          <w:sz w:val="32"/>
          <w:szCs w:val="32"/>
        </w:rPr>
      </w:pPr>
      <w:r>
        <w:rPr>
          <w:rFonts w:ascii="仿宋_GB2312" w:eastAsia="仿宋_GB2312" w:hint="eastAsia"/>
          <w:sz w:val="32"/>
          <w:szCs w:val="32"/>
        </w:rPr>
        <w:t>10.</w:t>
      </w:r>
      <w:r>
        <w:rPr>
          <w:rStyle w:val="a7"/>
          <w:rFonts w:ascii="仿宋_GB2312" w:eastAsia="仿宋_GB2312" w:hint="eastAsia"/>
          <w:b w:val="0"/>
          <w:bCs/>
          <w:sz w:val="32"/>
          <w:szCs w:val="32"/>
        </w:rPr>
        <w:t>一般公共服务支出（类）知识产权事务（款）其他知识产权事务支出（项）:用于知识产权事务方面的支出。</w:t>
      </w:r>
    </w:p>
    <w:p w:rsidR="00D85F58" w:rsidRDefault="00DD1531">
      <w:pPr>
        <w:spacing w:line="326" w:lineRule="auto"/>
        <w:ind w:firstLineChars="200" w:firstLine="640"/>
        <w:jc w:val="left"/>
        <w:rPr>
          <w:rStyle w:val="a7"/>
          <w:rFonts w:ascii="仿宋_GB2312" w:eastAsia="仿宋_GB2312"/>
          <w:b w:val="0"/>
          <w:bCs/>
          <w:color w:val="000000"/>
          <w:sz w:val="32"/>
          <w:szCs w:val="32"/>
        </w:rPr>
      </w:pPr>
      <w:r>
        <w:rPr>
          <w:rStyle w:val="a7"/>
          <w:rFonts w:ascii="仿宋_GB2312" w:eastAsia="仿宋_GB2312" w:hint="eastAsia"/>
          <w:b w:val="0"/>
          <w:bCs/>
          <w:color w:val="000000"/>
          <w:sz w:val="32"/>
          <w:szCs w:val="32"/>
        </w:rPr>
        <w:t xml:space="preserve">11.一般公共服务（类）市场监督管理事务（款）一般行政管理事务（项）: </w:t>
      </w:r>
      <w:r>
        <w:rPr>
          <w:rFonts w:ascii="仿宋_GB2312" w:eastAsia="仿宋_GB2312" w:hint="eastAsia"/>
          <w:sz w:val="32"/>
          <w:szCs w:val="32"/>
        </w:rPr>
        <w:t>指行政单位（包括公务员管理的事业单位）未单独设置项级科目的其他项目支出。</w:t>
      </w:r>
    </w:p>
    <w:p w:rsidR="00D85F58" w:rsidRDefault="00DD1531">
      <w:pPr>
        <w:spacing w:line="326" w:lineRule="auto"/>
        <w:ind w:firstLineChars="200" w:firstLine="640"/>
        <w:jc w:val="left"/>
        <w:rPr>
          <w:rStyle w:val="a7"/>
          <w:rFonts w:ascii="仿宋_GB2312" w:eastAsia="仿宋_GB2312"/>
          <w:b w:val="0"/>
          <w:bCs/>
          <w:color w:val="000000"/>
          <w:sz w:val="32"/>
          <w:szCs w:val="32"/>
        </w:rPr>
      </w:pPr>
      <w:r>
        <w:rPr>
          <w:rStyle w:val="a7"/>
          <w:rFonts w:ascii="仿宋_GB2312" w:eastAsia="仿宋_GB2312" w:hint="eastAsia"/>
          <w:b w:val="0"/>
          <w:bCs/>
          <w:color w:val="000000"/>
          <w:sz w:val="32"/>
          <w:szCs w:val="32"/>
        </w:rPr>
        <w:t>1</w:t>
      </w:r>
      <w:r>
        <w:rPr>
          <w:rStyle w:val="a7"/>
          <w:rFonts w:ascii="仿宋_GB2312" w:eastAsia="仿宋_GB2312"/>
          <w:b w:val="0"/>
          <w:bCs/>
          <w:color w:val="000000"/>
          <w:sz w:val="32"/>
          <w:szCs w:val="32"/>
        </w:rPr>
        <w:t>2</w:t>
      </w:r>
      <w:r>
        <w:rPr>
          <w:rStyle w:val="a7"/>
          <w:rFonts w:ascii="仿宋_GB2312" w:eastAsia="仿宋_GB2312" w:hint="eastAsia"/>
          <w:b w:val="0"/>
          <w:bCs/>
          <w:color w:val="000000"/>
          <w:sz w:val="32"/>
          <w:szCs w:val="32"/>
        </w:rPr>
        <w:t>.一般公共服务（类）市场监督管理事务（款）药品事务（项）:反映用于药品( 含中药、民族药)监督管理方面的支出。</w:t>
      </w:r>
    </w:p>
    <w:p w:rsidR="00D85F58" w:rsidRDefault="00DD1531">
      <w:pPr>
        <w:spacing w:line="326" w:lineRule="auto"/>
        <w:ind w:firstLineChars="200" w:firstLine="640"/>
        <w:jc w:val="left"/>
        <w:rPr>
          <w:rStyle w:val="a7"/>
          <w:rFonts w:ascii="仿宋_GB2312" w:eastAsia="仿宋_GB2312"/>
          <w:b w:val="0"/>
          <w:bCs/>
          <w:color w:val="000000"/>
          <w:sz w:val="32"/>
          <w:szCs w:val="32"/>
        </w:rPr>
      </w:pPr>
      <w:r>
        <w:rPr>
          <w:rStyle w:val="a7"/>
          <w:rFonts w:ascii="仿宋_GB2312" w:eastAsia="仿宋_GB2312" w:hint="eastAsia"/>
          <w:b w:val="0"/>
          <w:bCs/>
          <w:color w:val="000000"/>
          <w:sz w:val="32"/>
          <w:szCs w:val="32"/>
        </w:rPr>
        <w:t>1</w:t>
      </w:r>
      <w:r>
        <w:rPr>
          <w:rStyle w:val="a7"/>
          <w:rFonts w:ascii="仿宋_GB2312" w:eastAsia="仿宋_GB2312"/>
          <w:b w:val="0"/>
          <w:bCs/>
          <w:color w:val="000000"/>
          <w:sz w:val="32"/>
          <w:szCs w:val="32"/>
        </w:rPr>
        <w:t>3</w:t>
      </w:r>
      <w:r>
        <w:rPr>
          <w:rStyle w:val="a7"/>
          <w:rFonts w:ascii="仿宋_GB2312" w:eastAsia="仿宋_GB2312" w:hint="eastAsia"/>
          <w:b w:val="0"/>
          <w:bCs/>
          <w:color w:val="000000"/>
          <w:sz w:val="32"/>
          <w:szCs w:val="32"/>
        </w:rPr>
        <w:t xml:space="preserve">.一般公共服务（类）市场监督管理事务（款）事业运行（项）: </w:t>
      </w:r>
      <w:r>
        <w:rPr>
          <w:rFonts w:ascii="仿宋_GB2312" w:eastAsia="仿宋_GB2312" w:hint="eastAsia"/>
          <w:sz w:val="32"/>
          <w:szCs w:val="32"/>
        </w:rPr>
        <w:t>指用于事业单位的基本支出。</w:t>
      </w:r>
    </w:p>
    <w:p w:rsidR="00D85F58" w:rsidRDefault="00DD1531">
      <w:pPr>
        <w:spacing w:line="326" w:lineRule="auto"/>
        <w:ind w:firstLineChars="200" w:firstLine="640"/>
        <w:jc w:val="left"/>
        <w:rPr>
          <w:rStyle w:val="a7"/>
          <w:rFonts w:ascii="仿宋_GB2312" w:eastAsia="仿宋_GB2312"/>
          <w:b w:val="0"/>
          <w:bCs/>
          <w:color w:val="000000"/>
          <w:sz w:val="32"/>
          <w:szCs w:val="32"/>
        </w:rPr>
      </w:pPr>
      <w:r>
        <w:rPr>
          <w:rStyle w:val="a7"/>
          <w:rFonts w:ascii="仿宋_GB2312" w:eastAsia="仿宋_GB2312" w:hint="eastAsia"/>
          <w:b w:val="0"/>
          <w:bCs/>
          <w:color w:val="000000"/>
          <w:sz w:val="32"/>
          <w:szCs w:val="32"/>
        </w:rPr>
        <w:t>1</w:t>
      </w:r>
      <w:r>
        <w:rPr>
          <w:rStyle w:val="a7"/>
          <w:rFonts w:ascii="仿宋_GB2312" w:eastAsia="仿宋_GB2312"/>
          <w:b w:val="0"/>
          <w:bCs/>
          <w:color w:val="000000"/>
          <w:sz w:val="32"/>
          <w:szCs w:val="32"/>
        </w:rPr>
        <w:t>4</w:t>
      </w:r>
      <w:r>
        <w:rPr>
          <w:rStyle w:val="a7"/>
          <w:rFonts w:ascii="仿宋_GB2312" w:eastAsia="仿宋_GB2312" w:hint="eastAsia"/>
          <w:b w:val="0"/>
          <w:bCs/>
          <w:color w:val="000000"/>
          <w:sz w:val="32"/>
          <w:szCs w:val="32"/>
        </w:rPr>
        <w:t xml:space="preserve">.一般公共服务（类）市场监督管理事务（款）其他市场监督管理事务（项）: </w:t>
      </w:r>
      <w:r>
        <w:rPr>
          <w:rStyle w:val="a7"/>
          <w:rFonts w:ascii="仿宋_GB2312" w:eastAsia="仿宋_GB2312" w:hint="eastAsia"/>
          <w:b w:val="0"/>
          <w:bCs/>
          <w:sz w:val="32"/>
          <w:szCs w:val="32"/>
        </w:rPr>
        <w:t>指反映用于除上述项目以外其他市场监督管理事务方面的支出。</w:t>
      </w:r>
    </w:p>
    <w:p w:rsidR="00D85F58" w:rsidRDefault="00DD1531">
      <w:pPr>
        <w:pStyle w:val="Default"/>
        <w:spacing w:line="326" w:lineRule="auto"/>
        <w:rPr>
          <w:rStyle w:val="a7"/>
          <w:rFonts w:ascii="仿宋_GB2312" w:eastAsia="仿宋_GB2312"/>
          <w:b w:val="0"/>
          <w:bCs/>
          <w:sz w:val="32"/>
          <w:szCs w:val="32"/>
        </w:rPr>
      </w:pPr>
      <w:r>
        <w:rPr>
          <w:rStyle w:val="a7"/>
          <w:rFonts w:ascii="仿宋_GB2312" w:eastAsia="仿宋_GB2312" w:hint="eastAsia"/>
          <w:b w:val="0"/>
          <w:bCs/>
          <w:sz w:val="32"/>
          <w:szCs w:val="32"/>
        </w:rPr>
        <w:t xml:space="preserve">    1</w:t>
      </w:r>
      <w:r>
        <w:rPr>
          <w:rStyle w:val="a7"/>
          <w:rFonts w:ascii="仿宋_GB2312" w:eastAsia="仿宋_GB2312"/>
          <w:b w:val="0"/>
          <w:bCs/>
          <w:sz w:val="32"/>
          <w:szCs w:val="32"/>
        </w:rPr>
        <w:t>5</w:t>
      </w:r>
      <w:r>
        <w:rPr>
          <w:rStyle w:val="a7"/>
          <w:rFonts w:ascii="仿宋_GB2312" w:eastAsia="仿宋_GB2312" w:hAnsi="Times New Roman" w:hint="eastAsia"/>
          <w:b w:val="0"/>
          <w:bCs/>
          <w:sz w:val="32"/>
          <w:szCs w:val="32"/>
        </w:rPr>
        <w:t>.社会保障和就业（类）</w:t>
      </w:r>
      <w:r>
        <w:rPr>
          <w:rStyle w:val="a7"/>
          <w:rFonts w:ascii="仿宋_GB2312" w:eastAsia="仿宋_GB2312" w:hint="eastAsia"/>
          <w:b w:val="0"/>
          <w:bCs/>
          <w:sz w:val="32"/>
          <w:szCs w:val="32"/>
        </w:rPr>
        <w:t>行政事业单位离退休</w:t>
      </w:r>
      <w:r>
        <w:rPr>
          <w:rStyle w:val="a7"/>
          <w:rFonts w:ascii="仿宋_GB2312" w:eastAsia="仿宋_GB2312" w:hAnsi="Times New Roman" w:hint="eastAsia"/>
          <w:b w:val="0"/>
          <w:bCs/>
          <w:sz w:val="32"/>
          <w:szCs w:val="32"/>
        </w:rPr>
        <w:t>（款）</w:t>
      </w:r>
      <w:r>
        <w:rPr>
          <w:rStyle w:val="a7"/>
          <w:rFonts w:ascii="仿宋_GB2312" w:eastAsia="仿宋_GB2312" w:hint="eastAsia"/>
          <w:b w:val="0"/>
          <w:bCs/>
          <w:sz w:val="32"/>
          <w:szCs w:val="32"/>
        </w:rPr>
        <w:t>事业单位离退休</w:t>
      </w:r>
      <w:r>
        <w:rPr>
          <w:rStyle w:val="a7"/>
          <w:rFonts w:ascii="仿宋_GB2312" w:eastAsia="仿宋_GB2312" w:hAnsi="Times New Roman" w:hint="eastAsia"/>
          <w:b w:val="0"/>
          <w:bCs/>
          <w:sz w:val="32"/>
          <w:szCs w:val="32"/>
        </w:rPr>
        <w:t>（项）:</w:t>
      </w:r>
      <w:r>
        <w:rPr>
          <w:rFonts w:ascii="仿宋_GB2312" w:eastAsia="仿宋_GB2312" w:hint="eastAsia"/>
          <w:sz w:val="32"/>
          <w:szCs w:val="32"/>
        </w:rPr>
        <w:t>指事业单位开支的离退休支出。</w:t>
      </w:r>
    </w:p>
    <w:p w:rsidR="00D85F58" w:rsidRDefault="00DD1531">
      <w:pPr>
        <w:pStyle w:val="Default"/>
        <w:spacing w:line="326" w:lineRule="auto"/>
        <w:ind w:firstLineChars="200" w:firstLine="640"/>
        <w:rPr>
          <w:rStyle w:val="a7"/>
          <w:rFonts w:ascii="仿宋_GB2312" w:eastAsia="仿宋_GB2312"/>
          <w:b w:val="0"/>
          <w:bCs/>
          <w:sz w:val="32"/>
          <w:szCs w:val="32"/>
        </w:rPr>
      </w:pPr>
      <w:r>
        <w:rPr>
          <w:rStyle w:val="a7"/>
          <w:rFonts w:ascii="仿宋_GB2312" w:eastAsia="仿宋_GB2312" w:hint="eastAsia"/>
          <w:b w:val="0"/>
          <w:bCs/>
          <w:sz w:val="32"/>
          <w:szCs w:val="32"/>
        </w:rPr>
        <w:t>1</w:t>
      </w:r>
      <w:r>
        <w:rPr>
          <w:rStyle w:val="a7"/>
          <w:rFonts w:ascii="仿宋_GB2312" w:eastAsia="仿宋_GB2312"/>
          <w:b w:val="0"/>
          <w:bCs/>
          <w:sz w:val="32"/>
          <w:szCs w:val="32"/>
        </w:rPr>
        <w:t>6</w:t>
      </w:r>
      <w:r>
        <w:rPr>
          <w:rStyle w:val="a7"/>
          <w:rFonts w:ascii="仿宋_GB2312" w:eastAsia="仿宋_GB2312" w:hint="eastAsia"/>
          <w:b w:val="0"/>
          <w:bCs/>
          <w:sz w:val="32"/>
          <w:szCs w:val="32"/>
        </w:rPr>
        <w:t xml:space="preserve">.社会保障和就业（类）行政事业单位离退休（款）机关事业单位基本养老保险缴费支出（项）: </w:t>
      </w:r>
      <w:r>
        <w:rPr>
          <w:rFonts w:ascii="仿宋_GB2312" w:eastAsia="仿宋_GB2312" w:hint="eastAsia"/>
          <w:sz w:val="32"/>
          <w:szCs w:val="32"/>
        </w:rPr>
        <w:t>指机关事业单位实施养老保险制度由单位缴纳的基本养老保险支出。</w:t>
      </w:r>
    </w:p>
    <w:p w:rsidR="00D85F58" w:rsidRDefault="00DD1531">
      <w:pPr>
        <w:pStyle w:val="Default"/>
        <w:spacing w:line="326" w:lineRule="auto"/>
        <w:ind w:firstLineChars="200" w:firstLine="640"/>
        <w:rPr>
          <w:rFonts w:ascii="仿宋_GB2312" w:eastAsia="仿宋_GB2312"/>
          <w:sz w:val="32"/>
          <w:szCs w:val="32"/>
        </w:rPr>
      </w:pPr>
      <w:r>
        <w:rPr>
          <w:rFonts w:ascii="仿宋_GB2312" w:eastAsia="仿宋_GB2312"/>
          <w:sz w:val="32"/>
          <w:szCs w:val="32"/>
        </w:rPr>
        <w:t>17</w:t>
      </w:r>
      <w:r>
        <w:rPr>
          <w:rFonts w:ascii="仿宋_GB2312" w:eastAsia="仿宋_GB2312" w:hint="eastAsia"/>
          <w:sz w:val="32"/>
          <w:szCs w:val="32"/>
        </w:rPr>
        <w:t>.</w:t>
      </w:r>
      <w:r>
        <w:rPr>
          <w:rFonts w:ascii="仿宋_GB2312" w:eastAsia="仿宋_GB2312" w:hint="eastAsia"/>
          <w:bCs/>
          <w:sz w:val="32"/>
          <w:szCs w:val="32"/>
        </w:rPr>
        <w:t>住房保障</w:t>
      </w:r>
      <w:r>
        <w:rPr>
          <w:rStyle w:val="a7"/>
          <w:rFonts w:ascii="仿宋_GB2312" w:eastAsia="仿宋_GB2312" w:hint="eastAsia"/>
          <w:b w:val="0"/>
          <w:bCs/>
          <w:sz w:val="32"/>
          <w:szCs w:val="32"/>
        </w:rPr>
        <w:t>（类）住房改革支出（款）住房公积金（项）:</w:t>
      </w:r>
      <w:r>
        <w:rPr>
          <w:rFonts w:ascii="仿宋_GB2312" w:eastAsia="仿宋_GB2312" w:hint="eastAsia"/>
          <w:sz w:val="32"/>
          <w:szCs w:val="32"/>
        </w:rPr>
        <w:t>指行政事业单位按人力资源和社会保障部、财政部规定的基本工资和津贴补贴以及按规定比例为职工缴纳的住房公积</w:t>
      </w:r>
      <w:r>
        <w:rPr>
          <w:rFonts w:ascii="仿宋_GB2312" w:eastAsia="仿宋_GB2312" w:hint="eastAsia"/>
          <w:sz w:val="32"/>
          <w:szCs w:val="32"/>
        </w:rPr>
        <w:lastRenderedPageBreak/>
        <w:t>金。</w:t>
      </w:r>
    </w:p>
    <w:p w:rsidR="00D85F58" w:rsidRDefault="00DD1531">
      <w:pPr>
        <w:spacing w:line="326" w:lineRule="auto"/>
        <w:ind w:firstLineChars="200" w:firstLine="640"/>
        <w:jc w:val="left"/>
        <w:rPr>
          <w:rFonts w:eastAsia="仿宋_GB2312"/>
          <w:color w:val="000000"/>
          <w:sz w:val="32"/>
          <w:szCs w:val="32"/>
        </w:rPr>
      </w:pPr>
      <w:r>
        <w:rPr>
          <w:rFonts w:eastAsia="仿宋_GB2312"/>
          <w:color w:val="000000"/>
          <w:sz w:val="32"/>
          <w:szCs w:val="32"/>
        </w:rPr>
        <w:t>18.</w:t>
      </w:r>
      <w:r>
        <w:rPr>
          <w:rFonts w:eastAsia="仿宋_GB2312" w:hint="eastAsia"/>
          <w:color w:val="000000"/>
          <w:sz w:val="32"/>
          <w:szCs w:val="32"/>
        </w:rPr>
        <w:t>基本支出：指为保障机构正常运转、完成日常工作任务而发生的人员支出和公用支出。</w:t>
      </w:r>
    </w:p>
    <w:p w:rsidR="00D85F58" w:rsidRDefault="00DD1531">
      <w:pPr>
        <w:spacing w:line="326" w:lineRule="auto"/>
        <w:ind w:firstLineChars="200" w:firstLine="640"/>
        <w:jc w:val="left"/>
        <w:rPr>
          <w:rFonts w:eastAsia="仿宋_GB2312"/>
          <w:color w:val="000000"/>
          <w:sz w:val="32"/>
          <w:szCs w:val="32"/>
        </w:rPr>
      </w:pPr>
      <w:r>
        <w:rPr>
          <w:rFonts w:eastAsia="仿宋_GB2312"/>
          <w:color w:val="000000"/>
          <w:sz w:val="32"/>
          <w:szCs w:val="32"/>
        </w:rPr>
        <w:t>19.</w:t>
      </w:r>
      <w:r>
        <w:rPr>
          <w:rFonts w:eastAsia="仿宋_GB2312" w:hint="eastAsia"/>
          <w:color w:val="000000"/>
          <w:sz w:val="32"/>
          <w:szCs w:val="32"/>
        </w:rPr>
        <w:t>项目支出：指在基本支出之外为完成特定行政任务和事业发展目标所发生的支出。</w:t>
      </w:r>
    </w:p>
    <w:p w:rsidR="00D85F58" w:rsidRDefault="00DD1531">
      <w:pPr>
        <w:spacing w:line="326" w:lineRule="auto"/>
        <w:ind w:firstLineChars="200" w:firstLine="640"/>
        <w:jc w:val="left"/>
        <w:rPr>
          <w:rFonts w:eastAsia="仿宋_GB2312"/>
          <w:color w:val="000000"/>
          <w:sz w:val="32"/>
          <w:szCs w:val="32"/>
        </w:rPr>
      </w:pPr>
      <w:r>
        <w:rPr>
          <w:rFonts w:eastAsia="仿宋_GB2312" w:hint="eastAsia"/>
          <w:color w:val="000000"/>
          <w:sz w:val="32"/>
          <w:szCs w:val="32"/>
        </w:rPr>
        <w:t>2</w:t>
      </w:r>
      <w:r>
        <w:rPr>
          <w:rFonts w:eastAsia="仿宋_GB2312"/>
          <w:color w:val="000000"/>
          <w:sz w:val="32"/>
          <w:szCs w:val="32"/>
        </w:rPr>
        <w:t>0.</w:t>
      </w:r>
      <w:r>
        <w:rPr>
          <w:rFonts w:eastAsia="仿宋_GB2312" w:hint="eastAsia"/>
          <w:color w:val="000000"/>
          <w:sz w:val="32"/>
          <w:szCs w:val="32"/>
        </w:rPr>
        <w:t>经营支出：指事业单位在专业业务活动及其辅助活动之外开展非独立核算经营活动发生的支出。</w:t>
      </w:r>
    </w:p>
    <w:p w:rsidR="00D85F58" w:rsidRDefault="00DD1531">
      <w:pPr>
        <w:pStyle w:val="Default"/>
        <w:spacing w:line="326"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D85F58" w:rsidRDefault="00DD1531">
      <w:pPr>
        <w:spacing w:line="600" w:lineRule="exact"/>
        <w:jc w:val="center"/>
        <w:outlineLvl w:val="0"/>
        <w:rPr>
          <w:rStyle w:val="1Char"/>
          <w:rFonts w:ascii="黑体" w:eastAsia="黑体" w:hAnsi="黑体"/>
          <w:b w:val="0"/>
        </w:rPr>
      </w:pPr>
      <w:r>
        <w:rPr>
          <w:rFonts w:ascii="宋体"/>
          <w:b/>
          <w:sz w:val="44"/>
          <w:szCs w:val="44"/>
        </w:rPr>
        <w:br w:type="page"/>
      </w:r>
      <w:bookmarkStart w:id="55" w:name="_Toc15396614"/>
      <w:r>
        <w:rPr>
          <w:rFonts w:ascii="黑体" w:eastAsia="黑体" w:hAnsi="黑体" w:hint="eastAsia"/>
          <w:sz w:val="44"/>
          <w:szCs w:val="44"/>
        </w:rPr>
        <w:lastRenderedPageBreak/>
        <w:t>第</w:t>
      </w:r>
      <w:r>
        <w:rPr>
          <w:rStyle w:val="1Char"/>
          <w:rFonts w:ascii="黑体" w:eastAsia="黑体" w:hAnsi="黑体" w:hint="eastAsia"/>
          <w:b w:val="0"/>
        </w:rPr>
        <w:t>四部分 附件</w:t>
      </w:r>
      <w:bookmarkEnd w:id="55"/>
    </w:p>
    <w:p w:rsidR="00D85F58" w:rsidRDefault="00DD1531">
      <w:pPr>
        <w:spacing w:line="572" w:lineRule="exact"/>
        <w:jc w:val="left"/>
        <w:outlineLvl w:val="0"/>
        <w:rPr>
          <w:rFonts w:ascii="仿宋_GB2312" w:eastAsia="仿宋_GB2312" w:hAnsi="仿宋_GB2312" w:cs="仿宋_GB2312"/>
          <w:sz w:val="32"/>
          <w:szCs w:val="32"/>
        </w:rPr>
      </w:pPr>
      <w:r>
        <w:rPr>
          <w:rFonts w:ascii="黑体" w:eastAsia="黑体" w:hAnsi="黑体" w:cs="黑体" w:hint="eastAsia"/>
          <w:sz w:val="32"/>
          <w:szCs w:val="32"/>
        </w:rPr>
        <w:t>附表1</w:t>
      </w:r>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1101"/>
        <w:gridCol w:w="992"/>
        <w:gridCol w:w="1417"/>
        <w:gridCol w:w="1985"/>
        <w:gridCol w:w="1671"/>
        <w:gridCol w:w="2409"/>
        <w:gridCol w:w="236"/>
      </w:tblGrid>
      <w:tr w:rsidR="00D85F58">
        <w:trPr>
          <w:trHeight w:val="675"/>
        </w:trPr>
        <w:tc>
          <w:tcPr>
            <w:tcW w:w="9575" w:type="dxa"/>
            <w:gridSpan w:val="6"/>
            <w:tcBorders>
              <w:top w:val="nil"/>
              <w:left w:val="nil"/>
              <w:bottom w:val="nil"/>
              <w:right w:val="nil"/>
            </w:tcBorders>
            <w:shd w:val="clear" w:color="auto" w:fill="auto"/>
            <w:vAlign w:val="center"/>
          </w:tcPr>
          <w:p w:rsidR="00D85F58" w:rsidRDefault="00DD1531">
            <w:pPr>
              <w:widowControl/>
              <w:ind w:firstLineChars="345" w:firstLine="1108"/>
              <w:textAlignment w:val="center"/>
              <w:rPr>
                <w:rFonts w:ascii="宋体" w:hAnsi="宋体" w:cs="宋体"/>
                <w:b/>
                <w:sz w:val="32"/>
                <w:szCs w:val="32"/>
              </w:rPr>
            </w:pPr>
            <w:bookmarkStart w:id="56" w:name="_Toc15396618"/>
            <w:r>
              <w:rPr>
                <w:rFonts w:ascii="宋体" w:hAnsi="宋体" w:cs="宋体" w:hint="eastAsia"/>
                <w:b/>
                <w:sz w:val="32"/>
                <w:szCs w:val="32"/>
              </w:rPr>
              <w:t>2021年食药二期项目建设贷款资金项目绩效目标自评</w:t>
            </w:r>
          </w:p>
        </w:tc>
        <w:tc>
          <w:tcPr>
            <w:tcW w:w="236" w:type="dxa"/>
            <w:tcBorders>
              <w:top w:val="nil"/>
              <w:left w:val="nil"/>
              <w:bottom w:val="nil"/>
              <w:right w:val="nil"/>
            </w:tcBorders>
            <w:shd w:val="clear" w:color="auto" w:fill="auto"/>
            <w:vAlign w:val="center"/>
          </w:tcPr>
          <w:p w:rsidR="00D85F58" w:rsidRDefault="00D85F58">
            <w:pPr>
              <w:widowControl/>
              <w:jc w:val="center"/>
              <w:textAlignment w:val="center"/>
              <w:rPr>
                <w:rFonts w:ascii="宋体" w:hAnsi="宋体" w:cs="宋体"/>
                <w:b/>
                <w:kern w:val="0"/>
                <w:sz w:val="32"/>
                <w:szCs w:val="32"/>
              </w:rPr>
            </w:pPr>
          </w:p>
        </w:tc>
      </w:tr>
      <w:tr w:rsidR="00D85F58">
        <w:trPr>
          <w:gridAfter w:val="1"/>
          <w:wAfter w:w="236" w:type="dxa"/>
          <w:trHeight w:val="254"/>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主管部门及代码</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攀枝花市市场监督管理局1</w:t>
            </w:r>
            <w:r>
              <w:rPr>
                <w:rFonts w:asciiTheme="minorEastAsia" w:eastAsiaTheme="minorEastAsia" w:hAnsiTheme="minorEastAsia" w:cs="宋体"/>
                <w:sz w:val="18"/>
                <w:szCs w:val="18"/>
              </w:rPr>
              <w:t>42</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实施单位</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攀西钒钛检验检测院</w:t>
            </w:r>
          </w:p>
        </w:tc>
      </w:tr>
      <w:tr w:rsidR="00D85F58">
        <w:trPr>
          <w:gridAfter w:val="1"/>
          <w:wAfter w:w="236" w:type="dxa"/>
          <w:trHeight w:val="341"/>
        </w:trPr>
        <w:tc>
          <w:tcPr>
            <w:tcW w:w="20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项目预算</w:t>
            </w:r>
            <w:r>
              <w:rPr>
                <w:rFonts w:asciiTheme="minorEastAsia" w:eastAsiaTheme="minorEastAsia" w:hAnsiTheme="minorEastAsia" w:cs="宋体" w:hint="eastAsia"/>
                <w:kern w:val="0"/>
                <w:sz w:val="18"/>
                <w:szCs w:val="18"/>
              </w:rPr>
              <w:br/>
              <w:t>执行情况</w:t>
            </w:r>
            <w:r>
              <w:rPr>
                <w:rFonts w:asciiTheme="minorEastAsia" w:eastAsiaTheme="minorEastAsia" w:hAnsiTheme="minorEastAsia" w:cs="宋体" w:hint="eastAsia"/>
                <w:kern w:val="0"/>
                <w:sz w:val="18"/>
                <w:szCs w:val="18"/>
              </w:rPr>
              <w:br/>
              <w:t>（万元）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 xml:space="preserve"> 预算数：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708.91</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 xml:space="preserve"> 执行数：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righ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708.91</w:t>
            </w:r>
          </w:p>
        </w:tc>
      </w:tr>
      <w:tr w:rsidR="00D85F58">
        <w:trPr>
          <w:gridAfter w:val="1"/>
          <w:wAfter w:w="236" w:type="dxa"/>
          <w:trHeight w:val="555"/>
        </w:trPr>
        <w:tc>
          <w:tcPr>
            <w:tcW w:w="209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宋体"/>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其中：</w:t>
            </w:r>
          </w:p>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财政拨款</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708.91</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其中：</w:t>
            </w:r>
          </w:p>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财政拨款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708.91</w:t>
            </w:r>
          </w:p>
        </w:tc>
      </w:tr>
      <w:tr w:rsidR="00D85F58">
        <w:trPr>
          <w:gridAfter w:val="1"/>
          <w:wAfter w:w="236" w:type="dxa"/>
          <w:trHeight w:val="341"/>
        </w:trPr>
        <w:tc>
          <w:tcPr>
            <w:tcW w:w="209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宋体"/>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其他资金</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85F58">
            <w:pPr>
              <w:widowControl/>
              <w:spacing w:line="320" w:lineRule="exact"/>
              <w:jc w:val="left"/>
              <w:textAlignment w:val="center"/>
              <w:rPr>
                <w:rFonts w:asciiTheme="minorEastAsia" w:eastAsiaTheme="minorEastAsia" w:hAnsiTheme="minorEastAsia" w:cs="宋体"/>
                <w:sz w:val="18"/>
                <w:szCs w:val="18"/>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其他资金</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85F58">
            <w:pPr>
              <w:widowControl/>
              <w:spacing w:line="320" w:lineRule="exact"/>
              <w:jc w:val="center"/>
              <w:textAlignment w:val="center"/>
              <w:rPr>
                <w:rFonts w:asciiTheme="minorEastAsia" w:eastAsiaTheme="minorEastAsia" w:hAnsiTheme="minorEastAsia" w:cs="宋体"/>
                <w:sz w:val="18"/>
                <w:szCs w:val="18"/>
              </w:rPr>
            </w:pPr>
          </w:p>
        </w:tc>
      </w:tr>
      <w:tr w:rsidR="00D85F58">
        <w:trPr>
          <w:gridAfter w:val="1"/>
          <w:wAfter w:w="236" w:type="dxa"/>
          <w:trHeight w:val="217"/>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年度总体目标</w:t>
            </w:r>
          </w:p>
          <w:p w:rsidR="00D85F58" w:rsidRDefault="00DD1531">
            <w:pPr>
              <w:widowControl/>
              <w:spacing w:line="320" w:lineRule="exact"/>
              <w:jc w:val="center"/>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完成情况</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预期目标</w:t>
            </w:r>
          </w:p>
        </w:tc>
        <w:tc>
          <w:tcPr>
            <w:tcW w:w="4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目标实际完成情况</w:t>
            </w:r>
          </w:p>
        </w:tc>
      </w:tr>
      <w:tr w:rsidR="00D85F58">
        <w:trPr>
          <w:gridAfter w:val="1"/>
          <w:wAfter w:w="236" w:type="dxa"/>
          <w:trHeight w:val="797"/>
        </w:trPr>
        <w:tc>
          <w:tcPr>
            <w:tcW w:w="11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宋体"/>
                <w:sz w:val="18"/>
                <w:szCs w:val="18"/>
              </w:rPr>
            </w:pP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Pr>
          <w:p w:rsidR="00D85F58" w:rsidRDefault="00DD1531">
            <w:pPr>
              <w:widowControl/>
              <w:spacing w:line="320" w:lineRule="exact"/>
              <w:jc w:val="left"/>
              <w:textAlignment w:val="top"/>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2019年原攀枝花市食品药品监督管理局经与市财政和市发改委协调同意，5000 万元的项目建设资金来源由原批准的“向银行贷款解决”调整为“由市财政筹资解决” （其中 1874 万元已由市食品药品检验所向银行贷款解决，资金本息纳入市本级财政预算）。该项目用于修建攀枝花市食品安全检（监）测能力建设二期，目的是为了解决当前攀西钒钛检验检测院（原攀枝花市食品药品检验所）食品、药品、保健品、化妆品等的检验检测相对薄弱、发展建设不规范等突出问题，使其走向规范化、标准化。二期项目建成不仅可以健全我单位的食品药品检测体系，而且可以提高食品药品安全检测的业务水平。</w:t>
            </w:r>
          </w:p>
        </w:tc>
        <w:tc>
          <w:tcPr>
            <w:tcW w:w="4080" w:type="dxa"/>
            <w:gridSpan w:val="2"/>
            <w:tcBorders>
              <w:top w:val="single" w:sz="4" w:space="0" w:color="000000"/>
              <w:left w:val="single" w:sz="4" w:space="0" w:color="000000"/>
              <w:bottom w:val="single" w:sz="4" w:space="0" w:color="000000"/>
              <w:right w:val="single" w:sz="4" w:space="0" w:color="000000"/>
            </w:tcBorders>
            <w:shd w:val="clear" w:color="auto" w:fill="auto"/>
          </w:tcPr>
          <w:p w:rsidR="00D85F58" w:rsidRDefault="00DD1531">
            <w:pPr>
              <w:widowControl/>
              <w:spacing w:line="320" w:lineRule="exact"/>
              <w:jc w:val="left"/>
              <w:textAlignment w:val="top"/>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按照农商银行2021年还款明细表，还款708.91万元。</w:t>
            </w:r>
          </w:p>
        </w:tc>
      </w:tr>
      <w:tr w:rsidR="00D85F58">
        <w:trPr>
          <w:gridAfter w:val="1"/>
          <w:wAfter w:w="236" w:type="dxa"/>
          <w:trHeight w:val="693"/>
        </w:trPr>
        <w:tc>
          <w:tcPr>
            <w:tcW w:w="1101" w:type="dxa"/>
            <w:vMerge w:val="restart"/>
            <w:tcBorders>
              <w:top w:val="single" w:sz="4" w:space="0" w:color="000000"/>
              <w:left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年度绩效指标完成情况</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仿宋_GB2312"/>
                <w:kern w:val="0"/>
                <w:sz w:val="18"/>
                <w:szCs w:val="18"/>
              </w:rPr>
            </w:pPr>
            <w:r>
              <w:rPr>
                <w:rFonts w:asciiTheme="minorEastAsia" w:eastAsiaTheme="minorEastAsia" w:hAnsiTheme="minorEastAsia" w:cs="仿宋_GB2312" w:hint="eastAsia"/>
                <w:kern w:val="0"/>
                <w:sz w:val="18"/>
                <w:szCs w:val="18"/>
              </w:rPr>
              <w:t>一级</w:t>
            </w:r>
          </w:p>
          <w:p w:rsidR="00D85F58" w:rsidRDefault="00DD1531">
            <w:pPr>
              <w:widowControl/>
              <w:spacing w:line="320" w:lineRule="exact"/>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指标</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仿宋_GB2312"/>
                <w:kern w:val="0"/>
                <w:sz w:val="18"/>
                <w:szCs w:val="18"/>
              </w:rPr>
            </w:pPr>
            <w:r>
              <w:rPr>
                <w:rFonts w:asciiTheme="minorEastAsia" w:eastAsiaTheme="minorEastAsia" w:hAnsiTheme="minorEastAsia" w:cs="仿宋_GB2312" w:hint="eastAsia"/>
                <w:kern w:val="0"/>
                <w:sz w:val="18"/>
                <w:szCs w:val="18"/>
              </w:rPr>
              <w:t>二级</w:t>
            </w:r>
          </w:p>
          <w:p w:rsidR="00D85F58" w:rsidRDefault="00DD1531">
            <w:pPr>
              <w:widowControl/>
              <w:spacing w:line="320" w:lineRule="exact"/>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指标</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仿宋_GB2312"/>
                <w:kern w:val="0"/>
                <w:sz w:val="18"/>
                <w:szCs w:val="18"/>
              </w:rPr>
            </w:pPr>
            <w:r>
              <w:rPr>
                <w:rFonts w:asciiTheme="minorEastAsia" w:eastAsiaTheme="minorEastAsia" w:hAnsiTheme="minorEastAsia" w:cs="仿宋_GB2312" w:hint="eastAsia"/>
                <w:kern w:val="0"/>
                <w:sz w:val="18"/>
                <w:szCs w:val="18"/>
              </w:rPr>
              <w:t>三级</w:t>
            </w:r>
          </w:p>
          <w:p w:rsidR="00D85F58" w:rsidRDefault="00DD1531">
            <w:pPr>
              <w:widowControl/>
              <w:spacing w:line="320" w:lineRule="exact"/>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指标</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预期指标值</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实际完成指标值</w:t>
            </w:r>
          </w:p>
        </w:tc>
      </w:tr>
      <w:tr w:rsidR="00D85F58">
        <w:trPr>
          <w:gridAfter w:val="1"/>
          <w:wAfter w:w="236" w:type="dxa"/>
          <w:trHeight w:val="415"/>
        </w:trPr>
        <w:tc>
          <w:tcPr>
            <w:tcW w:w="1101"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bottom"/>
              <w:rPr>
                <w:rFonts w:asciiTheme="minorEastAsia" w:eastAsiaTheme="minorEastAsia" w:hAnsiTheme="minorEastAsia" w:cs="仿宋_GB2312"/>
                <w:kern w:val="0"/>
                <w:sz w:val="18"/>
                <w:szCs w:val="18"/>
              </w:rPr>
            </w:pPr>
            <w:r>
              <w:rPr>
                <w:rFonts w:asciiTheme="minorEastAsia" w:eastAsiaTheme="minorEastAsia" w:hAnsiTheme="minorEastAsia" w:cs="仿宋_GB2312" w:hint="eastAsia"/>
                <w:kern w:val="0"/>
                <w:sz w:val="18"/>
                <w:szCs w:val="18"/>
              </w:rPr>
              <w:t>完成</w:t>
            </w:r>
          </w:p>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指标</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数量指标</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根据贷款合同按年度还本付息</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本金和利息共计708.91万。</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支付708.91万元</w:t>
            </w:r>
          </w:p>
        </w:tc>
      </w:tr>
      <w:tr w:rsidR="00D85F58">
        <w:trPr>
          <w:gridAfter w:val="1"/>
          <w:wAfter w:w="236" w:type="dxa"/>
          <w:trHeight w:val="415"/>
        </w:trPr>
        <w:tc>
          <w:tcPr>
            <w:tcW w:w="1101"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质量指标</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加快市食品安全检（监）测能力建设，尽快完工，并验收使用。</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加快市食品安全检（监）测能力建设，尽快完工，并验收使用。</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工程已经完工，等待验收审计。</w:t>
            </w:r>
          </w:p>
        </w:tc>
      </w:tr>
      <w:tr w:rsidR="00D85F58">
        <w:trPr>
          <w:gridAfter w:val="1"/>
          <w:wAfter w:w="236" w:type="dxa"/>
          <w:trHeight w:val="415"/>
        </w:trPr>
        <w:tc>
          <w:tcPr>
            <w:tcW w:w="1101"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时效指标</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2021年</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2021年</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2021年</w:t>
            </w:r>
          </w:p>
        </w:tc>
      </w:tr>
      <w:tr w:rsidR="00D85F58">
        <w:trPr>
          <w:gridAfter w:val="1"/>
          <w:wAfter w:w="236" w:type="dxa"/>
          <w:trHeight w:val="480"/>
        </w:trPr>
        <w:tc>
          <w:tcPr>
            <w:tcW w:w="1101"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成本指标</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按照农商银行2021年还款明细表，还款本息。</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708.91</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708.91</w:t>
            </w:r>
          </w:p>
        </w:tc>
      </w:tr>
      <w:tr w:rsidR="00D85F58">
        <w:trPr>
          <w:gridAfter w:val="1"/>
          <w:wAfter w:w="236" w:type="dxa"/>
          <w:trHeight w:val="480"/>
        </w:trPr>
        <w:tc>
          <w:tcPr>
            <w:tcW w:w="1101"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效益</w:t>
            </w:r>
            <w:r>
              <w:rPr>
                <w:rFonts w:asciiTheme="minorEastAsia" w:eastAsiaTheme="minorEastAsia" w:hAnsiTheme="minorEastAsia" w:cs="仿宋_GB2312" w:hint="eastAsia"/>
                <w:kern w:val="0"/>
                <w:sz w:val="18"/>
                <w:szCs w:val="18"/>
              </w:rPr>
              <w:br/>
              <w:t>指标</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经济效益  指标</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二期项目建成不仅可以健全我单位的食品药品检测体系，而且可以提高食品药品安全</w:t>
            </w:r>
            <w:r>
              <w:rPr>
                <w:rFonts w:asciiTheme="minorEastAsia" w:eastAsiaTheme="minorEastAsia" w:hAnsiTheme="minorEastAsia" w:cs="仿宋_GB2312" w:hint="eastAsia"/>
                <w:sz w:val="18"/>
                <w:szCs w:val="18"/>
              </w:rPr>
              <w:lastRenderedPageBreak/>
              <w:t>检测的业务水平。</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lastRenderedPageBreak/>
              <w:t>二期项目建成不仅可以健全我单位的食品药品检测体系，而且可以提高</w:t>
            </w:r>
            <w:r>
              <w:rPr>
                <w:rFonts w:asciiTheme="minorEastAsia" w:eastAsiaTheme="minorEastAsia" w:hAnsiTheme="minorEastAsia" w:cs="仿宋_GB2312" w:hint="eastAsia"/>
                <w:sz w:val="18"/>
                <w:szCs w:val="18"/>
              </w:rPr>
              <w:lastRenderedPageBreak/>
              <w:t>食品药品安全检测的业务水平。</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lastRenderedPageBreak/>
              <w:t>二期项目建成不仅可以健全我单位的食品药品检测体系，而且可以提高食品药品安全检测的业务水平。</w:t>
            </w:r>
          </w:p>
        </w:tc>
      </w:tr>
      <w:tr w:rsidR="00D85F58">
        <w:trPr>
          <w:gridAfter w:val="1"/>
          <w:wAfter w:w="236" w:type="dxa"/>
          <w:trHeight w:val="480"/>
        </w:trPr>
        <w:tc>
          <w:tcPr>
            <w:tcW w:w="1101"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社会效益  指标</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二期项目建设目标明确，符合国家政策和省、市有关项目建设的要求，符合攀枝花市的地方社会事业发展方向。</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二期项目建设目标明确，符合国家政策和省、市有关项目建设的要求，符合攀枝花市的地方社会事业发展方向。</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二期项目建设目标明确，符合国家政策和省、市有关项目建设的要求，符合攀枝花市的地方社会事业发展方向。</w:t>
            </w:r>
          </w:p>
        </w:tc>
      </w:tr>
      <w:tr w:rsidR="00D85F58">
        <w:trPr>
          <w:gridAfter w:val="1"/>
          <w:wAfter w:w="236" w:type="dxa"/>
          <w:trHeight w:val="577"/>
        </w:trPr>
        <w:tc>
          <w:tcPr>
            <w:tcW w:w="1101"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ind w:leftChars="87" w:left="363" w:hangingChars="100" w:hanging="180"/>
              <w:jc w:val="left"/>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生态效益  指标</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符合实验室规范要求</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符合实验室规范要求</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符合实验室规范要求</w:t>
            </w:r>
          </w:p>
        </w:tc>
      </w:tr>
      <w:tr w:rsidR="00D85F58">
        <w:trPr>
          <w:gridAfter w:val="1"/>
          <w:wAfter w:w="236" w:type="dxa"/>
          <w:trHeight w:val="480"/>
        </w:trPr>
        <w:tc>
          <w:tcPr>
            <w:tcW w:w="1101"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可持续影响 指标</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符合实验室规范要求</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符合实验室规范要求</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符合实验室规范要求</w:t>
            </w:r>
          </w:p>
        </w:tc>
      </w:tr>
      <w:tr w:rsidR="00D85F58">
        <w:trPr>
          <w:gridAfter w:val="1"/>
          <w:wAfter w:w="236" w:type="dxa"/>
          <w:trHeight w:val="530"/>
        </w:trPr>
        <w:tc>
          <w:tcPr>
            <w:tcW w:w="1101" w:type="dxa"/>
            <w:vMerge/>
            <w:tcBorders>
              <w:left w:val="single" w:sz="4" w:space="0" w:color="000000"/>
              <w:bottom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满意</w:t>
            </w:r>
            <w:r>
              <w:rPr>
                <w:rFonts w:asciiTheme="minorEastAsia" w:eastAsiaTheme="minorEastAsia" w:hAnsiTheme="minorEastAsia" w:cs="仿宋_GB2312" w:hint="eastAsia"/>
                <w:kern w:val="0"/>
                <w:sz w:val="18"/>
                <w:szCs w:val="18"/>
              </w:rPr>
              <w:br/>
              <w:t>度指标</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kern w:val="0"/>
                <w:sz w:val="18"/>
                <w:szCs w:val="18"/>
              </w:rPr>
            </w:pPr>
            <w:r>
              <w:rPr>
                <w:rFonts w:asciiTheme="minorEastAsia" w:eastAsiaTheme="minorEastAsia" w:hAnsiTheme="minorEastAsia" w:cs="仿宋_GB2312" w:hint="eastAsia"/>
                <w:kern w:val="0"/>
                <w:sz w:val="18"/>
                <w:szCs w:val="18"/>
              </w:rPr>
              <w:t>满意度</w:t>
            </w:r>
          </w:p>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指标</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让客户、政府满意。</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让客户、政府满意。</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让客户、政府满意。</w:t>
            </w:r>
          </w:p>
        </w:tc>
      </w:tr>
    </w:tbl>
    <w:p w:rsidR="00D85F58" w:rsidRDefault="00D85F58">
      <w:pPr>
        <w:spacing w:line="600" w:lineRule="exact"/>
        <w:outlineLvl w:val="0"/>
        <w:rPr>
          <w:rFonts w:ascii="黑体" w:eastAsia="黑体" w:hAnsi="黑体"/>
          <w:sz w:val="44"/>
          <w:szCs w:val="44"/>
        </w:rPr>
      </w:pPr>
    </w:p>
    <w:tbl>
      <w:tblPr>
        <w:tblpPr w:leftFromText="180" w:rightFromText="180" w:vertAnchor="text" w:horzAnchor="page" w:tblpX="1281" w:tblpY="660"/>
        <w:tblOverlap w:val="never"/>
        <w:tblW w:w="9948" w:type="dxa"/>
        <w:tblLayout w:type="fixed"/>
        <w:tblLook w:val="04A0" w:firstRow="1" w:lastRow="0" w:firstColumn="1" w:lastColumn="0" w:noHBand="0" w:noVBand="1"/>
      </w:tblPr>
      <w:tblGrid>
        <w:gridCol w:w="959"/>
        <w:gridCol w:w="850"/>
        <w:gridCol w:w="284"/>
        <w:gridCol w:w="709"/>
        <w:gridCol w:w="1559"/>
        <w:gridCol w:w="709"/>
        <w:gridCol w:w="2409"/>
        <w:gridCol w:w="2469"/>
      </w:tblGrid>
      <w:tr w:rsidR="00D85F58">
        <w:trPr>
          <w:trHeight w:val="993"/>
        </w:trPr>
        <w:tc>
          <w:tcPr>
            <w:tcW w:w="9948" w:type="dxa"/>
            <w:gridSpan w:val="8"/>
            <w:tcBorders>
              <w:top w:val="nil"/>
              <w:left w:val="nil"/>
              <w:bottom w:val="nil"/>
              <w:right w:val="nil"/>
            </w:tcBorders>
            <w:shd w:val="clear" w:color="auto" w:fill="auto"/>
            <w:vAlign w:val="center"/>
          </w:tcPr>
          <w:p w:rsidR="00D85F58" w:rsidRDefault="00DD1531">
            <w:pPr>
              <w:spacing w:line="572" w:lineRule="exact"/>
              <w:jc w:val="left"/>
              <w:outlineLvl w:val="0"/>
              <w:rPr>
                <w:rFonts w:ascii="黑体" w:eastAsia="黑体" w:hAnsi="黑体" w:cs="黑体"/>
                <w:sz w:val="32"/>
                <w:szCs w:val="32"/>
              </w:rPr>
            </w:pPr>
            <w:r>
              <w:rPr>
                <w:rFonts w:ascii="黑体" w:eastAsia="黑体" w:hAnsi="黑体" w:cs="黑体" w:hint="eastAsia"/>
                <w:sz w:val="32"/>
                <w:szCs w:val="32"/>
              </w:rPr>
              <w:t>附表2</w:t>
            </w:r>
          </w:p>
          <w:p w:rsidR="00D85F58" w:rsidRDefault="00D85F58">
            <w:pPr>
              <w:pStyle w:val="a3"/>
              <w:spacing w:before="93"/>
            </w:pPr>
          </w:p>
          <w:p w:rsidR="00D85F58" w:rsidRDefault="00DD1531">
            <w:pPr>
              <w:widowControl/>
              <w:textAlignment w:val="center"/>
              <w:rPr>
                <w:rFonts w:ascii="宋体" w:hAnsi="宋体" w:cs="宋体"/>
                <w:b/>
                <w:sz w:val="32"/>
                <w:szCs w:val="32"/>
              </w:rPr>
            </w:pPr>
            <w:r>
              <w:rPr>
                <w:rFonts w:ascii="宋体" w:hAnsi="宋体" w:cs="宋体" w:hint="eastAsia"/>
                <w:b/>
                <w:sz w:val="32"/>
                <w:szCs w:val="32"/>
              </w:rPr>
              <w:t>2021年全国钒钛磁铁矿综合利用标准化技术委员会（SAC/TC579）运行经费及攀西钒钛论坛经费部门预算项目绩效目标自评</w:t>
            </w:r>
          </w:p>
        </w:tc>
      </w:tr>
      <w:tr w:rsidR="00D85F58">
        <w:trPr>
          <w:trHeight w:val="254"/>
        </w:trPr>
        <w:tc>
          <w:tcPr>
            <w:tcW w:w="20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主管部门及代码</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攀枝花市市场监督管理局1</w:t>
            </w:r>
            <w:r>
              <w:rPr>
                <w:rFonts w:asciiTheme="minorEastAsia" w:eastAsiaTheme="minorEastAsia" w:hAnsiTheme="minorEastAsia" w:cs="宋体"/>
                <w:sz w:val="18"/>
                <w:szCs w:val="18"/>
              </w:rPr>
              <w:t>42</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实施单位</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攀西钒钛检验检测院</w:t>
            </w:r>
          </w:p>
        </w:tc>
      </w:tr>
      <w:tr w:rsidR="00D85F58">
        <w:trPr>
          <w:trHeight w:val="341"/>
        </w:trPr>
        <w:tc>
          <w:tcPr>
            <w:tcW w:w="209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项目预算</w:t>
            </w:r>
            <w:r>
              <w:rPr>
                <w:rFonts w:asciiTheme="minorEastAsia" w:eastAsiaTheme="minorEastAsia" w:hAnsiTheme="minorEastAsia" w:cs="宋体" w:hint="eastAsia"/>
                <w:kern w:val="0"/>
                <w:sz w:val="18"/>
                <w:szCs w:val="18"/>
              </w:rPr>
              <w:br/>
              <w:t>执行情况</w:t>
            </w:r>
            <w:r>
              <w:rPr>
                <w:rFonts w:asciiTheme="minorEastAsia" w:eastAsiaTheme="minorEastAsia" w:hAnsiTheme="minorEastAsia" w:cs="宋体" w:hint="eastAsia"/>
                <w:kern w:val="0"/>
                <w:sz w:val="18"/>
                <w:szCs w:val="18"/>
              </w:rPr>
              <w:br/>
              <w:t>（万元）</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 xml:space="preserve"> 预算数：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146.93</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 xml:space="preserve"> 执行数：</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ind w:right="270"/>
              <w:jc w:val="center"/>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146.93</w:t>
            </w:r>
          </w:p>
        </w:tc>
      </w:tr>
      <w:tr w:rsidR="00D85F58">
        <w:trPr>
          <w:trHeight w:val="555"/>
        </w:trPr>
        <w:tc>
          <w:tcPr>
            <w:tcW w:w="209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宋体"/>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其中：</w:t>
            </w:r>
          </w:p>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财政拨款</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146.93</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其中：</w:t>
            </w:r>
          </w:p>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财政拨款</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146.93</w:t>
            </w:r>
          </w:p>
        </w:tc>
      </w:tr>
      <w:tr w:rsidR="00D85F58">
        <w:trPr>
          <w:trHeight w:val="341"/>
        </w:trPr>
        <w:tc>
          <w:tcPr>
            <w:tcW w:w="209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宋体"/>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其他资金</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85F58">
            <w:pPr>
              <w:widowControl/>
              <w:spacing w:line="320" w:lineRule="exact"/>
              <w:jc w:val="left"/>
              <w:textAlignment w:val="center"/>
              <w:rPr>
                <w:rFonts w:asciiTheme="minorEastAsia" w:eastAsiaTheme="minorEastAsia" w:hAnsiTheme="minorEastAsia" w:cs="宋体"/>
                <w:sz w:val="18"/>
                <w:szCs w:val="1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其他资金</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85F58">
            <w:pPr>
              <w:widowControl/>
              <w:spacing w:line="320" w:lineRule="exact"/>
              <w:jc w:val="center"/>
              <w:textAlignment w:val="center"/>
              <w:rPr>
                <w:rFonts w:asciiTheme="minorEastAsia" w:eastAsiaTheme="minorEastAsia" w:hAnsiTheme="minorEastAsia" w:cs="宋体"/>
                <w:sz w:val="18"/>
                <w:szCs w:val="18"/>
              </w:rPr>
            </w:pPr>
          </w:p>
        </w:tc>
      </w:tr>
      <w:tr w:rsidR="00D85F58">
        <w:trPr>
          <w:trHeight w:val="217"/>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年度总体目标</w:t>
            </w:r>
          </w:p>
          <w:p w:rsidR="00D85F58" w:rsidRDefault="00DD1531">
            <w:pPr>
              <w:widowControl/>
              <w:spacing w:line="320" w:lineRule="exact"/>
              <w:jc w:val="center"/>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完成情况</w:t>
            </w:r>
          </w:p>
        </w:tc>
        <w:tc>
          <w:tcPr>
            <w:tcW w:w="41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预期目标</w:t>
            </w:r>
          </w:p>
        </w:tc>
        <w:tc>
          <w:tcPr>
            <w:tcW w:w="48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目标实际完成情况</w:t>
            </w:r>
          </w:p>
        </w:tc>
      </w:tr>
      <w:tr w:rsidR="00D85F58">
        <w:trPr>
          <w:trHeight w:val="797"/>
        </w:trPr>
        <w:tc>
          <w:tcPr>
            <w:tcW w:w="9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宋体"/>
                <w:sz w:val="18"/>
                <w:szCs w:val="18"/>
              </w:rPr>
            </w:pPr>
          </w:p>
        </w:tc>
        <w:tc>
          <w:tcPr>
            <w:tcW w:w="4111" w:type="dxa"/>
            <w:gridSpan w:val="5"/>
            <w:tcBorders>
              <w:top w:val="single" w:sz="4" w:space="0" w:color="000000"/>
              <w:left w:val="single" w:sz="4" w:space="0" w:color="000000"/>
              <w:bottom w:val="single" w:sz="4" w:space="0" w:color="000000"/>
              <w:right w:val="single" w:sz="4" w:space="0" w:color="000000"/>
            </w:tcBorders>
            <w:shd w:val="clear" w:color="auto" w:fill="auto"/>
          </w:tcPr>
          <w:p w:rsidR="00D85F58" w:rsidRDefault="00DD1531">
            <w:pPr>
              <w:widowControl/>
              <w:spacing w:line="320" w:lineRule="exact"/>
              <w:jc w:val="left"/>
              <w:textAlignment w:val="top"/>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发挥全国钒钛磁铁矿综合利用标准化技术委员会技术支撑作用，开展钒钛领域标准制修订工作，举办攀西钒鈦论坛。</w:t>
            </w:r>
          </w:p>
        </w:tc>
        <w:tc>
          <w:tcPr>
            <w:tcW w:w="4878" w:type="dxa"/>
            <w:gridSpan w:val="2"/>
            <w:tcBorders>
              <w:top w:val="single" w:sz="4" w:space="0" w:color="000000"/>
              <w:left w:val="single" w:sz="4" w:space="0" w:color="000000"/>
              <w:bottom w:val="single" w:sz="4" w:space="0" w:color="000000"/>
              <w:right w:val="single" w:sz="4" w:space="0" w:color="000000"/>
            </w:tcBorders>
            <w:shd w:val="clear" w:color="auto" w:fill="auto"/>
          </w:tcPr>
          <w:p w:rsidR="00D85F58" w:rsidRDefault="00DD1531">
            <w:pPr>
              <w:widowControl/>
              <w:spacing w:line="320" w:lineRule="exact"/>
              <w:jc w:val="left"/>
              <w:textAlignment w:val="top"/>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标准制修订：编织起草2项国家标准；组织申报9项行业标准，其中2项通过预审；发布5项团体标准，申报14项团体标准，均获批立项。2.成立资源、过程、应用3个工作组。3.将2名秘书处工作人员分别送至国家标准化管理委员会、中国标准化研究院进行学习。4.完成标委会官方网站建设。5.完成钒钛标准信息库建设。6.发布《钒钛标准之声》第二期。7.论文征集评奖经费6万元；8.会议室租赁3.51万元；9.广告宣传费2.76万元；10.论坛演讲嘉宾费用6.43万元；11.会议资料费1.3万元。</w:t>
            </w:r>
          </w:p>
        </w:tc>
      </w:tr>
      <w:tr w:rsidR="00D85F58">
        <w:trPr>
          <w:trHeight w:val="693"/>
        </w:trPr>
        <w:tc>
          <w:tcPr>
            <w:tcW w:w="959" w:type="dxa"/>
            <w:vMerge w:val="restart"/>
            <w:tcBorders>
              <w:top w:val="single" w:sz="4" w:space="0" w:color="000000"/>
              <w:left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lastRenderedPageBreak/>
              <w:t>年度绩效指标完成情况</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仿宋_GB2312"/>
                <w:kern w:val="0"/>
                <w:sz w:val="18"/>
                <w:szCs w:val="18"/>
              </w:rPr>
            </w:pPr>
            <w:r>
              <w:rPr>
                <w:rFonts w:asciiTheme="minorEastAsia" w:eastAsiaTheme="minorEastAsia" w:hAnsiTheme="minorEastAsia" w:cs="仿宋_GB2312" w:hint="eastAsia"/>
                <w:kern w:val="0"/>
                <w:sz w:val="18"/>
                <w:szCs w:val="18"/>
              </w:rPr>
              <w:t>一级</w:t>
            </w:r>
          </w:p>
          <w:p w:rsidR="00D85F58" w:rsidRDefault="00DD1531">
            <w:pPr>
              <w:widowControl/>
              <w:spacing w:line="320" w:lineRule="exact"/>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指标</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仿宋_GB2312"/>
                <w:kern w:val="0"/>
                <w:sz w:val="18"/>
                <w:szCs w:val="18"/>
              </w:rPr>
            </w:pPr>
            <w:r>
              <w:rPr>
                <w:rFonts w:asciiTheme="minorEastAsia" w:eastAsiaTheme="minorEastAsia" w:hAnsiTheme="minorEastAsia" w:cs="仿宋_GB2312" w:hint="eastAsia"/>
                <w:kern w:val="0"/>
                <w:sz w:val="18"/>
                <w:szCs w:val="18"/>
              </w:rPr>
              <w:t>二级</w:t>
            </w:r>
          </w:p>
          <w:p w:rsidR="00D85F58" w:rsidRDefault="00DD1531">
            <w:pPr>
              <w:widowControl/>
              <w:spacing w:line="320" w:lineRule="exact"/>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指标</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仿宋_GB2312"/>
                <w:kern w:val="0"/>
                <w:sz w:val="18"/>
                <w:szCs w:val="18"/>
              </w:rPr>
            </w:pPr>
            <w:r>
              <w:rPr>
                <w:rFonts w:asciiTheme="minorEastAsia" w:eastAsiaTheme="minorEastAsia" w:hAnsiTheme="minorEastAsia" w:cs="仿宋_GB2312" w:hint="eastAsia"/>
                <w:kern w:val="0"/>
                <w:sz w:val="18"/>
                <w:szCs w:val="18"/>
              </w:rPr>
              <w:t>三级</w:t>
            </w:r>
          </w:p>
          <w:p w:rsidR="00D85F58" w:rsidRDefault="00DD1531">
            <w:pPr>
              <w:widowControl/>
              <w:spacing w:line="320" w:lineRule="exact"/>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指标</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预期指标值</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实际完成指标值</w:t>
            </w:r>
          </w:p>
        </w:tc>
      </w:tr>
      <w:tr w:rsidR="00D85F58">
        <w:trPr>
          <w:trHeight w:val="415"/>
        </w:trPr>
        <w:tc>
          <w:tcPr>
            <w:tcW w:w="959"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bottom"/>
              <w:rPr>
                <w:rFonts w:asciiTheme="minorEastAsia" w:eastAsiaTheme="minorEastAsia" w:hAnsiTheme="minorEastAsia" w:cs="仿宋_GB2312"/>
                <w:kern w:val="0"/>
                <w:sz w:val="18"/>
                <w:szCs w:val="18"/>
              </w:rPr>
            </w:pPr>
            <w:r>
              <w:rPr>
                <w:rFonts w:asciiTheme="minorEastAsia" w:eastAsiaTheme="minorEastAsia" w:hAnsiTheme="minorEastAsia" w:cs="仿宋_GB2312" w:hint="eastAsia"/>
                <w:kern w:val="0"/>
                <w:sz w:val="18"/>
                <w:szCs w:val="18"/>
              </w:rPr>
              <w:t>完成</w:t>
            </w:r>
          </w:p>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指标</w:t>
            </w:r>
          </w:p>
        </w:tc>
        <w:tc>
          <w:tcPr>
            <w:tcW w:w="993" w:type="dxa"/>
            <w:gridSpan w:val="2"/>
            <w:vMerge w:val="restart"/>
            <w:tcBorders>
              <w:top w:val="single" w:sz="4" w:space="0" w:color="000000"/>
              <w:left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数量指标</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指标1：钒钛标准制修订</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计划立项3个标准，并开展前期预研工作。</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立项标准14项，并召开2022年标准申报研讨会。</w:t>
            </w:r>
          </w:p>
        </w:tc>
      </w:tr>
      <w:tr w:rsidR="00D85F58">
        <w:trPr>
          <w:trHeight w:val="415"/>
        </w:trPr>
        <w:tc>
          <w:tcPr>
            <w:tcW w:w="959"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993" w:type="dxa"/>
            <w:gridSpan w:val="2"/>
            <w:vMerge/>
            <w:tcBorders>
              <w:left w:val="single" w:sz="4" w:space="0" w:color="000000"/>
              <w:right w:val="single" w:sz="4" w:space="0" w:color="000000"/>
            </w:tcBorders>
            <w:shd w:val="clear" w:color="auto" w:fill="auto"/>
            <w:vAlign w:val="bottom"/>
          </w:tcPr>
          <w:p w:rsidR="00D85F58" w:rsidRDefault="00D85F58">
            <w:pPr>
              <w:widowControl/>
              <w:spacing w:line="320" w:lineRule="exact"/>
              <w:jc w:val="center"/>
              <w:textAlignment w:val="bottom"/>
              <w:rPr>
                <w:rFonts w:asciiTheme="minorEastAsia" w:eastAsiaTheme="minorEastAsia" w:hAnsiTheme="minorEastAsia" w:cs="仿宋_GB2312"/>
                <w:kern w:val="0"/>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指标2：举办或参与国内外标准化活动</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在举中国·攀西钒钛论坛前面计划举办标准化相关活动1次。</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参加标准化培训3次，开展了5期“钒钛磁铁矿综合利用知识专题培训”系列讲座，共计600余人次参加培训。</w:t>
            </w:r>
          </w:p>
        </w:tc>
      </w:tr>
      <w:tr w:rsidR="00D85F58">
        <w:trPr>
          <w:trHeight w:val="415"/>
        </w:trPr>
        <w:tc>
          <w:tcPr>
            <w:tcW w:w="959"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993" w:type="dxa"/>
            <w:gridSpan w:val="2"/>
            <w:vMerge/>
            <w:tcBorders>
              <w:left w:val="single" w:sz="4" w:space="0" w:color="000000"/>
              <w:right w:val="single" w:sz="4" w:space="0" w:color="000000"/>
            </w:tcBorders>
            <w:shd w:val="clear" w:color="auto" w:fill="auto"/>
            <w:vAlign w:val="bottom"/>
          </w:tcPr>
          <w:p w:rsidR="00D85F58" w:rsidRDefault="00D85F58">
            <w:pPr>
              <w:widowControl/>
              <w:spacing w:line="320" w:lineRule="exact"/>
              <w:jc w:val="center"/>
              <w:textAlignment w:val="bottom"/>
              <w:rPr>
                <w:rFonts w:asciiTheme="minorEastAsia" w:eastAsiaTheme="minorEastAsia" w:hAnsiTheme="minorEastAsia" w:cs="仿宋_GB2312"/>
                <w:kern w:val="0"/>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指标3：秘书处运行经费</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保障全国钒钛磁铁矿综合利用标准化技术委员会正常运行。</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正常运行</w:t>
            </w:r>
          </w:p>
        </w:tc>
      </w:tr>
      <w:tr w:rsidR="00D85F58">
        <w:trPr>
          <w:trHeight w:val="415"/>
        </w:trPr>
        <w:tc>
          <w:tcPr>
            <w:tcW w:w="959"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993" w:type="dxa"/>
            <w:gridSpan w:val="2"/>
            <w:vMerge/>
            <w:tcBorders>
              <w:left w:val="single" w:sz="4" w:space="0" w:color="000000"/>
              <w:right w:val="single" w:sz="4" w:space="0" w:color="000000"/>
            </w:tcBorders>
            <w:shd w:val="clear" w:color="auto" w:fill="auto"/>
            <w:vAlign w:val="bottom"/>
          </w:tcPr>
          <w:p w:rsidR="00D85F58" w:rsidRDefault="00D85F58">
            <w:pPr>
              <w:widowControl/>
              <w:spacing w:line="320" w:lineRule="exact"/>
              <w:jc w:val="center"/>
              <w:textAlignment w:val="bottom"/>
              <w:rPr>
                <w:rFonts w:asciiTheme="minorEastAsia" w:eastAsiaTheme="minorEastAsia" w:hAnsiTheme="minorEastAsia" w:cs="仿宋_GB2312"/>
                <w:kern w:val="0"/>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指标4：秘书处外聘专家、顾问费用</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外聘专家3人，顾问3人</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外聘专家3人</w:t>
            </w:r>
          </w:p>
        </w:tc>
      </w:tr>
      <w:tr w:rsidR="00D85F58">
        <w:trPr>
          <w:trHeight w:val="415"/>
        </w:trPr>
        <w:tc>
          <w:tcPr>
            <w:tcW w:w="959"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993" w:type="dxa"/>
            <w:gridSpan w:val="2"/>
            <w:vMerge/>
            <w:tcBorders>
              <w:left w:val="single" w:sz="4" w:space="0" w:color="000000"/>
              <w:right w:val="single" w:sz="4" w:space="0" w:color="000000"/>
            </w:tcBorders>
            <w:shd w:val="clear" w:color="auto" w:fill="auto"/>
            <w:vAlign w:val="bottom"/>
          </w:tcPr>
          <w:p w:rsidR="00D85F58" w:rsidRDefault="00D85F58">
            <w:pPr>
              <w:widowControl/>
              <w:spacing w:line="320" w:lineRule="exact"/>
              <w:jc w:val="center"/>
              <w:textAlignment w:val="bottom"/>
              <w:rPr>
                <w:rFonts w:asciiTheme="minorEastAsia" w:eastAsiaTheme="minorEastAsia" w:hAnsiTheme="minorEastAsia" w:cs="仿宋_GB2312"/>
                <w:kern w:val="0"/>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指标5：钒钛标准化人才培养</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参加国内标准化工作培训及学术交流活动25人次，每人次预算6000元。</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选派2名秘书处人员外出学习</w:t>
            </w:r>
          </w:p>
        </w:tc>
      </w:tr>
      <w:tr w:rsidR="00D85F58">
        <w:trPr>
          <w:trHeight w:val="415"/>
        </w:trPr>
        <w:tc>
          <w:tcPr>
            <w:tcW w:w="959"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993" w:type="dxa"/>
            <w:gridSpan w:val="2"/>
            <w:vMerge/>
            <w:tcBorders>
              <w:left w:val="single" w:sz="4" w:space="0" w:color="000000"/>
              <w:right w:val="single" w:sz="4" w:space="0" w:color="000000"/>
            </w:tcBorders>
            <w:shd w:val="clear" w:color="auto" w:fill="auto"/>
            <w:vAlign w:val="bottom"/>
          </w:tcPr>
          <w:p w:rsidR="00D85F58" w:rsidRDefault="00D85F58">
            <w:pPr>
              <w:widowControl/>
              <w:spacing w:line="320" w:lineRule="exact"/>
              <w:jc w:val="center"/>
              <w:textAlignment w:val="bottom"/>
              <w:rPr>
                <w:rFonts w:asciiTheme="minorEastAsia" w:eastAsiaTheme="minorEastAsia" w:hAnsiTheme="minorEastAsia" w:cs="仿宋_GB2312"/>
                <w:kern w:val="0"/>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指标6；工作组运行</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三个工作组日常运行</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三个工作组日常运行</w:t>
            </w:r>
          </w:p>
        </w:tc>
      </w:tr>
      <w:tr w:rsidR="00D85F58">
        <w:trPr>
          <w:trHeight w:val="415"/>
        </w:trPr>
        <w:tc>
          <w:tcPr>
            <w:tcW w:w="959"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993" w:type="dxa"/>
            <w:gridSpan w:val="2"/>
            <w:vMerge/>
            <w:tcBorders>
              <w:left w:val="single" w:sz="4" w:space="0" w:color="000000"/>
              <w:right w:val="single" w:sz="4" w:space="0" w:color="000000"/>
            </w:tcBorders>
            <w:shd w:val="clear" w:color="auto" w:fill="auto"/>
            <w:vAlign w:val="bottom"/>
          </w:tcPr>
          <w:p w:rsidR="00D85F58" w:rsidRDefault="00D85F58">
            <w:pPr>
              <w:widowControl/>
              <w:spacing w:line="320" w:lineRule="exact"/>
              <w:jc w:val="center"/>
              <w:textAlignment w:val="bottom"/>
              <w:rPr>
                <w:rFonts w:asciiTheme="minorEastAsia" w:eastAsiaTheme="minorEastAsia" w:hAnsiTheme="minorEastAsia" w:cs="仿宋_GB2312"/>
                <w:kern w:val="0"/>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指标7：白皮书编制</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每年发布一次</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延期到2022年发布</w:t>
            </w:r>
          </w:p>
        </w:tc>
      </w:tr>
      <w:tr w:rsidR="00D85F58">
        <w:trPr>
          <w:trHeight w:val="415"/>
        </w:trPr>
        <w:tc>
          <w:tcPr>
            <w:tcW w:w="959"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993" w:type="dxa"/>
            <w:gridSpan w:val="2"/>
            <w:vMerge/>
            <w:tcBorders>
              <w:left w:val="single" w:sz="4" w:space="0" w:color="000000"/>
              <w:bottom w:val="single" w:sz="4" w:space="0" w:color="000000"/>
              <w:right w:val="single" w:sz="4" w:space="0" w:color="000000"/>
            </w:tcBorders>
            <w:shd w:val="clear" w:color="auto" w:fill="auto"/>
            <w:vAlign w:val="bottom"/>
          </w:tcPr>
          <w:p w:rsidR="00D85F58" w:rsidRDefault="00D85F58">
            <w:pPr>
              <w:widowControl/>
              <w:spacing w:line="320" w:lineRule="exact"/>
              <w:jc w:val="center"/>
              <w:textAlignment w:val="bottom"/>
              <w:rPr>
                <w:rFonts w:asciiTheme="minorEastAsia" w:eastAsiaTheme="minorEastAsia" w:hAnsiTheme="minorEastAsia" w:cs="仿宋_GB2312"/>
                <w:kern w:val="0"/>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指标8：举办中国攀西钒钛论坛</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举办2020中国·攀西钒钛论坛。</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举办2020中国·攀西钒钛论坛。</w:t>
            </w:r>
          </w:p>
        </w:tc>
      </w:tr>
      <w:tr w:rsidR="00D85F58">
        <w:trPr>
          <w:trHeight w:val="415"/>
        </w:trPr>
        <w:tc>
          <w:tcPr>
            <w:tcW w:w="959"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993" w:type="dxa"/>
            <w:gridSpan w:val="2"/>
            <w:vMerge w:val="restart"/>
            <w:tcBorders>
              <w:top w:val="single" w:sz="4" w:space="0" w:color="000000"/>
              <w:left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质量指标</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指标1：钒钛标准制修订</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填补钒钛磁铁矿及相关领域标准的空缺。</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发布标准</w:t>
            </w:r>
            <w:r>
              <w:rPr>
                <w:rFonts w:hint="eastAsia"/>
                <w:sz w:val="18"/>
                <w:szCs w:val="18"/>
              </w:rPr>
              <w:t>5</w:t>
            </w:r>
            <w:r>
              <w:rPr>
                <w:rFonts w:hint="eastAsia"/>
                <w:sz w:val="18"/>
                <w:szCs w:val="18"/>
              </w:rPr>
              <w:t>项，立项</w:t>
            </w:r>
            <w:r>
              <w:rPr>
                <w:rFonts w:hint="eastAsia"/>
                <w:sz w:val="18"/>
                <w:szCs w:val="18"/>
              </w:rPr>
              <w:t>14</w:t>
            </w:r>
            <w:r>
              <w:rPr>
                <w:rFonts w:hint="eastAsia"/>
                <w:sz w:val="18"/>
                <w:szCs w:val="18"/>
              </w:rPr>
              <w:t>项</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r>
      <w:tr w:rsidR="00D85F58">
        <w:trPr>
          <w:trHeight w:val="415"/>
        </w:trPr>
        <w:tc>
          <w:tcPr>
            <w:tcW w:w="959"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993" w:type="dxa"/>
            <w:gridSpan w:val="2"/>
            <w:vMerge/>
            <w:tcBorders>
              <w:left w:val="single" w:sz="4" w:space="0" w:color="000000"/>
              <w:right w:val="single" w:sz="4" w:space="0" w:color="000000"/>
            </w:tcBorders>
            <w:shd w:val="clear" w:color="auto" w:fill="auto"/>
            <w:vAlign w:val="bottom"/>
          </w:tcPr>
          <w:p w:rsidR="00D85F58" w:rsidRDefault="00D85F58">
            <w:pPr>
              <w:widowControl/>
              <w:spacing w:line="320" w:lineRule="exact"/>
              <w:jc w:val="center"/>
              <w:textAlignment w:val="bottom"/>
              <w:rPr>
                <w:rFonts w:asciiTheme="minorEastAsia" w:eastAsiaTheme="minorEastAsia" w:hAnsiTheme="minorEastAsia" w:cs="仿宋_GB2312"/>
                <w:kern w:val="0"/>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指标</w:t>
            </w:r>
            <w:r>
              <w:rPr>
                <w:rFonts w:hint="eastAsia"/>
                <w:sz w:val="18"/>
                <w:szCs w:val="18"/>
              </w:rPr>
              <w:t>2</w:t>
            </w:r>
            <w:r>
              <w:rPr>
                <w:rFonts w:hint="eastAsia"/>
                <w:sz w:val="18"/>
                <w:szCs w:val="18"/>
              </w:rPr>
              <w:t>：举办或参与国内外标准化活动</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为从事钒钛标准的相关人员提供交流学习平台，不断提高全国钒钛磁铁矿综合利用标准化技术委员会影响力。</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参加标准化培训</w:t>
            </w:r>
            <w:r>
              <w:rPr>
                <w:rFonts w:hint="eastAsia"/>
                <w:sz w:val="18"/>
                <w:szCs w:val="18"/>
              </w:rPr>
              <w:t>3</w:t>
            </w:r>
            <w:r>
              <w:rPr>
                <w:rFonts w:hint="eastAsia"/>
                <w:sz w:val="18"/>
                <w:szCs w:val="18"/>
              </w:rPr>
              <w:t>次，开展了</w:t>
            </w:r>
            <w:r>
              <w:rPr>
                <w:rFonts w:hint="eastAsia"/>
                <w:sz w:val="18"/>
                <w:szCs w:val="18"/>
              </w:rPr>
              <w:t>5</w:t>
            </w:r>
            <w:r>
              <w:rPr>
                <w:rFonts w:hint="eastAsia"/>
                <w:sz w:val="18"/>
                <w:szCs w:val="18"/>
              </w:rPr>
              <w:t>期“钒钛磁铁矿综合利用知识专题培训”系列讲座，共计</w:t>
            </w:r>
            <w:r>
              <w:rPr>
                <w:rFonts w:hint="eastAsia"/>
                <w:sz w:val="18"/>
                <w:szCs w:val="18"/>
              </w:rPr>
              <w:t>600</w:t>
            </w:r>
            <w:r>
              <w:rPr>
                <w:rFonts w:hint="eastAsia"/>
                <w:sz w:val="18"/>
                <w:szCs w:val="18"/>
              </w:rPr>
              <w:t>余人次参加培训。</w:t>
            </w:r>
          </w:p>
        </w:tc>
      </w:tr>
      <w:tr w:rsidR="00D85F58">
        <w:trPr>
          <w:trHeight w:val="415"/>
        </w:trPr>
        <w:tc>
          <w:tcPr>
            <w:tcW w:w="959"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993" w:type="dxa"/>
            <w:gridSpan w:val="2"/>
            <w:vMerge/>
            <w:tcBorders>
              <w:left w:val="single" w:sz="4" w:space="0" w:color="000000"/>
              <w:right w:val="single" w:sz="4" w:space="0" w:color="000000"/>
            </w:tcBorders>
            <w:shd w:val="clear" w:color="auto" w:fill="auto"/>
            <w:vAlign w:val="bottom"/>
          </w:tcPr>
          <w:p w:rsidR="00D85F58" w:rsidRDefault="00D85F58">
            <w:pPr>
              <w:widowControl/>
              <w:spacing w:line="320" w:lineRule="exact"/>
              <w:jc w:val="center"/>
              <w:textAlignment w:val="bottom"/>
              <w:rPr>
                <w:rFonts w:asciiTheme="minorEastAsia" w:eastAsiaTheme="minorEastAsia" w:hAnsiTheme="minorEastAsia" w:cs="仿宋_GB2312"/>
                <w:kern w:val="0"/>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指标</w:t>
            </w:r>
            <w:r>
              <w:rPr>
                <w:rFonts w:hint="eastAsia"/>
                <w:sz w:val="18"/>
                <w:szCs w:val="18"/>
              </w:rPr>
              <w:t>3</w:t>
            </w:r>
            <w:r>
              <w:rPr>
                <w:rFonts w:hint="eastAsia"/>
                <w:sz w:val="18"/>
                <w:szCs w:val="18"/>
              </w:rPr>
              <w:t>：秘书处运行经费</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保障全国钒钛磁铁矿综合利用标准化技术委员会日常工作开展。</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正常运行</w:t>
            </w:r>
          </w:p>
        </w:tc>
      </w:tr>
      <w:tr w:rsidR="00D85F58">
        <w:trPr>
          <w:trHeight w:val="415"/>
        </w:trPr>
        <w:tc>
          <w:tcPr>
            <w:tcW w:w="959"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993" w:type="dxa"/>
            <w:gridSpan w:val="2"/>
            <w:vMerge/>
            <w:tcBorders>
              <w:left w:val="single" w:sz="4" w:space="0" w:color="000000"/>
              <w:right w:val="single" w:sz="4" w:space="0" w:color="000000"/>
            </w:tcBorders>
            <w:shd w:val="clear" w:color="auto" w:fill="auto"/>
            <w:vAlign w:val="bottom"/>
          </w:tcPr>
          <w:p w:rsidR="00D85F58" w:rsidRDefault="00D85F58">
            <w:pPr>
              <w:widowControl/>
              <w:spacing w:line="320" w:lineRule="exact"/>
              <w:jc w:val="center"/>
              <w:textAlignment w:val="bottom"/>
              <w:rPr>
                <w:rFonts w:asciiTheme="minorEastAsia" w:eastAsiaTheme="minorEastAsia" w:hAnsiTheme="minorEastAsia" w:cs="仿宋_GB2312"/>
                <w:kern w:val="0"/>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指标</w:t>
            </w:r>
            <w:r>
              <w:rPr>
                <w:rFonts w:hint="eastAsia"/>
                <w:sz w:val="18"/>
                <w:szCs w:val="18"/>
              </w:rPr>
              <w:t>4</w:t>
            </w:r>
            <w:r>
              <w:rPr>
                <w:rFonts w:hint="eastAsia"/>
                <w:sz w:val="18"/>
                <w:szCs w:val="18"/>
              </w:rPr>
              <w:t>：秘书处外聘专家、顾问费用</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为全国钒钛磁铁矿综合利用标准化技术委员会提供技术支持。</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召开</w:t>
            </w:r>
            <w:r>
              <w:rPr>
                <w:rFonts w:hint="eastAsia"/>
                <w:sz w:val="18"/>
                <w:szCs w:val="18"/>
              </w:rPr>
              <w:t>2022</w:t>
            </w:r>
            <w:r>
              <w:rPr>
                <w:rFonts w:hint="eastAsia"/>
                <w:sz w:val="18"/>
                <w:szCs w:val="18"/>
              </w:rPr>
              <w:t>年标准申报研讨会</w:t>
            </w:r>
          </w:p>
        </w:tc>
      </w:tr>
      <w:tr w:rsidR="00D85F58">
        <w:trPr>
          <w:trHeight w:val="415"/>
        </w:trPr>
        <w:tc>
          <w:tcPr>
            <w:tcW w:w="959"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993" w:type="dxa"/>
            <w:gridSpan w:val="2"/>
            <w:vMerge/>
            <w:tcBorders>
              <w:left w:val="single" w:sz="4" w:space="0" w:color="000000"/>
              <w:right w:val="single" w:sz="4" w:space="0" w:color="000000"/>
            </w:tcBorders>
            <w:shd w:val="clear" w:color="auto" w:fill="auto"/>
            <w:vAlign w:val="bottom"/>
          </w:tcPr>
          <w:p w:rsidR="00D85F58" w:rsidRDefault="00D85F58">
            <w:pPr>
              <w:widowControl/>
              <w:spacing w:line="320" w:lineRule="exact"/>
              <w:jc w:val="center"/>
              <w:textAlignment w:val="bottom"/>
              <w:rPr>
                <w:rFonts w:asciiTheme="minorEastAsia" w:eastAsiaTheme="minorEastAsia" w:hAnsiTheme="minorEastAsia" w:cs="仿宋_GB2312"/>
                <w:kern w:val="0"/>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指标</w:t>
            </w:r>
            <w:r>
              <w:rPr>
                <w:rFonts w:hint="eastAsia"/>
                <w:sz w:val="18"/>
                <w:szCs w:val="18"/>
              </w:rPr>
              <w:t>5</w:t>
            </w:r>
            <w:r>
              <w:rPr>
                <w:rFonts w:hint="eastAsia"/>
                <w:sz w:val="18"/>
                <w:szCs w:val="18"/>
              </w:rPr>
              <w:t>：钒钛标准化人才培养</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为全国钒钛磁铁矿综合利用标准化技术委员会培养人才。</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选派</w:t>
            </w:r>
            <w:r>
              <w:rPr>
                <w:rFonts w:hint="eastAsia"/>
                <w:sz w:val="18"/>
                <w:szCs w:val="18"/>
              </w:rPr>
              <w:t>2</w:t>
            </w:r>
            <w:r>
              <w:rPr>
                <w:rFonts w:hint="eastAsia"/>
                <w:sz w:val="18"/>
                <w:szCs w:val="18"/>
              </w:rPr>
              <w:t>名秘书处人员外出学习，引进</w:t>
            </w:r>
            <w:r>
              <w:rPr>
                <w:rFonts w:hint="eastAsia"/>
                <w:sz w:val="18"/>
                <w:szCs w:val="18"/>
              </w:rPr>
              <w:t>2</w:t>
            </w:r>
            <w:r>
              <w:rPr>
                <w:rFonts w:hint="eastAsia"/>
                <w:sz w:val="18"/>
                <w:szCs w:val="18"/>
              </w:rPr>
              <w:t>名工作人员。</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r>
      <w:tr w:rsidR="00D85F58">
        <w:trPr>
          <w:trHeight w:val="415"/>
        </w:trPr>
        <w:tc>
          <w:tcPr>
            <w:tcW w:w="959"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993" w:type="dxa"/>
            <w:gridSpan w:val="2"/>
            <w:vMerge/>
            <w:tcBorders>
              <w:left w:val="single" w:sz="4" w:space="0" w:color="000000"/>
              <w:right w:val="single" w:sz="4" w:space="0" w:color="000000"/>
            </w:tcBorders>
            <w:shd w:val="clear" w:color="auto" w:fill="auto"/>
            <w:vAlign w:val="bottom"/>
          </w:tcPr>
          <w:p w:rsidR="00D85F58" w:rsidRDefault="00D85F58">
            <w:pPr>
              <w:widowControl/>
              <w:spacing w:line="320" w:lineRule="exact"/>
              <w:jc w:val="center"/>
              <w:textAlignment w:val="bottom"/>
              <w:rPr>
                <w:rFonts w:asciiTheme="minorEastAsia" w:eastAsiaTheme="minorEastAsia" w:hAnsiTheme="minorEastAsia" w:cs="仿宋_GB2312"/>
                <w:kern w:val="0"/>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指标</w:t>
            </w:r>
            <w:r>
              <w:rPr>
                <w:rFonts w:hint="eastAsia"/>
                <w:sz w:val="18"/>
                <w:szCs w:val="18"/>
              </w:rPr>
              <w:t>6</w:t>
            </w:r>
            <w:r>
              <w:rPr>
                <w:rFonts w:hint="eastAsia"/>
                <w:sz w:val="18"/>
                <w:szCs w:val="18"/>
              </w:rPr>
              <w:t>：工作组运行</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细化标准体系任务</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确定了三个工作组标准体系框架及工作计划，并建立了相应秘书处，工作组正常运行。</w:t>
            </w:r>
          </w:p>
        </w:tc>
      </w:tr>
      <w:tr w:rsidR="00D85F58">
        <w:trPr>
          <w:trHeight w:val="415"/>
        </w:trPr>
        <w:tc>
          <w:tcPr>
            <w:tcW w:w="959"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993" w:type="dxa"/>
            <w:gridSpan w:val="2"/>
            <w:vMerge/>
            <w:tcBorders>
              <w:left w:val="single" w:sz="4" w:space="0" w:color="000000"/>
              <w:right w:val="single" w:sz="4" w:space="0" w:color="000000"/>
            </w:tcBorders>
            <w:shd w:val="clear" w:color="auto" w:fill="auto"/>
            <w:vAlign w:val="bottom"/>
          </w:tcPr>
          <w:p w:rsidR="00D85F58" w:rsidRDefault="00D85F58">
            <w:pPr>
              <w:widowControl/>
              <w:spacing w:line="320" w:lineRule="exact"/>
              <w:jc w:val="center"/>
              <w:textAlignment w:val="bottom"/>
              <w:rPr>
                <w:rFonts w:asciiTheme="minorEastAsia" w:eastAsiaTheme="minorEastAsia" w:hAnsiTheme="minorEastAsia" w:cs="仿宋_GB2312"/>
                <w:kern w:val="0"/>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指标</w:t>
            </w:r>
            <w:r>
              <w:rPr>
                <w:rFonts w:hint="eastAsia"/>
                <w:sz w:val="18"/>
                <w:szCs w:val="18"/>
              </w:rPr>
              <w:t>7</w:t>
            </w:r>
            <w:r>
              <w:rPr>
                <w:rFonts w:hint="eastAsia"/>
                <w:sz w:val="18"/>
                <w:szCs w:val="18"/>
              </w:rPr>
              <w:t>：白皮书编制</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每年发布一次</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延期到</w:t>
            </w:r>
            <w:r>
              <w:rPr>
                <w:rFonts w:hint="eastAsia"/>
                <w:sz w:val="18"/>
                <w:szCs w:val="18"/>
              </w:rPr>
              <w:t>2022</w:t>
            </w:r>
            <w:r>
              <w:rPr>
                <w:rFonts w:hint="eastAsia"/>
                <w:sz w:val="18"/>
                <w:szCs w:val="18"/>
              </w:rPr>
              <w:t>年发布</w:t>
            </w:r>
          </w:p>
        </w:tc>
      </w:tr>
      <w:tr w:rsidR="00D85F58">
        <w:trPr>
          <w:trHeight w:val="415"/>
        </w:trPr>
        <w:tc>
          <w:tcPr>
            <w:tcW w:w="959"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993" w:type="dxa"/>
            <w:gridSpan w:val="2"/>
            <w:vMerge/>
            <w:tcBorders>
              <w:left w:val="single" w:sz="4" w:space="0" w:color="000000"/>
              <w:bottom w:val="single" w:sz="4" w:space="0" w:color="000000"/>
              <w:right w:val="single" w:sz="4" w:space="0" w:color="000000"/>
            </w:tcBorders>
            <w:shd w:val="clear" w:color="auto" w:fill="auto"/>
            <w:vAlign w:val="bottom"/>
          </w:tcPr>
          <w:p w:rsidR="00D85F58" w:rsidRDefault="00D85F58">
            <w:pPr>
              <w:widowControl/>
              <w:spacing w:line="320" w:lineRule="exact"/>
              <w:jc w:val="center"/>
              <w:textAlignment w:val="bottom"/>
              <w:rPr>
                <w:rFonts w:asciiTheme="minorEastAsia" w:eastAsiaTheme="minorEastAsia" w:hAnsiTheme="minorEastAsia" w:cs="仿宋_GB2312"/>
                <w:kern w:val="0"/>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指标</w:t>
            </w:r>
            <w:r>
              <w:rPr>
                <w:rFonts w:hint="eastAsia"/>
                <w:sz w:val="18"/>
                <w:szCs w:val="18"/>
              </w:rPr>
              <w:t>8</w:t>
            </w:r>
            <w:r>
              <w:rPr>
                <w:rFonts w:hint="eastAsia"/>
                <w:sz w:val="18"/>
                <w:szCs w:val="18"/>
              </w:rPr>
              <w:t>：顺利召开中国攀西钒钛论坛</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打造集技术、市场、行业对话、政策研制一体的品牌论坛，推动攀西钒钛资源开发。</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打造集技术、市场、行业对话、政策研制一体的品牌论坛，推动攀西钒钛资源开发。</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r>
      <w:tr w:rsidR="00D85F58">
        <w:trPr>
          <w:trHeight w:val="415"/>
        </w:trPr>
        <w:tc>
          <w:tcPr>
            <w:tcW w:w="959"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时效指标</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完成时效</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2021</w:t>
            </w:r>
            <w:r>
              <w:rPr>
                <w:rFonts w:hint="eastAsia"/>
                <w:color w:val="000000"/>
                <w:sz w:val="18"/>
                <w:szCs w:val="18"/>
              </w:rPr>
              <w:t>年全年</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2021</w:t>
            </w:r>
            <w:r>
              <w:rPr>
                <w:rFonts w:hint="eastAsia"/>
                <w:color w:val="000000"/>
                <w:sz w:val="18"/>
                <w:szCs w:val="18"/>
              </w:rPr>
              <w:t>年</w:t>
            </w:r>
          </w:p>
        </w:tc>
      </w:tr>
      <w:tr w:rsidR="00D85F58">
        <w:trPr>
          <w:trHeight w:val="480"/>
        </w:trPr>
        <w:tc>
          <w:tcPr>
            <w:tcW w:w="959"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993" w:type="dxa"/>
            <w:gridSpan w:val="2"/>
            <w:vMerge w:val="restart"/>
            <w:tcBorders>
              <w:top w:val="single" w:sz="4" w:space="0" w:color="000000"/>
              <w:left w:val="single" w:sz="4" w:space="0" w:color="000000"/>
              <w:right w:val="single" w:sz="4" w:space="0" w:color="000000"/>
            </w:tcBorders>
            <w:shd w:val="clear" w:color="auto" w:fill="auto"/>
            <w:vAlign w:val="center"/>
          </w:tcPr>
          <w:p w:rsidR="00D85F58" w:rsidRDefault="00DD1531">
            <w:pPr>
              <w:spacing w:line="320" w:lineRule="exact"/>
              <w:jc w:val="center"/>
              <w:textAlignment w:val="bottom"/>
              <w:rPr>
                <w:rFonts w:asciiTheme="minorEastAsia" w:eastAsiaTheme="minorEastAsia" w:hAnsiTheme="minorEastAsia" w:cs="仿宋_GB2312"/>
                <w:kern w:val="0"/>
                <w:sz w:val="18"/>
                <w:szCs w:val="18"/>
              </w:rPr>
            </w:pPr>
            <w:r>
              <w:rPr>
                <w:rFonts w:asciiTheme="minorEastAsia" w:eastAsiaTheme="minorEastAsia" w:hAnsiTheme="minorEastAsia" w:cs="仿宋_GB2312" w:hint="eastAsia"/>
                <w:kern w:val="0"/>
                <w:sz w:val="18"/>
                <w:szCs w:val="18"/>
              </w:rPr>
              <w:t>成本指标</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指标</w:t>
            </w:r>
            <w:r>
              <w:rPr>
                <w:rFonts w:hint="eastAsia"/>
                <w:sz w:val="18"/>
                <w:szCs w:val="18"/>
              </w:rPr>
              <w:t>1</w:t>
            </w:r>
            <w:r>
              <w:rPr>
                <w:rFonts w:hint="eastAsia"/>
                <w:sz w:val="18"/>
                <w:szCs w:val="18"/>
              </w:rPr>
              <w:t>：钒钛标准制（修）订</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全年开展</w:t>
            </w:r>
            <w:r>
              <w:rPr>
                <w:rFonts w:hint="eastAsia"/>
                <w:color w:val="000000"/>
                <w:sz w:val="18"/>
                <w:szCs w:val="18"/>
              </w:rPr>
              <w:t>3</w:t>
            </w:r>
            <w:r>
              <w:rPr>
                <w:rFonts w:hint="eastAsia"/>
                <w:color w:val="000000"/>
                <w:sz w:val="18"/>
                <w:szCs w:val="18"/>
              </w:rPr>
              <w:t>项标准制修订工作，会议场地租赁费、专家评审费等费用</w:t>
            </w:r>
            <w:r>
              <w:rPr>
                <w:rFonts w:hint="eastAsia"/>
                <w:color w:val="000000"/>
                <w:sz w:val="18"/>
                <w:szCs w:val="18"/>
              </w:rPr>
              <w:t>15</w:t>
            </w:r>
            <w:r>
              <w:rPr>
                <w:rFonts w:hint="eastAsia"/>
                <w:color w:val="000000"/>
                <w:sz w:val="18"/>
                <w:szCs w:val="18"/>
              </w:rPr>
              <w:t>万元</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开展</w:t>
            </w:r>
            <w:r>
              <w:rPr>
                <w:rFonts w:hint="eastAsia"/>
                <w:color w:val="000000"/>
                <w:sz w:val="18"/>
                <w:szCs w:val="18"/>
              </w:rPr>
              <w:t>16</w:t>
            </w:r>
            <w:r>
              <w:rPr>
                <w:rFonts w:hint="eastAsia"/>
                <w:color w:val="000000"/>
                <w:sz w:val="18"/>
                <w:szCs w:val="18"/>
              </w:rPr>
              <w:t>项标准的编制工作，支付标委会专家相关咨询费、评审费共计</w:t>
            </w:r>
            <w:r>
              <w:rPr>
                <w:rFonts w:hint="eastAsia"/>
                <w:color w:val="000000"/>
                <w:sz w:val="18"/>
                <w:szCs w:val="18"/>
              </w:rPr>
              <w:t>4.74</w:t>
            </w:r>
            <w:r>
              <w:rPr>
                <w:rFonts w:hint="eastAsia"/>
                <w:color w:val="000000"/>
                <w:sz w:val="18"/>
                <w:szCs w:val="18"/>
              </w:rPr>
              <w:t>万元。</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r>
      <w:tr w:rsidR="00D85F58">
        <w:trPr>
          <w:trHeight w:val="480"/>
        </w:trPr>
        <w:tc>
          <w:tcPr>
            <w:tcW w:w="959"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993" w:type="dxa"/>
            <w:gridSpan w:val="2"/>
            <w:vMerge/>
            <w:tcBorders>
              <w:left w:val="single" w:sz="4" w:space="0" w:color="000000"/>
              <w:right w:val="single" w:sz="4" w:space="0" w:color="000000"/>
            </w:tcBorders>
            <w:shd w:val="clear" w:color="auto" w:fill="auto"/>
            <w:vAlign w:val="bottom"/>
          </w:tcPr>
          <w:p w:rsidR="00D85F58" w:rsidRDefault="00D85F58">
            <w:pPr>
              <w:spacing w:line="320" w:lineRule="exact"/>
              <w:jc w:val="center"/>
              <w:textAlignment w:val="bottom"/>
              <w:rPr>
                <w:rFonts w:asciiTheme="minorEastAsia" w:eastAsiaTheme="minorEastAsia" w:hAnsiTheme="minorEastAsia" w:cs="仿宋_GB2312"/>
                <w:kern w:val="0"/>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指标</w:t>
            </w:r>
            <w:r>
              <w:rPr>
                <w:rFonts w:hint="eastAsia"/>
                <w:sz w:val="18"/>
                <w:szCs w:val="18"/>
              </w:rPr>
              <w:t>2</w:t>
            </w:r>
            <w:r>
              <w:rPr>
                <w:rFonts w:hint="eastAsia"/>
                <w:sz w:val="18"/>
                <w:szCs w:val="18"/>
              </w:rPr>
              <w:t>：举办或参与国内外标准化活动。</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举办中国·攀西钒钛论坛，会务经费</w:t>
            </w:r>
            <w:r>
              <w:rPr>
                <w:rFonts w:hint="eastAsia"/>
                <w:color w:val="000000"/>
                <w:sz w:val="18"/>
                <w:szCs w:val="18"/>
              </w:rPr>
              <w:t>70</w:t>
            </w:r>
            <w:r>
              <w:rPr>
                <w:rFonts w:hint="eastAsia"/>
                <w:color w:val="000000"/>
                <w:sz w:val="18"/>
                <w:szCs w:val="18"/>
              </w:rPr>
              <w:t>万元。</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论坛前期准备支付</w:t>
            </w:r>
            <w:r>
              <w:rPr>
                <w:rFonts w:hint="eastAsia"/>
                <w:color w:val="000000"/>
                <w:sz w:val="18"/>
                <w:szCs w:val="18"/>
              </w:rPr>
              <w:t>35.42</w:t>
            </w:r>
            <w:r>
              <w:rPr>
                <w:rFonts w:hint="eastAsia"/>
                <w:color w:val="000000"/>
                <w:sz w:val="18"/>
                <w:szCs w:val="18"/>
              </w:rPr>
              <w:t>万元，因疫情原因，论坛延期召开。</w:t>
            </w:r>
          </w:p>
        </w:tc>
      </w:tr>
      <w:tr w:rsidR="00D85F58">
        <w:trPr>
          <w:trHeight w:val="480"/>
        </w:trPr>
        <w:tc>
          <w:tcPr>
            <w:tcW w:w="959"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993" w:type="dxa"/>
            <w:gridSpan w:val="2"/>
            <w:vMerge/>
            <w:tcBorders>
              <w:left w:val="single" w:sz="4" w:space="0" w:color="000000"/>
              <w:right w:val="single" w:sz="4" w:space="0" w:color="000000"/>
            </w:tcBorders>
            <w:shd w:val="clear" w:color="auto" w:fill="auto"/>
            <w:vAlign w:val="bottom"/>
          </w:tcPr>
          <w:p w:rsidR="00D85F58" w:rsidRDefault="00D85F58">
            <w:pPr>
              <w:spacing w:line="320" w:lineRule="exact"/>
              <w:jc w:val="center"/>
              <w:textAlignment w:val="bottom"/>
              <w:rPr>
                <w:rFonts w:asciiTheme="minorEastAsia" w:eastAsiaTheme="minorEastAsia" w:hAnsiTheme="minorEastAsia" w:cs="仿宋_GB2312"/>
                <w:kern w:val="0"/>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指标</w:t>
            </w:r>
            <w:r>
              <w:rPr>
                <w:rFonts w:hint="eastAsia"/>
                <w:sz w:val="18"/>
                <w:szCs w:val="18"/>
              </w:rPr>
              <w:t>3</w:t>
            </w:r>
            <w:r>
              <w:rPr>
                <w:rFonts w:hint="eastAsia"/>
                <w:sz w:val="18"/>
                <w:szCs w:val="18"/>
              </w:rPr>
              <w:t>：秘书处运行经费</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秘书处日常运行经费，共计</w:t>
            </w:r>
            <w:r>
              <w:rPr>
                <w:rFonts w:hint="eastAsia"/>
                <w:color w:val="000000"/>
                <w:sz w:val="18"/>
                <w:szCs w:val="18"/>
              </w:rPr>
              <w:t>20</w:t>
            </w:r>
            <w:r>
              <w:rPr>
                <w:rFonts w:hint="eastAsia"/>
                <w:color w:val="000000"/>
                <w:sz w:val="18"/>
                <w:szCs w:val="18"/>
              </w:rPr>
              <w:t>万元。</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秘书处日常运行经费</w:t>
            </w:r>
            <w:r>
              <w:rPr>
                <w:rFonts w:hint="eastAsia"/>
                <w:color w:val="000000"/>
                <w:sz w:val="18"/>
                <w:szCs w:val="18"/>
              </w:rPr>
              <w:t>25.02</w:t>
            </w:r>
            <w:r>
              <w:rPr>
                <w:rFonts w:hint="eastAsia"/>
                <w:color w:val="000000"/>
                <w:sz w:val="18"/>
                <w:szCs w:val="18"/>
              </w:rPr>
              <w:t>万元。</w:t>
            </w:r>
          </w:p>
        </w:tc>
      </w:tr>
      <w:tr w:rsidR="00D85F58">
        <w:trPr>
          <w:trHeight w:val="480"/>
        </w:trPr>
        <w:tc>
          <w:tcPr>
            <w:tcW w:w="959"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993" w:type="dxa"/>
            <w:gridSpan w:val="2"/>
            <w:vMerge/>
            <w:tcBorders>
              <w:left w:val="single" w:sz="4" w:space="0" w:color="000000"/>
              <w:right w:val="single" w:sz="4" w:space="0" w:color="000000"/>
            </w:tcBorders>
            <w:shd w:val="clear" w:color="auto" w:fill="auto"/>
            <w:vAlign w:val="bottom"/>
          </w:tcPr>
          <w:p w:rsidR="00D85F58" w:rsidRDefault="00D85F58">
            <w:pPr>
              <w:spacing w:line="320" w:lineRule="exact"/>
              <w:jc w:val="center"/>
              <w:textAlignment w:val="bottom"/>
              <w:rPr>
                <w:rFonts w:asciiTheme="minorEastAsia" w:eastAsiaTheme="minorEastAsia" w:hAnsiTheme="minorEastAsia" w:cs="仿宋_GB2312"/>
                <w:kern w:val="0"/>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指标</w:t>
            </w:r>
            <w:r>
              <w:rPr>
                <w:rFonts w:hint="eastAsia"/>
                <w:sz w:val="18"/>
                <w:szCs w:val="18"/>
              </w:rPr>
              <w:t>4</w:t>
            </w:r>
            <w:r>
              <w:rPr>
                <w:rFonts w:hint="eastAsia"/>
                <w:sz w:val="18"/>
                <w:szCs w:val="18"/>
              </w:rPr>
              <w:t>：秘书处外聘专家、顾问薪级待遇经费</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外聘专家</w:t>
            </w:r>
            <w:r>
              <w:rPr>
                <w:rFonts w:hint="eastAsia"/>
                <w:color w:val="000000"/>
                <w:sz w:val="18"/>
                <w:szCs w:val="18"/>
              </w:rPr>
              <w:t>3</w:t>
            </w:r>
            <w:r>
              <w:rPr>
                <w:rFonts w:hint="eastAsia"/>
                <w:color w:val="000000"/>
                <w:sz w:val="18"/>
                <w:szCs w:val="18"/>
              </w:rPr>
              <w:t>人，外聘专家为秘书处专职技术人员，工作经费每人每年</w:t>
            </w:r>
            <w:r>
              <w:rPr>
                <w:rFonts w:hint="eastAsia"/>
                <w:color w:val="000000"/>
                <w:sz w:val="18"/>
                <w:szCs w:val="18"/>
              </w:rPr>
              <w:t>6</w:t>
            </w:r>
            <w:r>
              <w:rPr>
                <w:rFonts w:hint="eastAsia"/>
                <w:color w:val="000000"/>
                <w:sz w:val="18"/>
                <w:szCs w:val="18"/>
              </w:rPr>
              <w:t>万元，顾问咨询费</w:t>
            </w:r>
            <w:r>
              <w:rPr>
                <w:rFonts w:hint="eastAsia"/>
                <w:color w:val="000000"/>
                <w:sz w:val="18"/>
                <w:szCs w:val="18"/>
              </w:rPr>
              <w:t>3</w:t>
            </w:r>
            <w:r>
              <w:rPr>
                <w:rFonts w:hint="eastAsia"/>
                <w:color w:val="000000"/>
                <w:sz w:val="18"/>
                <w:szCs w:val="18"/>
              </w:rPr>
              <w:t>万元，合计</w:t>
            </w:r>
            <w:r>
              <w:rPr>
                <w:rFonts w:hint="eastAsia"/>
                <w:color w:val="000000"/>
                <w:sz w:val="18"/>
                <w:szCs w:val="18"/>
              </w:rPr>
              <w:t>21</w:t>
            </w:r>
            <w:r>
              <w:rPr>
                <w:rFonts w:hint="eastAsia"/>
                <w:color w:val="000000"/>
                <w:sz w:val="18"/>
                <w:szCs w:val="18"/>
              </w:rPr>
              <w:t>万元。</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外聘专家</w:t>
            </w:r>
            <w:r>
              <w:rPr>
                <w:rFonts w:hint="eastAsia"/>
                <w:color w:val="000000"/>
                <w:sz w:val="18"/>
                <w:szCs w:val="18"/>
              </w:rPr>
              <w:t>3</w:t>
            </w:r>
            <w:r>
              <w:rPr>
                <w:rFonts w:hint="eastAsia"/>
                <w:color w:val="000000"/>
                <w:sz w:val="18"/>
                <w:szCs w:val="18"/>
              </w:rPr>
              <w:t>人，全年支出共计</w:t>
            </w:r>
            <w:r>
              <w:rPr>
                <w:rFonts w:hint="eastAsia"/>
                <w:color w:val="000000"/>
                <w:sz w:val="18"/>
                <w:szCs w:val="18"/>
              </w:rPr>
              <w:t>21.75</w:t>
            </w:r>
            <w:r>
              <w:rPr>
                <w:rFonts w:hint="eastAsia"/>
                <w:color w:val="000000"/>
                <w:sz w:val="18"/>
                <w:szCs w:val="18"/>
              </w:rPr>
              <w:t>万。</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r>
      <w:tr w:rsidR="00D85F58">
        <w:trPr>
          <w:trHeight w:val="480"/>
        </w:trPr>
        <w:tc>
          <w:tcPr>
            <w:tcW w:w="959"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993" w:type="dxa"/>
            <w:gridSpan w:val="2"/>
            <w:vMerge/>
            <w:tcBorders>
              <w:left w:val="single" w:sz="4" w:space="0" w:color="000000"/>
              <w:right w:val="single" w:sz="4" w:space="0" w:color="000000"/>
            </w:tcBorders>
            <w:shd w:val="clear" w:color="auto" w:fill="auto"/>
            <w:vAlign w:val="bottom"/>
          </w:tcPr>
          <w:p w:rsidR="00D85F58" w:rsidRDefault="00D85F58">
            <w:pPr>
              <w:spacing w:line="320" w:lineRule="exact"/>
              <w:jc w:val="center"/>
              <w:textAlignment w:val="bottom"/>
              <w:rPr>
                <w:rFonts w:asciiTheme="minorEastAsia" w:eastAsiaTheme="minorEastAsia" w:hAnsiTheme="minorEastAsia" w:cs="仿宋_GB2312"/>
                <w:kern w:val="0"/>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指标</w:t>
            </w:r>
            <w:r>
              <w:rPr>
                <w:rFonts w:hint="eastAsia"/>
                <w:sz w:val="18"/>
                <w:szCs w:val="18"/>
              </w:rPr>
              <w:t>5</w:t>
            </w:r>
            <w:r>
              <w:rPr>
                <w:rFonts w:hint="eastAsia"/>
                <w:sz w:val="18"/>
                <w:szCs w:val="18"/>
              </w:rPr>
              <w:t>：钒钛标准化人才培养</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人才培养经费</w:t>
            </w:r>
            <w:r>
              <w:rPr>
                <w:rFonts w:hint="eastAsia"/>
                <w:color w:val="000000"/>
                <w:sz w:val="18"/>
                <w:szCs w:val="18"/>
              </w:rPr>
              <w:t>15</w:t>
            </w:r>
            <w:r>
              <w:rPr>
                <w:rFonts w:hint="eastAsia"/>
                <w:color w:val="000000"/>
                <w:sz w:val="18"/>
                <w:szCs w:val="18"/>
              </w:rPr>
              <w:t>万元（</w:t>
            </w:r>
            <w:r>
              <w:rPr>
                <w:rFonts w:hint="eastAsia"/>
                <w:color w:val="000000"/>
                <w:sz w:val="18"/>
                <w:szCs w:val="18"/>
              </w:rPr>
              <w:t>25</w:t>
            </w:r>
            <w:r>
              <w:rPr>
                <w:rFonts w:hint="eastAsia"/>
                <w:color w:val="000000"/>
                <w:sz w:val="18"/>
                <w:szCs w:val="18"/>
              </w:rPr>
              <w:t>人次，每人次预算</w:t>
            </w:r>
            <w:r>
              <w:rPr>
                <w:rFonts w:hint="eastAsia"/>
                <w:color w:val="000000"/>
                <w:sz w:val="18"/>
                <w:szCs w:val="18"/>
              </w:rPr>
              <w:t>6000</w:t>
            </w:r>
            <w:r>
              <w:rPr>
                <w:rFonts w:hint="eastAsia"/>
                <w:color w:val="000000"/>
                <w:sz w:val="18"/>
                <w:szCs w:val="18"/>
              </w:rPr>
              <w:t>元）</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选派</w:t>
            </w:r>
            <w:r>
              <w:rPr>
                <w:rFonts w:hint="eastAsia"/>
                <w:color w:val="000000"/>
                <w:sz w:val="18"/>
                <w:szCs w:val="18"/>
              </w:rPr>
              <w:t>2</w:t>
            </w:r>
            <w:r>
              <w:rPr>
                <w:rFonts w:hint="eastAsia"/>
                <w:color w:val="000000"/>
                <w:sz w:val="18"/>
                <w:szCs w:val="18"/>
              </w:rPr>
              <w:t>名工作人员外出学习，支付共计</w:t>
            </w:r>
            <w:r>
              <w:rPr>
                <w:rFonts w:hint="eastAsia"/>
                <w:color w:val="000000"/>
                <w:sz w:val="18"/>
                <w:szCs w:val="18"/>
              </w:rPr>
              <w:t>15</w:t>
            </w:r>
            <w:r>
              <w:rPr>
                <w:rFonts w:hint="eastAsia"/>
                <w:color w:val="000000"/>
                <w:sz w:val="18"/>
                <w:szCs w:val="18"/>
              </w:rPr>
              <w:t>万元。</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r>
      <w:tr w:rsidR="00D85F58">
        <w:trPr>
          <w:trHeight w:val="480"/>
        </w:trPr>
        <w:tc>
          <w:tcPr>
            <w:tcW w:w="959"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993" w:type="dxa"/>
            <w:gridSpan w:val="2"/>
            <w:vMerge/>
            <w:tcBorders>
              <w:left w:val="single" w:sz="4" w:space="0" w:color="000000"/>
              <w:right w:val="single" w:sz="4" w:space="0" w:color="000000"/>
            </w:tcBorders>
            <w:shd w:val="clear" w:color="auto" w:fill="auto"/>
            <w:vAlign w:val="bottom"/>
          </w:tcPr>
          <w:p w:rsidR="00D85F58" w:rsidRDefault="00D85F58">
            <w:pPr>
              <w:spacing w:line="320" w:lineRule="exact"/>
              <w:jc w:val="center"/>
              <w:textAlignment w:val="bottom"/>
              <w:rPr>
                <w:rFonts w:asciiTheme="minorEastAsia" w:eastAsiaTheme="minorEastAsia" w:hAnsiTheme="minorEastAsia" w:cs="仿宋_GB2312"/>
                <w:kern w:val="0"/>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指标</w:t>
            </w:r>
            <w:r>
              <w:rPr>
                <w:rFonts w:hint="eastAsia"/>
                <w:sz w:val="18"/>
                <w:szCs w:val="18"/>
              </w:rPr>
              <w:t>6</w:t>
            </w:r>
            <w:r>
              <w:rPr>
                <w:rFonts w:hint="eastAsia"/>
                <w:sz w:val="18"/>
                <w:szCs w:val="18"/>
              </w:rPr>
              <w:t>：工作组运行</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每个工作组组建工作运行经费补贴</w:t>
            </w:r>
            <w:r>
              <w:rPr>
                <w:rFonts w:hint="eastAsia"/>
                <w:color w:val="000000"/>
                <w:sz w:val="18"/>
                <w:szCs w:val="18"/>
              </w:rPr>
              <w:t>5</w:t>
            </w:r>
            <w:r>
              <w:rPr>
                <w:rFonts w:hint="eastAsia"/>
                <w:color w:val="000000"/>
                <w:sz w:val="18"/>
                <w:szCs w:val="18"/>
              </w:rPr>
              <w:t>万元，合计</w:t>
            </w:r>
            <w:r>
              <w:rPr>
                <w:rFonts w:hint="eastAsia"/>
                <w:color w:val="000000"/>
                <w:sz w:val="18"/>
                <w:szCs w:val="18"/>
              </w:rPr>
              <w:t>5</w:t>
            </w:r>
            <w:r>
              <w:rPr>
                <w:rFonts w:hint="eastAsia"/>
                <w:color w:val="000000"/>
                <w:sz w:val="18"/>
                <w:szCs w:val="18"/>
              </w:rPr>
              <w:t>万元</w:t>
            </w:r>
            <w:r>
              <w:rPr>
                <w:rFonts w:hint="eastAsia"/>
                <w:color w:val="000000"/>
                <w:sz w:val="18"/>
                <w:szCs w:val="18"/>
              </w:rPr>
              <w:t>/</w:t>
            </w:r>
            <w:r>
              <w:rPr>
                <w:rFonts w:hint="eastAsia"/>
                <w:color w:val="000000"/>
                <w:sz w:val="18"/>
                <w:szCs w:val="18"/>
              </w:rPr>
              <w:t>个</w:t>
            </w:r>
            <w:r>
              <w:rPr>
                <w:rFonts w:hint="eastAsia"/>
                <w:color w:val="000000"/>
                <w:sz w:val="18"/>
                <w:szCs w:val="18"/>
              </w:rPr>
              <w:t>*3</w:t>
            </w:r>
            <w:r>
              <w:rPr>
                <w:rFonts w:hint="eastAsia"/>
                <w:color w:val="000000"/>
                <w:sz w:val="18"/>
                <w:szCs w:val="18"/>
              </w:rPr>
              <w:t>个</w:t>
            </w:r>
            <w:r>
              <w:rPr>
                <w:rFonts w:hint="eastAsia"/>
                <w:color w:val="000000"/>
                <w:sz w:val="18"/>
                <w:szCs w:val="18"/>
              </w:rPr>
              <w:t>=15</w:t>
            </w:r>
            <w:r>
              <w:rPr>
                <w:rFonts w:hint="eastAsia"/>
                <w:color w:val="000000"/>
                <w:sz w:val="18"/>
                <w:szCs w:val="18"/>
              </w:rPr>
              <w:t>万元</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支付</w:t>
            </w:r>
            <w:r>
              <w:rPr>
                <w:rFonts w:hint="eastAsia"/>
                <w:color w:val="000000"/>
                <w:sz w:val="18"/>
                <w:szCs w:val="18"/>
              </w:rPr>
              <w:t>1</w:t>
            </w:r>
            <w:r>
              <w:rPr>
                <w:rFonts w:hint="eastAsia"/>
                <w:color w:val="000000"/>
                <w:sz w:val="18"/>
                <w:szCs w:val="18"/>
              </w:rPr>
              <w:t>个工作组运行经费</w:t>
            </w:r>
            <w:r>
              <w:rPr>
                <w:rFonts w:hint="eastAsia"/>
                <w:color w:val="000000"/>
                <w:sz w:val="18"/>
                <w:szCs w:val="18"/>
              </w:rPr>
              <w:t>5</w:t>
            </w:r>
            <w:r>
              <w:rPr>
                <w:rFonts w:hint="eastAsia"/>
                <w:color w:val="000000"/>
                <w:sz w:val="18"/>
                <w:szCs w:val="18"/>
              </w:rPr>
              <w:t>万元。</w:t>
            </w:r>
          </w:p>
        </w:tc>
      </w:tr>
      <w:tr w:rsidR="00D85F58">
        <w:trPr>
          <w:trHeight w:val="480"/>
        </w:trPr>
        <w:tc>
          <w:tcPr>
            <w:tcW w:w="959"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993" w:type="dxa"/>
            <w:gridSpan w:val="2"/>
            <w:vMerge/>
            <w:tcBorders>
              <w:left w:val="single" w:sz="4" w:space="0" w:color="000000"/>
              <w:right w:val="single" w:sz="4" w:space="0" w:color="000000"/>
            </w:tcBorders>
            <w:shd w:val="clear" w:color="auto" w:fill="auto"/>
            <w:vAlign w:val="bottom"/>
          </w:tcPr>
          <w:p w:rsidR="00D85F58" w:rsidRDefault="00D85F58">
            <w:pPr>
              <w:spacing w:line="320" w:lineRule="exact"/>
              <w:jc w:val="center"/>
              <w:textAlignment w:val="bottom"/>
              <w:rPr>
                <w:rFonts w:asciiTheme="minorEastAsia" w:eastAsiaTheme="minorEastAsia" w:hAnsiTheme="minorEastAsia" w:cs="仿宋_GB2312"/>
                <w:kern w:val="0"/>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指标</w:t>
            </w:r>
            <w:r>
              <w:rPr>
                <w:rFonts w:hint="eastAsia"/>
                <w:sz w:val="18"/>
                <w:szCs w:val="18"/>
              </w:rPr>
              <w:t>7</w:t>
            </w:r>
            <w:r>
              <w:rPr>
                <w:rFonts w:hint="eastAsia"/>
                <w:sz w:val="18"/>
                <w:szCs w:val="18"/>
              </w:rPr>
              <w:t>：白皮书编制</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合作经费：</w:t>
            </w:r>
            <w:r>
              <w:rPr>
                <w:rFonts w:hint="eastAsia"/>
                <w:color w:val="000000"/>
                <w:sz w:val="18"/>
                <w:szCs w:val="18"/>
              </w:rPr>
              <w:t>40</w:t>
            </w:r>
            <w:r>
              <w:rPr>
                <w:rFonts w:hint="eastAsia"/>
                <w:color w:val="000000"/>
                <w:sz w:val="18"/>
                <w:szCs w:val="18"/>
              </w:rPr>
              <w:t>万元</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白皮书编制（标准体系优化研究）费用</w:t>
            </w:r>
            <w:r>
              <w:rPr>
                <w:rFonts w:hint="eastAsia"/>
                <w:color w:val="000000"/>
                <w:sz w:val="18"/>
                <w:szCs w:val="18"/>
              </w:rPr>
              <w:t>20</w:t>
            </w:r>
            <w:r>
              <w:rPr>
                <w:rFonts w:hint="eastAsia"/>
                <w:color w:val="000000"/>
                <w:sz w:val="18"/>
                <w:szCs w:val="18"/>
              </w:rPr>
              <w:t>万元。</w:t>
            </w:r>
          </w:p>
        </w:tc>
      </w:tr>
      <w:tr w:rsidR="00D85F58">
        <w:trPr>
          <w:trHeight w:val="480"/>
        </w:trPr>
        <w:tc>
          <w:tcPr>
            <w:tcW w:w="959"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993" w:type="dxa"/>
            <w:gridSpan w:val="2"/>
            <w:vMerge/>
            <w:tcBorders>
              <w:left w:val="single" w:sz="4" w:space="0" w:color="000000"/>
              <w:bottom w:val="single" w:sz="4" w:space="0" w:color="000000"/>
              <w:right w:val="single" w:sz="4" w:space="0" w:color="000000"/>
            </w:tcBorders>
            <w:shd w:val="clear" w:color="auto" w:fill="auto"/>
            <w:vAlign w:val="bottom"/>
          </w:tcPr>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指标</w:t>
            </w:r>
            <w:r>
              <w:rPr>
                <w:rFonts w:hint="eastAsia"/>
                <w:sz w:val="18"/>
                <w:szCs w:val="18"/>
              </w:rPr>
              <w:t>8</w:t>
            </w:r>
            <w:r>
              <w:rPr>
                <w:rFonts w:hint="eastAsia"/>
                <w:sz w:val="18"/>
                <w:szCs w:val="18"/>
              </w:rPr>
              <w:t>：顺利召开中国攀西钒钛论坛</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论文征集评奖经费</w:t>
            </w:r>
            <w:r>
              <w:rPr>
                <w:rFonts w:hint="eastAsia"/>
                <w:color w:val="000000"/>
                <w:sz w:val="18"/>
                <w:szCs w:val="18"/>
              </w:rPr>
              <w:t>6</w:t>
            </w:r>
            <w:r>
              <w:rPr>
                <w:rFonts w:hint="eastAsia"/>
                <w:color w:val="000000"/>
                <w:sz w:val="18"/>
                <w:szCs w:val="18"/>
              </w:rPr>
              <w:t>万元、主论坛会议室及分论坛会议室租赁</w:t>
            </w:r>
            <w:r>
              <w:rPr>
                <w:rFonts w:hint="eastAsia"/>
                <w:color w:val="000000"/>
                <w:sz w:val="18"/>
                <w:szCs w:val="18"/>
              </w:rPr>
              <w:t>3.51</w:t>
            </w:r>
            <w:r>
              <w:rPr>
                <w:rFonts w:hint="eastAsia"/>
                <w:color w:val="000000"/>
                <w:sz w:val="18"/>
                <w:szCs w:val="18"/>
              </w:rPr>
              <w:t>万元。论坛前、中、后期间广告宣传费</w:t>
            </w:r>
            <w:r>
              <w:rPr>
                <w:rFonts w:hint="eastAsia"/>
                <w:color w:val="000000"/>
                <w:sz w:val="18"/>
                <w:szCs w:val="18"/>
              </w:rPr>
              <w:t>2.76</w:t>
            </w:r>
            <w:r>
              <w:rPr>
                <w:rFonts w:hint="eastAsia"/>
                <w:color w:val="000000"/>
                <w:sz w:val="18"/>
                <w:szCs w:val="18"/>
              </w:rPr>
              <w:t>万元。论坛演讲嘉宾费用</w:t>
            </w:r>
            <w:r>
              <w:rPr>
                <w:rFonts w:hint="eastAsia"/>
                <w:color w:val="000000"/>
                <w:sz w:val="18"/>
                <w:szCs w:val="18"/>
              </w:rPr>
              <w:t>6.43</w:t>
            </w:r>
            <w:r>
              <w:rPr>
                <w:rFonts w:hint="eastAsia"/>
                <w:color w:val="000000"/>
                <w:sz w:val="18"/>
                <w:szCs w:val="18"/>
              </w:rPr>
              <w:t>万元。会议资料费</w:t>
            </w:r>
            <w:r>
              <w:rPr>
                <w:rFonts w:hint="eastAsia"/>
                <w:color w:val="000000"/>
                <w:sz w:val="18"/>
                <w:szCs w:val="18"/>
              </w:rPr>
              <w:t>1.3</w:t>
            </w:r>
            <w:r>
              <w:rPr>
                <w:rFonts w:hint="eastAsia"/>
                <w:color w:val="000000"/>
                <w:sz w:val="18"/>
                <w:szCs w:val="18"/>
              </w:rPr>
              <w:t>万元。</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组织企业完成</w:t>
            </w:r>
            <w:r>
              <w:rPr>
                <w:rFonts w:hint="eastAsia"/>
                <w:color w:val="000000"/>
                <w:sz w:val="18"/>
                <w:szCs w:val="18"/>
              </w:rPr>
              <w:t>27</w:t>
            </w:r>
            <w:r>
              <w:rPr>
                <w:rFonts w:hint="eastAsia"/>
                <w:color w:val="000000"/>
                <w:sz w:val="18"/>
                <w:szCs w:val="18"/>
              </w:rPr>
              <w:t>标准申报工作，建立钒钛标准信息库。论坛签约口腔用钛及钛合金耗材项目、高端钛合金熔炼及精密铸造项目等</w:t>
            </w:r>
            <w:r>
              <w:rPr>
                <w:rFonts w:hint="eastAsia"/>
                <w:color w:val="000000"/>
                <w:sz w:val="18"/>
                <w:szCs w:val="18"/>
              </w:rPr>
              <w:t>7</w:t>
            </w:r>
            <w:r>
              <w:rPr>
                <w:rFonts w:hint="eastAsia"/>
                <w:color w:val="000000"/>
                <w:sz w:val="18"/>
                <w:szCs w:val="18"/>
              </w:rPr>
              <w:t>个钒钛产业类项目，总投金额</w:t>
            </w:r>
            <w:r>
              <w:rPr>
                <w:rFonts w:hint="eastAsia"/>
                <w:color w:val="000000"/>
                <w:sz w:val="18"/>
                <w:szCs w:val="18"/>
              </w:rPr>
              <w:t>34.328</w:t>
            </w:r>
            <w:r>
              <w:rPr>
                <w:rFonts w:hint="eastAsia"/>
                <w:color w:val="000000"/>
                <w:sz w:val="18"/>
                <w:szCs w:val="18"/>
              </w:rPr>
              <w:t>亿元</w:t>
            </w:r>
          </w:p>
        </w:tc>
      </w:tr>
      <w:tr w:rsidR="00D85F58">
        <w:trPr>
          <w:trHeight w:val="480"/>
        </w:trPr>
        <w:tc>
          <w:tcPr>
            <w:tcW w:w="959"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效益</w:t>
            </w:r>
            <w:r>
              <w:rPr>
                <w:rFonts w:asciiTheme="minorEastAsia" w:eastAsiaTheme="minorEastAsia" w:hAnsiTheme="minorEastAsia" w:cs="仿宋_GB2312" w:hint="eastAsia"/>
                <w:kern w:val="0"/>
                <w:sz w:val="18"/>
                <w:szCs w:val="18"/>
              </w:rPr>
              <w:br/>
              <w:t>指标</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经济效益  指标</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全国钒钛磁铁矿综合利用标准化技术委员会正常运行。促进招商引资，项目落地。</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为企业提供标准相关技术服务，使企业减少运行成本，提供技术水平。论坛签约口腔用钛及钛合金耗材项目、高端钛合金熔炼及精密铸造项目等</w:t>
            </w:r>
            <w:r>
              <w:rPr>
                <w:rFonts w:hint="eastAsia"/>
                <w:color w:val="000000"/>
                <w:sz w:val="18"/>
                <w:szCs w:val="18"/>
              </w:rPr>
              <w:t>7</w:t>
            </w:r>
            <w:r>
              <w:rPr>
                <w:rFonts w:hint="eastAsia"/>
                <w:color w:val="000000"/>
                <w:sz w:val="18"/>
                <w:szCs w:val="18"/>
              </w:rPr>
              <w:t>个钒钛产业类项目，总投金额</w:t>
            </w:r>
            <w:r>
              <w:rPr>
                <w:rFonts w:hint="eastAsia"/>
                <w:color w:val="000000"/>
                <w:sz w:val="18"/>
                <w:szCs w:val="18"/>
              </w:rPr>
              <w:t>34.328</w:t>
            </w:r>
            <w:r>
              <w:rPr>
                <w:rFonts w:hint="eastAsia"/>
                <w:color w:val="000000"/>
                <w:sz w:val="18"/>
                <w:szCs w:val="18"/>
              </w:rPr>
              <w:t>亿元。</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组织企业完成</w:t>
            </w:r>
            <w:r>
              <w:rPr>
                <w:rFonts w:hint="eastAsia"/>
                <w:color w:val="000000"/>
                <w:sz w:val="18"/>
                <w:szCs w:val="18"/>
              </w:rPr>
              <w:t>27</w:t>
            </w:r>
            <w:r>
              <w:rPr>
                <w:rFonts w:hint="eastAsia"/>
                <w:color w:val="000000"/>
                <w:sz w:val="18"/>
                <w:szCs w:val="18"/>
              </w:rPr>
              <w:t>标准申报工作，建立钒钛标准信息库。论坛签约口腔用钛及钛合金耗材项目、高端钛合金熔炼及精密铸造项目等</w:t>
            </w:r>
            <w:r>
              <w:rPr>
                <w:rFonts w:hint="eastAsia"/>
                <w:color w:val="000000"/>
                <w:sz w:val="18"/>
                <w:szCs w:val="18"/>
              </w:rPr>
              <w:t>7</w:t>
            </w:r>
            <w:r>
              <w:rPr>
                <w:rFonts w:hint="eastAsia"/>
                <w:color w:val="000000"/>
                <w:sz w:val="18"/>
                <w:szCs w:val="18"/>
              </w:rPr>
              <w:t>个钒钛产业类项目，总投金额</w:t>
            </w:r>
            <w:r>
              <w:rPr>
                <w:rFonts w:hint="eastAsia"/>
                <w:color w:val="000000"/>
                <w:sz w:val="18"/>
                <w:szCs w:val="18"/>
              </w:rPr>
              <w:t>34.328</w:t>
            </w:r>
            <w:r>
              <w:rPr>
                <w:rFonts w:hint="eastAsia"/>
                <w:color w:val="000000"/>
                <w:sz w:val="18"/>
                <w:szCs w:val="18"/>
              </w:rPr>
              <w:t>亿元。</w:t>
            </w:r>
          </w:p>
        </w:tc>
      </w:tr>
      <w:tr w:rsidR="00D85F58">
        <w:trPr>
          <w:trHeight w:val="480"/>
        </w:trPr>
        <w:tc>
          <w:tcPr>
            <w:tcW w:w="959"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社会效益  指标</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全国钒钛磁铁矿综合利用标准化技术委员会正常运行。召开中国攀西钒钛论坛。</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扩大全国钒钛磁铁矿综合利用标准化技术委员会影响力和权威性，逐步占领钒钛领域标准制修订主导权。</w:t>
            </w:r>
            <w:r>
              <w:rPr>
                <w:rFonts w:hint="eastAsia"/>
                <w:color w:val="000000"/>
                <w:sz w:val="18"/>
                <w:szCs w:val="18"/>
              </w:rPr>
              <w:t>2020</w:t>
            </w:r>
            <w:r>
              <w:rPr>
                <w:rFonts w:hint="eastAsia"/>
                <w:color w:val="000000"/>
                <w:sz w:val="18"/>
                <w:szCs w:val="18"/>
              </w:rPr>
              <w:t>年</w:t>
            </w:r>
            <w:r>
              <w:rPr>
                <w:rFonts w:hint="eastAsia"/>
                <w:color w:val="000000"/>
                <w:sz w:val="18"/>
                <w:szCs w:val="18"/>
              </w:rPr>
              <w:t>11</w:t>
            </w:r>
            <w:r>
              <w:rPr>
                <w:rFonts w:hint="eastAsia"/>
                <w:color w:val="000000"/>
                <w:sz w:val="18"/>
                <w:szCs w:val="18"/>
              </w:rPr>
              <w:t>月</w:t>
            </w:r>
            <w:r>
              <w:rPr>
                <w:rFonts w:hint="eastAsia"/>
                <w:color w:val="000000"/>
                <w:sz w:val="18"/>
                <w:szCs w:val="18"/>
              </w:rPr>
              <w:t>4</w:t>
            </w:r>
            <w:r>
              <w:rPr>
                <w:rFonts w:hint="eastAsia"/>
                <w:color w:val="000000"/>
                <w:sz w:val="18"/>
                <w:szCs w:val="18"/>
              </w:rPr>
              <w:t>日</w:t>
            </w:r>
            <w:r>
              <w:rPr>
                <w:rFonts w:hint="eastAsia"/>
                <w:color w:val="000000"/>
                <w:sz w:val="18"/>
                <w:szCs w:val="18"/>
              </w:rPr>
              <w:t>-6</w:t>
            </w:r>
            <w:r>
              <w:rPr>
                <w:rFonts w:hint="eastAsia"/>
                <w:color w:val="000000"/>
                <w:sz w:val="18"/>
                <w:szCs w:val="18"/>
              </w:rPr>
              <w:t>日顺利召开</w:t>
            </w:r>
            <w:r>
              <w:rPr>
                <w:rFonts w:hint="eastAsia"/>
                <w:color w:val="000000"/>
                <w:sz w:val="18"/>
                <w:szCs w:val="18"/>
              </w:rPr>
              <w:t>2020</w:t>
            </w:r>
            <w:r>
              <w:rPr>
                <w:rFonts w:hint="eastAsia"/>
                <w:color w:val="000000"/>
                <w:sz w:val="18"/>
                <w:szCs w:val="18"/>
              </w:rPr>
              <w:t>中国•攀西钒钛论坛，</w:t>
            </w:r>
            <w:r>
              <w:rPr>
                <w:rFonts w:hint="eastAsia"/>
                <w:color w:val="000000"/>
                <w:sz w:val="18"/>
                <w:szCs w:val="18"/>
              </w:rPr>
              <w:lastRenderedPageBreak/>
              <w:t>并取得了较好的社会影响，极大地提升了我市的社会形象和业界影响力。</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lastRenderedPageBreak/>
              <w:t>发布标准</w:t>
            </w:r>
            <w:r>
              <w:rPr>
                <w:rFonts w:hint="eastAsia"/>
                <w:color w:val="000000"/>
                <w:sz w:val="18"/>
                <w:szCs w:val="18"/>
              </w:rPr>
              <w:t>5</w:t>
            </w:r>
            <w:r>
              <w:rPr>
                <w:rFonts w:hint="eastAsia"/>
                <w:color w:val="000000"/>
                <w:sz w:val="18"/>
                <w:szCs w:val="18"/>
              </w:rPr>
              <w:t>项，立项</w:t>
            </w:r>
            <w:r>
              <w:rPr>
                <w:rFonts w:hint="eastAsia"/>
                <w:color w:val="000000"/>
                <w:sz w:val="18"/>
                <w:szCs w:val="18"/>
              </w:rPr>
              <w:t>14</w:t>
            </w:r>
            <w:r>
              <w:rPr>
                <w:rFonts w:hint="eastAsia"/>
                <w:color w:val="000000"/>
                <w:sz w:val="18"/>
                <w:szCs w:val="18"/>
              </w:rPr>
              <w:t>项。</w:t>
            </w:r>
            <w:r>
              <w:rPr>
                <w:rFonts w:hint="eastAsia"/>
                <w:color w:val="000000"/>
                <w:sz w:val="18"/>
                <w:szCs w:val="18"/>
              </w:rPr>
              <w:t>2020</w:t>
            </w:r>
            <w:r>
              <w:rPr>
                <w:rFonts w:hint="eastAsia"/>
                <w:color w:val="000000"/>
                <w:sz w:val="18"/>
                <w:szCs w:val="18"/>
              </w:rPr>
              <w:t>年</w:t>
            </w:r>
            <w:r>
              <w:rPr>
                <w:rFonts w:hint="eastAsia"/>
                <w:color w:val="000000"/>
                <w:sz w:val="18"/>
                <w:szCs w:val="18"/>
              </w:rPr>
              <w:t>11</w:t>
            </w:r>
            <w:r>
              <w:rPr>
                <w:rFonts w:hint="eastAsia"/>
                <w:color w:val="000000"/>
                <w:sz w:val="18"/>
                <w:szCs w:val="18"/>
              </w:rPr>
              <w:t>月</w:t>
            </w:r>
            <w:r>
              <w:rPr>
                <w:rFonts w:hint="eastAsia"/>
                <w:color w:val="000000"/>
                <w:sz w:val="18"/>
                <w:szCs w:val="18"/>
              </w:rPr>
              <w:t>4</w:t>
            </w:r>
            <w:r>
              <w:rPr>
                <w:rFonts w:hint="eastAsia"/>
                <w:color w:val="000000"/>
                <w:sz w:val="18"/>
                <w:szCs w:val="18"/>
              </w:rPr>
              <w:t>日</w:t>
            </w:r>
            <w:r>
              <w:rPr>
                <w:rFonts w:hint="eastAsia"/>
                <w:color w:val="000000"/>
                <w:sz w:val="18"/>
                <w:szCs w:val="18"/>
              </w:rPr>
              <w:t>-6</w:t>
            </w:r>
            <w:r>
              <w:rPr>
                <w:rFonts w:hint="eastAsia"/>
                <w:color w:val="000000"/>
                <w:sz w:val="18"/>
                <w:szCs w:val="18"/>
              </w:rPr>
              <w:t>日顺利召开</w:t>
            </w:r>
            <w:r>
              <w:rPr>
                <w:rFonts w:hint="eastAsia"/>
                <w:color w:val="000000"/>
                <w:sz w:val="18"/>
                <w:szCs w:val="18"/>
              </w:rPr>
              <w:t>2020</w:t>
            </w:r>
            <w:r>
              <w:rPr>
                <w:rFonts w:hint="eastAsia"/>
                <w:color w:val="000000"/>
                <w:sz w:val="18"/>
                <w:szCs w:val="18"/>
              </w:rPr>
              <w:t>中国•攀西钒钛论坛，并取得了较好的社会影响，极大地提升了我市的社会形象和业界影响力。</w:t>
            </w:r>
          </w:p>
        </w:tc>
      </w:tr>
      <w:tr w:rsidR="00D85F58">
        <w:trPr>
          <w:trHeight w:val="577"/>
        </w:trPr>
        <w:tc>
          <w:tcPr>
            <w:tcW w:w="959"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ind w:leftChars="87" w:left="363" w:hangingChars="100" w:hanging="180"/>
              <w:jc w:val="left"/>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生态效益  指标</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全国钒钛磁铁矿综合利用标准化技术委员会正常运行。</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为企业及相关人员提供全方位的标准技术服务。</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为企业及相关人员提供全方位的标准技术服务。</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r>
      <w:tr w:rsidR="00D85F58">
        <w:trPr>
          <w:trHeight w:val="480"/>
        </w:trPr>
        <w:tc>
          <w:tcPr>
            <w:tcW w:w="959"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可持续影响 指标</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全国钒钛磁铁矿综合利用标准化技术委员会正常运行。定期召开中国攀西钒钛论坛。</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持续为企业及相关人员提供全方位的标准技术服务。打造集技术、市场、行业对话、政策研制一体的品牌论坛，推动攀西钒钛资源开发，扩大全国钒钛磁铁矿综合利用标准化技术委员会影响力和权威性。</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持续为企业及相关人员提供全方位的标准技术服务。打造集技术、市场、行业对话、政策研制一体的品牌论坛，推动攀西钒钛资源开发，扩大全国钒钛磁铁矿综合利用标准化技术委员会影响力和权威性。</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r>
      <w:tr w:rsidR="00D85F58">
        <w:trPr>
          <w:trHeight w:val="530"/>
        </w:trPr>
        <w:tc>
          <w:tcPr>
            <w:tcW w:w="959" w:type="dxa"/>
            <w:vMerge/>
            <w:tcBorders>
              <w:left w:val="single" w:sz="4" w:space="0" w:color="000000"/>
              <w:bottom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满意</w:t>
            </w:r>
            <w:r>
              <w:rPr>
                <w:rFonts w:asciiTheme="minorEastAsia" w:eastAsiaTheme="minorEastAsia" w:hAnsiTheme="minorEastAsia" w:cs="仿宋_GB2312" w:hint="eastAsia"/>
                <w:kern w:val="0"/>
                <w:sz w:val="18"/>
                <w:szCs w:val="18"/>
              </w:rPr>
              <w:br/>
              <w:t>度指标</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kern w:val="0"/>
                <w:sz w:val="18"/>
                <w:szCs w:val="18"/>
              </w:rPr>
            </w:pPr>
            <w:r>
              <w:rPr>
                <w:rFonts w:asciiTheme="minorEastAsia" w:eastAsiaTheme="minorEastAsia" w:hAnsiTheme="minorEastAsia" w:cs="仿宋_GB2312" w:hint="eastAsia"/>
                <w:kern w:val="0"/>
                <w:sz w:val="18"/>
                <w:szCs w:val="18"/>
              </w:rPr>
              <w:t>满意度</w:t>
            </w:r>
          </w:p>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指标</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全国钒钛磁铁矿综合利用标准化技术委员会正常运行。为企业及相关人员提供一个交流合作的平台，促进我市钒钛产业的发展。</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为企业及相关人员提供全方位的标准技术服务。</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为企业及相关人员提供全方位的标准技术服务。为企业及相关人员提供一个交流合作的平台，促进我市钒钛产业的发展。</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r>
    </w:tbl>
    <w:p w:rsidR="00D85F58" w:rsidRDefault="00D85F58">
      <w:pPr>
        <w:spacing w:line="600" w:lineRule="exact"/>
        <w:jc w:val="center"/>
        <w:outlineLvl w:val="0"/>
        <w:rPr>
          <w:rFonts w:ascii="黑体" w:eastAsia="黑体" w:hAnsi="黑体"/>
          <w:sz w:val="44"/>
          <w:szCs w:val="44"/>
        </w:rPr>
      </w:pPr>
    </w:p>
    <w:p w:rsidR="00D85F58" w:rsidRDefault="00DD1531">
      <w:pPr>
        <w:spacing w:line="640" w:lineRule="exact"/>
        <w:jc w:val="left"/>
        <w:outlineLvl w:val="0"/>
        <w:rPr>
          <w:rFonts w:ascii="仿宋_GB2312" w:eastAsia="仿宋_GB2312" w:hAnsi="仿宋_GB2312" w:cs="仿宋_GB2312"/>
          <w:sz w:val="32"/>
          <w:szCs w:val="32"/>
        </w:rPr>
      </w:pPr>
      <w:r>
        <w:rPr>
          <w:rFonts w:ascii="黑体" w:eastAsia="黑体" w:hAnsi="黑体" w:cs="黑体" w:hint="eastAsia"/>
          <w:sz w:val="32"/>
          <w:szCs w:val="32"/>
        </w:rPr>
        <w:t>附表</w:t>
      </w:r>
      <w:r>
        <w:rPr>
          <w:rFonts w:ascii="黑体" w:eastAsia="黑体" w:hAnsi="黑体" w:cs="黑体"/>
          <w:sz w:val="32"/>
          <w:szCs w:val="32"/>
        </w:rPr>
        <w:t>3</w:t>
      </w:r>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959"/>
        <w:gridCol w:w="709"/>
        <w:gridCol w:w="850"/>
        <w:gridCol w:w="677"/>
        <w:gridCol w:w="1675"/>
        <w:gridCol w:w="1050"/>
        <w:gridCol w:w="1422"/>
        <w:gridCol w:w="704"/>
        <w:gridCol w:w="1765"/>
      </w:tblGrid>
      <w:tr w:rsidR="00D85F58">
        <w:trPr>
          <w:trHeight w:val="675"/>
        </w:trPr>
        <w:tc>
          <w:tcPr>
            <w:tcW w:w="9811" w:type="dxa"/>
            <w:gridSpan w:val="9"/>
            <w:tcBorders>
              <w:top w:val="nil"/>
              <w:left w:val="nil"/>
              <w:bottom w:val="nil"/>
              <w:right w:val="nil"/>
            </w:tcBorders>
            <w:shd w:val="clear" w:color="auto" w:fill="auto"/>
            <w:vAlign w:val="center"/>
          </w:tcPr>
          <w:p w:rsidR="00D85F58" w:rsidRDefault="00DD1531">
            <w:pPr>
              <w:widowControl/>
              <w:spacing w:line="640" w:lineRule="exact"/>
              <w:ind w:firstLineChars="345" w:firstLine="1108"/>
              <w:textAlignment w:val="center"/>
              <w:rPr>
                <w:rFonts w:ascii="宋体" w:hAnsi="宋体" w:cs="宋体"/>
                <w:b/>
                <w:sz w:val="32"/>
                <w:szCs w:val="32"/>
              </w:rPr>
            </w:pPr>
            <w:r>
              <w:rPr>
                <w:rFonts w:ascii="宋体" w:hAnsi="宋体" w:cs="宋体" w:hint="eastAsia"/>
                <w:b/>
                <w:sz w:val="32"/>
                <w:szCs w:val="32"/>
              </w:rPr>
              <w:t>2021年攀西钒钛检验检测院能力建设预算项目绩效目标自评</w:t>
            </w:r>
          </w:p>
        </w:tc>
      </w:tr>
      <w:tr w:rsidR="00D85F58">
        <w:trPr>
          <w:trHeight w:val="254"/>
        </w:trPr>
        <w:tc>
          <w:tcPr>
            <w:tcW w:w="3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主管部门及代码</w:t>
            </w:r>
          </w:p>
        </w:tc>
        <w:tc>
          <w:tcPr>
            <w:tcW w:w="27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rPr>
                <w:rFonts w:ascii="宋体" w:hAnsi="宋体" w:cs="宋体"/>
                <w:color w:val="000000"/>
                <w:sz w:val="18"/>
                <w:szCs w:val="18"/>
              </w:rPr>
            </w:pPr>
            <w:r>
              <w:rPr>
                <w:rFonts w:hint="eastAsia"/>
                <w:color w:val="000000"/>
                <w:sz w:val="18"/>
                <w:szCs w:val="18"/>
              </w:rPr>
              <w:t>市市场监督管理局</w:t>
            </w:r>
            <w:r>
              <w:rPr>
                <w:rFonts w:hint="eastAsia"/>
                <w:color w:val="000000"/>
                <w:sz w:val="18"/>
                <w:szCs w:val="18"/>
              </w:rPr>
              <w:t>1</w:t>
            </w:r>
            <w:r>
              <w:rPr>
                <w:color w:val="000000"/>
                <w:sz w:val="18"/>
                <w:szCs w:val="18"/>
              </w:rPr>
              <w:t>42</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实施单位</w:t>
            </w:r>
          </w:p>
        </w:tc>
        <w:tc>
          <w:tcPr>
            <w:tcW w:w="24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jc w:val="center"/>
              <w:rPr>
                <w:rFonts w:ascii="宋体" w:hAnsi="宋体" w:cs="宋体"/>
                <w:color w:val="000000"/>
                <w:sz w:val="18"/>
                <w:szCs w:val="18"/>
              </w:rPr>
            </w:pPr>
            <w:r>
              <w:rPr>
                <w:rFonts w:hint="eastAsia"/>
                <w:color w:val="000000"/>
                <w:sz w:val="18"/>
                <w:szCs w:val="18"/>
              </w:rPr>
              <w:t>攀西钒钛检验检测院</w:t>
            </w:r>
          </w:p>
        </w:tc>
      </w:tr>
      <w:tr w:rsidR="00D85F58">
        <w:trPr>
          <w:trHeight w:val="341"/>
        </w:trPr>
        <w:tc>
          <w:tcPr>
            <w:tcW w:w="319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项目预算</w:t>
            </w:r>
            <w:r>
              <w:rPr>
                <w:rFonts w:asciiTheme="minorEastAsia" w:eastAsiaTheme="minorEastAsia" w:hAnsiTheme="minorEastAsia" w:cs="宋体" w:hint="eastAsia"/>
                <w:kern w:val="0"/>
                <w:sz w:val="18"/>
                <w:szCs w:val="18"/>
              </w:rPr>
              <w:br/>
              <w:t>执行情况</w:t>
            </w:r>
            <w:r>
              <w:rPr>
                <w:rFonts w:asciiTheme="minorEastAsia" w:eastAsiaTheme="minorEastAsia" w:hAnsiTheme="minorEastAsia" w:cs="宋体" w:hint="eastAsia"/>
                <w:kern w:val="0"/>
                <w:sz w:val="18"/>
                <w:szCs w:val="18"/>
              </w:rPr>
              <w:br/>
              <w:t>（万元）</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 xml:space="preserve"> 预算数：</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389.54</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 xml:space="preserve"> 执行数：</w:t>
            </w:r>
          </w:p>
        </w:tc>
        <w:tc>
          <w:tcPr>
            <w:tcW w:w="24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righ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389.54</w:t>
            </w:r>
          </w:p>
        </w:tc>
      </w:tr>
      <w:tr w:rsidR="00D85F58">
        <w:trPr>
          <w:trHeight w:val="555"/>
        </w:trPr>
        <w:tc>
          <w:tcPr>
            <w:tcW w:w="3195"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宋体"/>
                <w:sz w:val="18"/>
                <w:szCs w:val="18"/>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其中：</w:t>
            </w:r>
          </w:p>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财政拨款</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389.54</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其中：</w:t>
            </w:r>
          </w:p>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财政拨款</w:t>
            </w:r>
          </w:p>
        </w:tc>
        <w:tc>
          <w:tcPr>
            <w:tcW w:w="24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389.54</w:t>
            </w:r>
          </w:p>
        </w:tc>
      </w:tr>
      <w:tr w:rsidR="00D85F58">
        <w:trPr>
          <w:trHeight w:val="341"/>
        </w:trPr>
        <w:tc>
          <w:tcPr>
            <w:tcW w:w="3195"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宋体"/>
                <w:sz w:val="18"/>
                <w:szCs w:val="18"/>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其他资金</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85F58">
            <w:pPr>
              <w:widowControl/>
              <w:spacing w:line="320" w:lineRule="exact"/>
              <w:jc w:val="left"/>
              <w:textAlignment w:val="center"/>
              <w:rPr>
                <w:rFonts w:asciiTheme="minorEastAsia" w:eastAsiaTheme="minorEastAsia" w:hAnsiTheme="minorEastAsia" w:cs="宋体"/>
                <w:sz w:val="18"/>
                <w:szCs w:val="18"/>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其他资金</w:t>
            </w:r>
          </w:p>
        </w:tc>
        <w:tc>
          <w:tcPr>
            <w:tcW w:w="24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85F58">
            <w:pPr>
              <w:widowControl/>
              <w:spacing w:line="320" w:lineRule="exact"/>
              <w:jc w:val="center"/>
              <w:textAlignment w:val="center"/>
              <w:rPr>
                <w:rFonts w:asciiTheme="minorEastAsia" w:eastAsiaTheme="minorEastAsia" w:hAnsiTheme="minorEastAsia" w:cs="宋体"/>
                <w:sz w:val="18"/>
                <w:szCs w:val="18"/>
              </w:rPr>
            </w:pPr>
          </w:p>
        </w:tc>
      </w:tr>
      <w:tr w:rsidR="00D85F58">
        <w:trPr>
          <w:trHeight w:val="217"/>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年度总体目标</w:t>
            </w:r>
          </w:p>
          <w:p w:rsidR="00D85F58" w:rsidRDefault="00DD1531">
            <w:pPr>
              <w:widowControl/>
              <w:spacing w:line="320" w:lineRule="exact"/>
              <w:jc w:val="center"/>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完成情况</w:t>
            </w:r>
          </w:p>
        </w:tc>
        <w:tc>
          <w:tcPr>
            <w:tcW w:w="49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预期目标</w:t>
            </w:r>
          </w:p>
        </w:tc>
        <w:tc>
          <w:tcPr>
            <w:tcW w:w="38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目标实际完成情况</w:t>
            </w:r>
          </w:p>
        </w:tc>
      </w:tr>
      <w:tr w:rsidR="00D85F58">
        <w:trPr>
          <w:trHeight w:val="797"/>
        </w:trPr>
        <w:tc>
          <w:tcPr>
            <w:tcW w:w="9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宋体"/>
                <w:sz w:val="18"/>
                <w:szCs w:val="18"/>
              </w:rPr>
            </w:pPr>
          </w:p>
        </w:tc>
        <w:tc>
          <w:tcPr>
            <w:tcW w:w="4961" w:type="dxa"/>
            <w:gridSpan w:val="5"/>
            <w:tcBorders>
              <w:top w:val="single" w:sz="4" w:space="0" w:color="000000"/>
              <w:left w:val="single" w:sz="4" w:space="0" w:color="000000"/>
              <w:bottom w:val="single" w:sz="4" w:space="0" w:color="000000"/>
              <w:right w:val="single" w:sz="4" w:space="0" w:color="000000"/>
            </w:tcBorders>
            <w:shd w:val="clear" w:color="auto" w:fill="auto"/>
          </w:tcPr>
          <w:p w:rsidR="00D85F58" w:rsidRDefault="00DD1531">
            <w:pPr>
              <w:jc w:val="left"/>
              <w:rPr>
                <w:rFonts w:ascii="宋体" w:hAnsi="宋体" w:cs="宋体"/>
                <w:color w:val="000000"/>
                <w:sz w:val="18"/>
                <w:szCs w:val="18"/>
              </w:rPr>
            </w:pPr>
            <w:r>
              <w:rPr>
                <w:rFonts w:hint="eastAsia"/>
                <w:color w:val="000000"/>
                <w:sz w:val="18"/>
                <w:szCs w:val="18"/>
              </w:rPr>
              <w:br/>
            </w:r>
            <w:r>
              <w:rPr>
                <w:rFonts w:hint="eastAsia"/>
                <w:color w:val="000000"/>
                <w:sz w:val="18"/>
                <w:szCs w:val="18"/>
              </w:rPr>
              <w:t>提高攀西院检验检测能力购置</w:t>
            </w:r>
            <w:r>
              <w:rPr>
                <w:rFonts w:hint="eastAsia"/>
                <w:color w:val="000000"/>
                <w:sz w:val="18"/>
                <w:szCs w:val="18"/>
              </w:rPr>
              <w:t>41</w:t>
            </w:r>
            <w:r>
              <w:rPr>
                <w:rFonts w:hint="eastAsia"/>
                <w:color w:val="000000"/>
                <w:sz w:val="18"/>
                <w:szCs w:val="18"/>
              </w:rPr>
              <w:t>台（套）设备，所需要经费</w:t>
            </w:r>
            <w:r>
              <w:rPr>
                <w:rFonts w:hint="eastAsia"/>
                <w:color w:val="000000"/>
                <w:sz w:val="18"/>
                <w:szCs w:val="18"/>
              </w:rPr>
              <w:t>780</w:t>
            </w:r>
            <w:r>
              <w:rPr>
                <w:rFonts w:hint="eastAsia"/>
                <w:color w:val="000000"/>
                <w:sz w:val="18"/>
                <w:szCs w:val="18"/>
              </w:rPr>
              <w:t>万元。</w:t>
            </w:r>
          </w:p>
          <w:p w:rsidR="00D85F58" w:rsidRDefault="00D85F58">
            <w:pPr>
              <w:widowControl/>
              <w:spacing w:line="320" w:lineRule="exact"/>
              <w:jc w:val="left"/>
              <w:textAlignment w:val="top"/>
              <w:rPr>
                <w:rFonts w:asciiTheme="minorEastAsia" w:eastAsiaTheme="minorEastAsia" w:hAnsiTheme="minorEastAsia" w:cs="宋体"/>
                <w:sz w:val="18"/>
                <w:szCs w:val="18"/>
              </w:rPr>
            </w:pPr>
          </w:p>
        </w:tc>
        <w:tc>
          <w:tcPr>
            <w:tcW w:w="3891" w:type="dxa"/>
            <w:gridSpan w:val="3"/>
            <w:tcBorders>
              <w:top w:val="single" w:sz="4" w:space="0" w:color="000000"/>
              <w:left w:val="single" w:sz="4" w:space="0" w:color="000000"/>
              <w:bottom w:val="single" w:sz="4" w:space="0" w:color="000000"/>
              <w:right w:val="single" w:sz="4" w:space="0" w:color="000000"/>
            </w:tcBorders>
            <w:shd w:val="clear" w:color="auto" w:fill="auto"/>
          </w:tcPr>
          <w:p w:rsidR="00D85F58" w:rsidRDefault="00DD1531">
            <w:pPr>
              <w:jc w:val="left"/>
              <w:rPr>
                <w:rFonts w:ascii="宋体" w:hAnsi="宋体" w:cs="宋体"/>
                <w:color w:val="000000"/>
                <w:sz w:val="18"/>
                <w:szCs w:val="18"/>
              </w:rPr>
            </w:pPr>
            <w:r>
              <w:rPr>
                <w:rFonts w:hint="eastAsia"/>
                <w:color w:val="000000"/>
                <w:sz w:val="18"/>
                <w:szCs w:val="18"/>
              </w:rPr>
              <w:t>本项目的完成将为攀西钒钛检验检测院配备实用和先进的功能实验室、先进的技术设备，将有效提高攀枝花市食品与药品安全检测能力，提升攀枝花市食品药品安全水平，化解和降低食品药品安全风险，保障广大消费者的合法权益，保障人民群众健康，维护社会安定和谐，</w:t>
            </w:r>
            <w:r>
              <w:rPr>
                <w:rFonts w:hint="eastAsia"/>
                <w:color w:val="000000"/>
                <w:sz w:val="18"/>
                <w:szCs w:val="18"/>
              </w:rPr>
              <w:lastRenderedPageBreak/>
              <w:t>符合攀枝花市食品药品安全检测工作现阶段及今后长远发展的需求。为我市钒钛产业发展、市政府打造我省西部经济增长极和“两城”建设的标准、质量、科研、检验检测等方面提供了强有力的技术支撑。</w:t>
            </w:r>
          </w:p>
        </w:tc>
      </w:tr>
      <w:tr w:rsidR="00D85F58">
        <w:trPr>
          <w:trHeight w:val="693"/>
        </w:trPr>
        <w:tc>
          <w:tcPr>
            <w:tcW w:w="959" w:type="dxa"/>
            <w:vMerge w:val="restart"/>
            <w:tcBorders>
              <w:top w:val="single" w:sz="4" w:space="0" w:color="000000"/>
              <w:left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lastRenderedPageBreak/>
              <w:t>年度绩效指标完成情况</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仿宋_GB2312"/>
                <w:kern w:val="0"/>
                <w:sz w:val="18"/>
                <w:szCs w:val="18"/>
              </w:rPr>
            </w:pPr>
            <w:r>
              <w:rPr>
                <w:rFonts w:asciiTheme="minorEastAsia" w:eastAsiaTheme="minorEastAsia" w:hAnsiTheme="minorEastAsia" w:cs="仿宋_GB2312" w:hint="eastAsia"/>
                <w:kern w:val="0"/>
                <w:sz w:val="18"/>
                <w:szCs w:val="18"/>
              </w:rPr>
              <w:t>一级</w:t>
            </w:r>
          </w:p>
          <w:p w:rsidR="00D85F58" w:rsidRDefault="00DD1531">
            <w:pPr>
              <w:widowControl/>
              <w:spacing w:line="320" w:lineRule="exact"/>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指标</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仿宋_GB2312"/>
                <w:kern w:val="0"/>
                <w:sz w:val="18"/>
                <w:szCs w:val="18"/>
              </w:rPr>
            </w:pPr>
            <w:r>
              <w:rPr>
                <w:rFonts w:asciiTheme="minorEastAsia" w:eastAsiaTheme="minorEastAsia" w:hAnsiTheme="minorEastAsia" w:cs="仿宋_GB2312" w:hint="eastAsia"/>
                <w:kern w:val="0"/>
                <w:sz w:val="18"/>
                <w:szCs w:val="18"/>
              </w:rPr>
              <w:t>二级</w:t>
            </w:r>
          </w:p>
          <w:p w:rsidR="00D85F58" w:rsidRDefault="00DD1531">
            <w:pPr>
              <w:widowControl/>
              <w:spacing w:line="320" w:lineRule="exact"/>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指标</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仿宋_GB2312"/>
                <w:kern w:val="0"/>
                <w:sz w:val="18"/>
                <w:szCs w:val="18"/>
              </w:rPr>
            </w:pPr>
            <w:r>
              <w:rPr>
                <w:rFonts w:asciiTheme="minorEastAsia" w:eastAsiaTheme="minorEastAsia" w:hAnsiTheme="minorEastAsia" w:cs="仿宋_GB2312" w:hint="eastAsia"/>
                <w:kern w:val="0"/>
                <w:sz w:val="18"/>
                <w:szCs w:val="18"/>
              </w:rPr>
              <w:t>三级</w:t>
            </w:r>
          </w:p>
          <w:p w:rsidR="00D85F58" w:rsidRDefault="00DD1531">
            <w:pPr>
              <w:widowControl/>
              <w:spacing w:line="320" w:lineRule="exact"/>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指标</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预期指标值</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实际完成指标值</w:t>
            </w:r>
          </w:p>
        </w:tc>
      </w:tr>
      <w:tr w:rsidR="00D85F58">
        <w:trPr>
          <w:trHeight w:val="415"/>
        </w:trPr>
        <w:tc>
          <w:tcPr>
            <w:tcW w:w="959"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709" w:type="dxa"/>
            <w:vMerge w:val="restart"/>
            <w:tcBorders>
              <w:top w:val="single" w:sz="4" w:space="0" w:color="000000"/>
              <w:left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bottom"/>
              <w:rPr>
                <w:rFonts w:asciiTheme="minorEastAsia" w:eastAsiaTheme="minorEastAsia" w:hAnsiTheme="minorEastAsia" w:cs="仿宋_GB2312"/>
                <w:kern w:val="0"/>
                <w:sz w:val="18"/>
                <w:szCs w:val="18"/>
              </w:rPr>
            </w:pPr>
            <w:r>
              <w:rPr>
                <w:rFonts w:asciiTheme="minorEastAsia" w:eastAsiaTheme="minorEastAsia" w:hAnsiTheme="minorEastAsia" w:cs="仿宋_GB2312" w:hint="eastAsia"/>
                <w:kern w:val="0"/>
                <w:sz w:val="18"/>
                <w:szCs w:val="18"/>
              </w:rPr>
              <w:t>完成</w:t>
            </w:r>
          </w:p>
          <w:p w:rsidR="00D85F58" w:rsidRDefault="00DD1531">
            <w:pPr>
              <w:spacing w:line="320" w:lineRule="exact"/>
              <w:jc w:val="center"/>
              <w:textAlignment w:val="bottom"/>
              <w:rPr>
                <w:rFonts w:asciiTheme="minorEastAsia" w:eastAsiaTheme="minorEastAsia" w:hAnsiTheme="minorEastAsia" w:cs="仿宋_GB2312"/>
                <w:kern w:val="0"/>
                <w:sz w:val="18"/>
                <w:szCs w:val="18"/>
              </w:rPr>
            </w:pPr>
            <w:r>
              <w:rPr>
                <w:rFonts w:asciiTheme="minorEastAsia" w:eastAsiaTheme="minorEastAsia" w:hAnsiTheme="minorEastAsia" w:cs="仿宋_GB2312" w:hint="eastAsia"/>
                <w:kern w:val="0"/>
                <w:sz w:val="18"/>
                <w:szCs w:val="18"/>
              </w:rPr>
              <w:t>指标</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D85F58" w:rsidRDefault="00DD1531">
            <w:pPr>
              <w:spacing w:line="320" w:lineRule="exact"/>
              <w:jc w:val="center"/>
              <w:textAlignment w:val="bottom"/>
              <w:rPr>
                <w:rFonts w:asciiTheme="minorEastAsia" w:eastAsiaTheme="minorEastAsia" w:hAnsiTheme="minorEastAsia" w:cs="仿宋_GB2312"/>
                <w:kern w:val="0"/>
                <w:sz w:val="18"/>
                <w:szCs w:val="18"/>
              </w:rPr>
            </w:pPr>
            <w:r>
              <w:rPr>
                <w:rFonts w:asciiTheme="minorEastAsia" w:eastAsiaTheme="minorEastAsia" w:hAnsiTheme="minorEastAsia" w:cs="仿宋_GB2312" w:hint="eastAsia"/>
                <w:kern w:val="0"/>
                <w:sz w:val="18"/>
                <w:szCs w:val="18"/>
              </w:rPr>
              <w:t>数量指标</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指标</w:t>
            </w:r>
            <w:r>
              <w:rPr>
                <w:rFonts w:hint="eastAsia"/>
                <w:color w:val="000000"/>
                <w:sz w:val="18"/>
                <w:szCs w:val="18"/>
              </w:rPr>
              <w:t>1</w:t>
            </w:r>
            <w:r>
              <w:rPr>
                <w:rFonts w:hint="eastAsia"/>
                <w:color w:val="000000"/>
                <w:sz w:val="18"/>
                <w:szCs w:val="18"/>
              </w:rPr>
              <w:t>：采购高温电子万能试验机、无人机巡检系统、手持式合金光谱仪、工业胶片扫描仪、应力测试仪、汽车加载制动检验台检定装置、区间车速检测校准装置、活塞式压力计、万能工具显微镜、热线式风速计各</w:t>
            </w:r>
            <w:r>
              <w:rPr>
                <w:rFonts w:hint="eastAsia"/>
                <w:color w:val="000000"/>
                <w:sz w:val="18"/>
                <w:szCs w:val="18"/>
              </w:rPr>
              <w:t>1</w:t>
            </w:r>
            <w:r>
              <w:rPr>
                <w:rFonts w:hint="eastAsia"/>
                <w:color w:val="000000"/>
                <w:sz w:val="18"/>
                <w:szCs w:val="18"/>
              </w:rPr>
              <w:t>台，电磁超声波测厚仪、电梯门夹紧力检测仪各</w:t>
            </w:r>
            <w:r>
              <w:rPr>
                <w:rFonts w:hint="eastAsia"/>
                <w:color w:val="000000"/>
                <w:sz w:val="18"/>
                <w:szCs w:val="18"/>
              </w:rPr>
              <w:t>2</w:t>
            </w:r>
            <w:r>
              <w:rPr>
                <w:rFonts w:hint="eastAsia"/>
                <w:color w:val="000000"/>
                <w:sz w:val="18"/>
                <w:szCs w:val="18"/>
              </w:rPr>
              <w:t>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采购</w:t>
            </w:r>
            <w:r>
              <w:rPr>
                <w:rFonts w:hint="eastAsia"/>
                <w:color w:val="000000"/>
                <w:sz w:val="18"/>
                <w:szCs w:val="18"/>
              </w:rPr>
              <w:t>14</w:t>
            </w:r>
            <w:r>
              <w:rPr>
                <w:rFonts w:hint="eastAsia"/>
                <w:color w:val="000000"/>
                <w:sz w:val="18"/>
                <w:szCs w:val="18"/>
              </w:rPr>
              <w:t>台设备支付</w:t>
            </w:r>
            <w:r>
              <w:rPr>
                <w:rFonts w:hint="eastAsia"/>
                <w:color w:val="000000"/>
                <w:sz w:val="18"/>
                <w:szCs w:val="18"/>
              </w:rPr>
              <w:t>511.2</w:t>
            </w:r>
            <w:r>
              <w:rPr>
                <w:rFonts w:hint="eastAsia"/>
                <w:color w:val="000000"/>
                <w:sz w:val="18"/>
                <w:szCs w:val="18"/>
              </w:rPr>
              <w:t>万元</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按照政府采购合同，</w:t>
            </w:r>
            <w:r>
              <w:rPr>
                <w:rFonts w:hint="eastAsia"/>
                <w:color w:val="000000"/>
                <w:sz w:val="18"/>
                <w:szCs w:val="18"/>
              </w:rPr>
              <w:t>2021</w:t>
            </w:r>
            <w:r>
              <w:rPr>
                <w:rFonts w:hint="eastAsia"/>
                <w:color w:val="000000"/>
                <w:sz w:val="18"/>
                <w:szCs w:val="18"/>
              </w:rPr>
              <w:t>年先支付</w:t>
            </w:r>
            <w:r>
              <w:rPr>
                <w:rFonts w:hint="eastAsia"/>
                <w:color w:val="000000"/>
                <w:sz w:val="18"/>
                <w:szCs w:val="18"/>
              </w:rPr>
              <w:t>50%</w:t>
            </w:r>
            <w:r>
              <w:rPr>
                <w:rFonts w:hint="eastAsia"/>
                <w:color w:val="000000"/>
                <w:sz w:val="18"/>
                <w:szCs w:val="18"/>
              </w:rPr>
              <w:t>设备款（</w:t>
            </w:r>
            <w:r>
              <w:rPr>
                <w:rFonts w:hint="eastAsia"/>
                <w:color w:val="000000"/>
                <w:sz w:val="18"/>
                <w:szCs w:val="18"/>
              </w:rPr>
              <w:t>14</w:t>
            </w:r>
            <w:r>
              <w:rPr>
                <w:rFonts w:hint="eastAsia"/>
                <w:color w:val="000000"/>
                <w:sz w:val="18"/>
                <w:szCs w:val="18"/>
              </w:rPr>
              <w:t>台设备，共计</w:t>
            </w:r>
            <w:r>
              <w:rPr>
                <w:rFonts w:hint="eastAsia"/>
                <w:color w:val="000000"/>
                <w:sz w:val="18"/>
                <w:szCs w:val="18"/>
              </w:rPr>
              <w:t>255.6</w:t>
            </w:r>
            <w:r>
              <w:rPr>
                <w:rFonts w:hint="eastAsia"/>
                <w:color w:val="000000"/>
                <w:sz w:val="18"/>
                <w:szCs w:val="18"/>
              </w:rPr>
              <w:t>万元），供应商发货。</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r>
      <w:tr w:rsidR="00D85F58">
        <w:trPr>
          <w:trHeight w:val="415"/>
        </w:trPr>
        <w:tc>
          <w:tcPr>
            <w:tcW w:w="959"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709" w:type="dxa"/>
            <w:vMerge/>
            <w:tcBorders>
              <w:left w:val="single" w:sz="4" w:space="0" w:color="000000"/>
              <w:right w:val="single" w:sz="4" w:space="0" w:color="000000"/>
            </w:tcBorders>
            <w:shd w:val="clear" w:color="auto" w:fill="auto"/>
            <w:vAlign w:val="center"/>
          </w:tcPr>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850" w:type="dxa"/>
            <w:vMerge/>
            <w:tcBorders>
              <w:left w:val="single" w:sz="4" w:space="0" w:color="000000"/>
              <w:bottom w:val="single" w:sz="4" w:space="0" w:color="000000"/>
              <w:right w:val="single" w:sz="4" w:space="0" w:color="000000"/>
            </w:tcBorders>
            <w:shd w:val="clear" w:color="auto" w:fill="auto"/>
            <w:vAlign w:val="bottom"/>
          </w:tcPr>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指标</w:t>
            </w:r>
            <w:r>
              <w:rPr>
                <w:rFonts w:hint="eastAsia"/>
                <w:color w:val="000000"/>
                <w:sz w:val="18"/>
                <w:szCs w:val="18"/>
              </w:rPr>
              <w:t>2</w:t>
            </w:r>
            <w:r>
              <w:rPr>
                <w:rFonts w:hint="eastAsia"/>
                <w:color w:val="000000"/>
                <w:sz w:val="18"/>
                <w:szCs w:val="18"/>
              </w:rPr>
              <w:t>：采购酸度计、台式钻台、台式砂轮机、智能影像测量仪、自然通风老化试验箱、热失重试验装置（</w:t>
            </w:r>
            <w:r>
              <w:rPr>
                <w:rFonts w:hint="eastAsia"/>
                <w:color w:val="000000"/>
                <w:sz w:val="18"/>
                <w:szCs w:val="18"/>
              </w:rPr>
              <w:t>1</w:t>
            </w:r>
            <w:r>
              <w:rPr>
                <w:rFonts w:hint="eastAsia"/>
                <w:color w:val="000000"/>
                <w:sz w:val="18"/>
                <w:szCs w:val="18"/>
              </w:rPr>
              <w:t>）热失重试验装置（</w:t>
            </w:r>
            <w:r>
              <w:rPr>
                <w:rFonts w:hint="eastAsia"/>
                <w:color w:val="000000"/>
                <w:sz w:val="18"/>
                <w:szCs w:val="18"/>
              </w:rPr>
              <w:t>2</w:t>
            </w:r>
            <w:r>
              <w:rPr>
                <w:rFonts w:hint="eastAsia"/>
                <w:color w:val="000000"/>
                <w:sz w:val="18"/>
                <w:szCs w:val="18"/>
              </w:rPr>
              <w:t>）、抗开裂卷绕试验装置、热稳定性试验机、二三轮曲挠试验机静态曲挠试验机、特殊性弯曲试验机、恒温油浴、工频耐压机、恒温水浴、气体量热仪、液体量热仪、电子静水力学天平、绝缘靴</w:t>
            </w:r>
            <w:r>
              <w:rPr>
                <w:rFonts w:hint="eastAsia"/>
                <w:color w:val="000000"/>
                <w:sz w:val="18"/>
                <w:szCs w:val="18"/>
              </w:rPr>
              <w:t>(</w:t>
            </w:r>
            <w:r>
              <w:rPr>
                <w:rFonts w:hint="eastAsia"/>
                <w:color w:val="000000"/>
                <w:sz w:val="18"/>
                <w:szCs w:val="18"/>
              </w:rPr>
              <w:t>手套</w:t>
            </w:r>
            <w:r>
              <w:rPr>
                <w:rFonts w:hint="eastAsia"/>
                <w:color w:val="000000"/>
                <w:sz w:val="18"/>
                <w:szCs w:val="18"/>
              </w:rPr>
              <w:t>)</w:t>
            </w:r>
            <w:r>
              <w:rPr>
                <w:rFonts w:hint="eastAsia"/>
                <w:color w:val="000000"/>
                <w:sz w:val="18"/>
                <w:szCs w:val="18"/>
              </w:rPr>
              <w:t>耐压装置、起重机综合性能智能检测仪、便携式硬度仪、电梯安装质量分析仪、红外温度计校准装置、明渠流量计检定装置各</w:t>
            </w:r>
            <w:r>
              <w:rPr>
                <w:rFonts w:hint="eastAsia"/>
                <w:color w:val="000000"/>
                <w:sz w:val="18"/>
                <w:szCs w:val="18"/>
              </w:rPr>
              <w:t>1</w:t>
            </w:r>
            <w:r>
              <w:rPr>
                <w:rFonts w:hint="eastAsia"/>
                <w:color w:val="000000"/>
                <w:sz w:val="18"/>
                <w:szCs w:val="18"/>
              </w:rPr>
              <w:t>台，全数字智能超声波探伤仪、电梯层门变形检测仪各</w:t>
            </w:r>
            <w:r>
              <w:rPr>
                <w:rFonts w:hint="eastAsia"/>
                <w:color w:val="000000"/>
                <w:sz w:val="18"/>
                <w:szCs w:val="18"/>
              </w:rPr>
              <w:t>2</w:t>
            </w:r>
            <w:r>
              <w:rPr>
                <w:rFonts w:hint="eastAsia"/>
                <w:color w:val="000000"/>
                <w:sz w:val="18"/>
                <w:szCs w:val="18"/>
              </w:rPr>
              <w:t>台。</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采购</w:t>
            </w:r>
            <w:r>
              <w:rPr>
                <w:rFonts w:hint="eastAsia"/>
                <w:color w:val="000000"/>
                <w:sz w:val="18"/>
                <w:szCs w:val="18"/>
              </w:rPr>
              <w:t>27</w:t>
            </w:r>
            <w:r>
              <w:rPr>
                <w:rFonts w:hint="eastAsia"/>
                <w:color w:val="000000"/>
                <w:sz w:val="18"/>
                <w:szCs w:val="18"/>
              </w:rPr>
              <w:t>台设备，支付</w:t>
            </w:r>
            <w:r>
              <w:rPr>
                <w:rFonts w:hint="eastAsia"/>
                <w:color w:val="000000"/>
                <w:sz w:val="18"/>
                <w:szCs w:val="18"/>
              </w:rPr>
              <w:t>267.87</w:t>
            </w:r>
            <w:r>
              <w:rPr>
                <w:rFonts w:hint="eastAsia"/>
                <w:color w:val="000000"/>
                <w:sz w:val="18"/>
                <w:szCs w:val="18"/>
              </w:rPr>
              <w:t>万元</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按照政府采购合同，支付</w:t>
            </w:r>
            <w:r>
              <w:rPr>
                <w:rFonts w:hint="eastAsia"/>
                <w:color w:val="000000"/>
                <w:sz w:val="18"/>
                <w:szCs w:val="18"/>
              </w:rPr>
              <w:t>50%</w:t>
            </w:r>
            <w:r>
              <w:rPr>
                <w:rFonts w:hint="eastAsia"/>
                <w:color w:val="000000"/>
                <w:sz w:val="18"/>
                <w:szCs w:val="18"/>
              </w:rPr>
              <w:t>设备款（</w:t>
            </w:r>
            <w:r>
              <w:rPr>
                <w:rFonts w:hint="eastAsia"/>
                <w:color w:val="000000"/>
                <w:sz w:val="18"/>
                <w:szCs w:val="18"/>
              </w:rPr>
              <w:t>27</w:t>
            </w:r>
            <w:r>
              <w:rPr>
                <w:rFonts w:hint="eastAsia"/>
                <w:color w:val="000000"/>
                <w:sz w:val="18"/>
                <w:szCs w:val="18"/>
              </w:rPr>
              <w:t>台设备，共计</w:t>
            </w:r>
            <w:r>
              <w:rPr>
                <w:rFonts w:hint="eastAsia"/>
                <w:color w:val="000000"/>
                <w:sz w:val="18"/>
                <w:szCs w:val="18"/>
              </w:rPr>
              <w:t>133.935</w:t>
            </w:r>
            <w:r>
              <w:rPr>
                <w:rFonts w:hint="eastAsia"/>
                <w:color w:val="000000"/>
                <w:sz w:val="18"/>
                <w:szCs w:val="18"/>
              </w:rPr>
              <w:t>万元），供应商发货。</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r>
      <w:tr w:rsidR="00D85F58">
        <w:trPr>
          <w:trHeight w:val="415"/>
        </w:trPr>
        <w:tc>
          <w:tcPr>
            <w:tcW w:w="959"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709" w:type="dxa"/>
            <w:vMerge/>
            <w:tcBorders>
              <w:left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D85F58" w:rsidRDefault="00DD1531">
            <w:pPr>
              <w:spacing w:line="320" w:lineRule="exact"/>
              <w:jc w:val="center"/>
              <w:textAlignment w:val="bottom"/>
              <w:rPr>
                <w:rFonts w:asciiTheme="minorEastAsia" w:eastAsiaTheme="minorEastAsia" w:hAnsiTheme="minorEastAsia" w:cs="仿宋_GB2312"/>
                <w:kern w:val="0"/>
                <w:sz w:val="18"/>
                <w:szCs w:val="18"/>
              </w:rPr>
            </w:pPr>
            <w:r>
              <w:rPr>
                <w:rFonts w:asciiTheme="minorEastAsia" w:eastAsiaTheme="minorEastAsia" w:hAnsiTheme="minorEastAsia" w:cs="仿宋_GB2312" w:hint="eastAsia"/>
                <w:kern w:val="0"/>
                <w:sz w:val="18"/>
                <w:szCs w:val="18"/>
              </w:rPr>
              <w:t>质量指标</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采购的</w:t>
            </w:r>
            <w:r>
              <w:rPr>
                <w:rFonts w:hint="eastAsia"/>
                <w:color w:val="000000"/>
                <w:sz w:val="18"/>
                <w:szCs w:val="18"/>
              </w:rPr>
              <w:t>14</w:t>
            </w:r>
            <w:r>
              <w:rPr>
                <w:rFonts w:hint="eastAsia"/>
                <w:color w:val="000000"/>
                <w:sz w:val="18"/>
                <w:szCs w:val="18"/>
              </w:rPr>
              <w:t>台仪器设备适合标准规定、满足检验检测需要，提升检验检测能力</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增加了检验参数，提升了检验检测能力</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增加了检验参数，提升了检验检测能力</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r>
      <w:tr w:rsidR="00D85F58">
        <w:trPr>
          <w:trHeight w:val="415"/>
        </w:trPr>
        <w:tc>
          <w:tcPr>
            <w:tcW w:w="959"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709" w:type="dxa"/>
            <w:vMerge/>
            <w:tcBorders>
              <w:left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vMerge/>
            <w:tcBorders>
              <w:left w:val="single" w:sz="4" w:space="0" w:color="000000"/>
              <w:bottom w:val="single" w:sz="4" w:space="0" w:color="000000"/>
              <w:right w:val="single" w:sz="4" w:space="0" w:color="000000"/>
            </w:tcBorders>
            <w:shd w:val="clear" w:color="auto" w:fill="auto"/>
            <w:vAlign w:val="bottom"/>
          </w:tcPr>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采购</w:t>
            </w:r>
            <w:r>
              <w:rPr>
                <w:rFonts w:hint="eastAsia"/>
                <w:color w:val="000000"/>
                <w:sz w:val="18"/>
                <w:szCs w:val="18"/>
              </w:rPr>
              <w:t>27</w:t>
            </w:r>
            <w:r>
              <w:rPr>
                <w:rFonts w:hint="eastAsia"/>
                <w:color w:val="000000"/>
                <w:sz w:val="18"/>
                <w:szCs w:val="18"/>
              </w:rPr>
              <w:t>台小型设备满足检验检测需求，提升检验检测能力</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增加了检验参数，提升了检验检测能力</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增加了检验参数，提升了检验检测能力</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r>
      <w:tr w:rsidR="00D85F58">
        <w:trPr>
          <w:trHeight w:val="415"/>
        </w:trPr>
        <w:tc>
          <w:tcPr>
            <w:tcW w:w="959"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709" w:type="dxa"/>
            <w:vMerge/>
            <w:tcBorders>
              <w:left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时效指标</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2021</w:t>
            </w:r>
            <w:r>
              <w:rPr>
                <w:rFonts w:hint="eastAsia"/>
                <w:color w:val="000000"/>
                <w:sz w:val="18"/>
                <w:szCs w:val="18"/>
              </w:rPr>
              <w:t>年完成</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2021</w:t>
            </w:r>
            <w:r>
              <w:rPr>
                <w:rFonts w:hint="eastAsia"/>
                <w:color w:val="000000"/>
                <w:sz w:val="18"/>
                <w:szCs w:val="18"/>
              </w:rPr>
              <w:t>年完成</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2021</w:t>
            </w:r>
            <w:r>
              <w:rPr>
                <w:rFonts w:hint="eastAsia"/>
                <w:color w:val="000000"/>
                <w:sz w:val="18"/>
                <w:szCs w:val="18"/>
              </w:rPr>
              <w:t>年完成</w:t>
            </w:r>
          </w:p>
        </w:tc>
      </w:tr>
      <w:tr w:rsidR="00D85F58">
        <w:trPr>
          <w:trHeight w:val="480"/>
        </w:trPr>
        <w:tc>
          <w:tcPr>
            <w:tcW w:w="959"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709" w:type="dxa"/>
            <w:vMerge/>
            <w:tcBorders>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成本指标</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采购检验检测专用设备</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采购成本</w:t>
            </w:r>
            <w:r>
              <w:rPr>
                <w:rFonts w:hint="eastAsia"/>
                <w:color w:val="000000"/>
                <w:sz w:val="18"/>
                <w:szCs w:val="18"/>
              </w:rPr>
              <w:t>780</w:t>
            </w:r>
            <w:r>
              <w:rPr>
                <w:rFonts w:hint="eastAsia"/>
                <w:color w:val="000000"/>
                <w:sz w:val="18"/>
                <w:szCs w:val="18"/>
              </w:rPr>
              <w:t>万元，按照合同支付</w:t>
            </w:r>
            <w:r>
              <w:rPr>
                <w:rFonts w:hint="eastAsia"/>
                <w:color w:val="000000"/>
                <w:sz w:val="18"/>
                <w:szCs w:val="18"/>
              </w:rPr>
              <w:t>50%</w:t>
            </w:r>
            <w:r>
              <w:rPr>
                <w:rFonts w:hint="eastAsia"/>
                <w:color w:val="000000"/>
                <w:sz w:val="18"/>
                <w:szCs w:val="18"/>
              </w:rPr>
              <w:t>的设备款，共计</w:t>
            </w:r>
            <w:r>
              <w:rPr>
                <w:rFonts w:hint="eastAsia"/>
                <w:color w:val="000000"/>
                <w:sz w:val="18"/>
                <w:szCs w:val="18"/>
              </w:rPr>
              <w:t>389.535</w:t>
            </w:r>
            <w:r>
              <w:rPr>
                <w:rFonts w:hint="eastAsia"/>
                <w:color w:val="000000"/>
                <w:sz w:val="18"/>
                <w:szCs w:val="18"/>
              </w:rPr>
              <w:t>万元。</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采购成本</w:t>
            </w:r>
            <w:r>
              <w:rPr>
                <w:rFonts w:hint="eastAsia"/>
                <w:color w:val="000000"/>
                <w:sz w:val="18"/>
                <w:szCs w:val="18"/>
              </w:rPr>
              <w:t>780</w:t>
            </w:r>
            <w:r>
              <w:rPr>
                <w:rFonts w:hint="eastAsia"/>
                <w:color w:val="000000"/>
                <w:sz w:val="18"/>
                <w:szCs w:val="18"/>
              </w:rPr>
              <w:t>万元，按照合同支付</w:t>
            </w:r>
            <w:r>
              <w:rPr>
                <w:rFonts w:hint="eastAsia"/>
                <w:color w:val="000000"/>
                <w:sz w:val="18"/>
                <w:szCs w:val="18"/>
              </w:rPr>
              <w:t>50%</w:t>
            </w:r>
            <w:r>
              <w:rPr>
                <w:rFonts w:hint="eastAsia"/>
                <w:color w:val="000000"/>
                <w:sz w:val="18"/>
                <w:szCs w:val="18"/>
              </w:rPr>
              <w:t>的设备款，共计</w:t>
            </w:r>
            <w:r>
              <w:rPr>
                <w:rFonts w:hint="eastAsia"/>
                <w:color w:val="000000"/>
                <w:sz w:val="18"/>
                <w:szCs w:val="18"/>
              </w:rPr>
              <w:t>389.535</w:t>
            </w:r>
            <w:r>
              <w:rPr>
                <w:rFonts w:hint="eastAsia"/>
                <w:color w:val="000000"/>
                <w:sz w:val="18"/>
                <w:szCs w:val="18"/>
              </w:rPr>
              <w:t>万元。</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r>
      <w:tr w:rsidR="00D85F58">
        <w:trPr>
          <w:trHeight w:val="480"/>
        </w:trPr>
        <w:tc>
          <w:tcPr>
            <w:tcW w:w="959"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效益</w:t>
            </w:r>
            <w:r>
              <w:rPr>
                <w:rFonts w:asciiTheme="minorEastAsia" w:eastAsiaTheme="minorEastAsia" w:hAnsiTheme="minorEastAsia" w:cs="仿宋_GB2312" w:hint="eastAsia"/>
                <w:kern w:val="0"/>
                <w:sz w:val="18"/>
                <w:szCs w:val="18"/>
              </w:rPr>
              <w:br/>
              <w:t>指标</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经济效益指标</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Theme="minorEastAsia" w:eastAsiaTheme="minorEastAsia" w:hAnsiTheme="minorEastAsia" w:cs="仿宋_GB2312"/>
                <w:sz w:val="18"/>
                <w:szCs w:val="18"/>
              </w:rPr>
            </w:pPr>
            <w:r>
              <w:rPr>
                <w:rFonts w:hint="eastAsia"/>
                <w:color w:val="000000"/>
                <w:sz w:val="18"/>
                <w:szCs w:val="18"/>
              </w:rPr>
              <w:t>增加单位检验检测收入</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增加单位检验检测收入，</w:t>
            </w:r>
            <w:r>
              <w:rPr>
                <w:rFonts w:ascii="宋体" w:hAnsi="宋体" w:cs="宋体"/>
                <w:color w:val="000000"/>
                <w:sz w:val="18"/>
                <w:szCs w:val="18"/>
              </w:rPr>
              <w:t xml:space="preserve"> </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增加单位检验检测收入</w:t>
            </w:r>
          </w:p>
        </w:tc>
      </w:tr>
      <w:tr w:rsidR="00D85F58">
        <w:trPr>
          <w:trHeight w:val="480"/>
        </w:trPr>
        <w:tc>
          <w:tcPr>
            <w:tcW w:w="959"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社会效益指标</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服务地方及周边检测需求。</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rPr>
                <w:rFonts w:ascii="宋体" w:hAnsi="宋体" w:cs="宋体"/>
                <w:color w:val="000000"/>
                <w:sz w:val="18"/>
                <w:szCs w:val="18"/>
              </w:rPr>
            </w:pPr>
            <w:r>
              <w:rPr>
                <w:rFonts w:hint="eastAsia"/>
                <w:color w:val="000000"/>
                <w:sz w:val="18"/>
                <w:szCs w:val="18"/>
              </w:rPr>
              <w:t>更好的服务地方及周边企业。</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完成</w:t>
            </w:r>
          </w:p>
        </w:tc>
      </w:tr>
      <w:tr w:rsidR="00D85F58">
        <w:trPr>
          <w:trHeight w:val="577"/>
        </w:trPr>
        <w:tc>
          <w:tcPr>
            <w:tcW w:w="959"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生态效益 指标</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代替老旧设备</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新购置设备开展检验检测过程中更加环保。</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完成</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r>
      <w:tr w:rsidR="00D85F58">
        <w:trPr>
          <w:trHeight w:val="480"/>
        </w:trPr>
        <w:tc>
          <w:tcPr>
            <w:tcW w:w="959"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可持续影响指标</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持续开展检测工作</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购置设备能使用</w:t>
            </w:r>
            <w:r>
              <w:rPr>
                <w:rFonts w:hint="eastAsia"/>
                <w:color w:val="000000"/>
                <w:sz w:val="18"/>
                <w:szCs w:val="18"/>
              </w:rPr>
              <w:t>5</w:t>
            </w:r>
            <w:r>
              <w:rPr>
                <w:rFonts w:hint="eastAsia"/>
                <w:color w:val="000000"/>
                <w:sz w:val="18"/>
                <w:szCs w:val="18"/>
              </w:rPr>
              <w:t>年以上，持续为企业服务。</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逐步按要求实施</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r>
      <w:tr w:rsidR="00D85F58">
        <w:trPr>
          <w:trHeight w:val="530"/>
        </w:trPr>
        <w:tc>
          <w:tcPr>
            <w:tcW w:w="959" w:type="dxa"/>
            <w:vMerge/>
            <w:tcBorders>
              <w:left w:val="single" w:sz="4" w:space="0" w:color="000000"/>
              <w:bottom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满意</w:t>
            </w:r>
            <w:r>
              <w:rPr>
                <w:rFonts w:asciiTheme="minorEastAsia" w:eastAsiaTheme="minorEastAsia" w:hAnsiTheme="minorEastAsia" w:cs="仿宋_GB2312" w:hint="eastAsia"/>
                <w:kern w:val="0"/>
                <w:sz w:val="18"/>
                <w:szCs w:val="18"/>
              </w:rPr>
              <w:br/>
              <w:t>度指标</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kern w:val="0"/>
                <w:sz w:val="18"/>
                <w:szCs w:val="18"/>
              </w:rPr>
            </w:pPr>
            <w:r>
              <w:rPr>
                <w:rFonts w:asciiTheme="minorEastAsia" w:eastAsiaTheme="minorEastAsia" w:hAnsiTheme="minorEastAsia" w:cs="仿宋_GB2312" w:hint="eastAsia"/>
                <w:kern w:val="0"/>
                <w:sz w:val="18"/>
                <w:szCs w:val="18"/>
              </w:rPr>
              <w:t>满意度</w:t>
            </w:r>
          </w:p>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指标</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开展检验检测工作满意</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更好的做好一站式服务，能让企业更加满意。</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持续进行</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r>
    </w:tbl>
    <w:p w:rsidR="00D85F58" w:rsidRDefault="00D85F58">
      <w:pPr>
        <w:pStyle w:val="a3"/>
        <w:spacing w:before="93"/>
      </w:pPr>
    </w:p>
    <w:p w:rsidR="00D85F58" w:rsidRDefault="00DD1531">
      <w:pPr>
        <w:spacing w:line="640" w:lineRule="exact"/>
        <w:jc w:val="left"/>
        <w:outlineLvl w:val="0"/>
        <w:rPr>
          <w:rFonts w:ascii="仿宋_GB2312" w:eastAsia="仿宋_GB2312" w:hAnsi="仿宋_GB2312" w:cs="仿宋_GB2312"/>
          <w:sz w:val="32"/>
          <w:szCs w:val="32"/>
        </w:rPr>
      </w:pPr>
      <w:r>
        <w:rPr>
          <w:rFonts w:ascii="黑体" w:eastAsia="黑体" w:hAnsi="黑体" w:cs="黑体" w:hint="eastAsia"/>
          <w:sz w:val="32"/>
          <w:szCs w:val="32"/>
        </w:rPr>
        <w:t>附表</w:t>
      </w:r>
      <w:r>
        <w:rPr>
          <w:rFonts w:ascii="黑体" w:eastAsia="黑体" w:hAnsi="黑体" w:cs="黑体"/>
          <w:sz w:val="32"/>
          <w:szCs w:val="32"/>
        </w:rPr>
        <w:t>4</w:t>
      </w:r>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817"/>
        <w:gridCol w:w="851"/>
        <w:gridCol w:w="850"/>
        <w:gridCol w:w="677"/>
        <w:gridCol w:w="1675"/>
        <w:gridCol w:w="767"/>
        <w:gridCol w:w="1705"/>
        <w:gridCol w:w="2469"/>
      </w:tblGrid>
      <w:tr w:rsidR="00D85F58">
        <w:trPr>
          <w:trHeight w:val="77"/>
        </w:trPr>
        <w:tc>
          <w:tcPr>
            <w:tcW w:w="9811" w:type="dxa"/>
            <w:gridSpan w:val="8"/>
            <w:tcBorders>
              <w:top w:val="nil"/>
              <w:left w:val="nil"/>
              <w:bottom w:val="nil"/>
              <w:right w:val="nil"/>
            </w:tcBorders>
            <w:shd w:val="clear" w:color="auto" w:fill="auto"/>
            <w:vAlign w:val="center"/>
          </w:tcPr>
          <w:p w:rsidR="00D85F58" w:rsidRDefault="00DD1531">
            <w:pPr>
              <w:widowControl/>
              <w:ind w:firstLineChars="345" w:firstLine="1108"/>
              <w:textAlignment w:val="center"/>
              <w:rPr>
                <w:rFonts w:ascii="宋体" w:hAnsi="宋体" w:cs="宋体"/>
                <w:b/>
                <w:sz w:val="32"/>
                <w:szCs w:val="32"/>
              </w:rPr>
            </w:pPr>
            <w:r>
              <w:rPr>
                <w:rFonts w:ascii="宋体" w:hAnsi="宋体" w:cs="宋体" w:hint="eastAsia"/>
                <w:b/>
                <w:sz w:val="32"/>
                <w:szCs w:val="32"/>
              </w:rPr>
              <w:t>2021年省市场监管专项资金预算项目绩效目标自评</w:t>
            </w:r>
          </w:p>
        </w:tc>
      </w:tr>
      <w:tr w:rsidR="00D85F58">
        <w:trPr>
          <w:trHeight w:val="254"/>
        </w:trPr>
        <w:tc>
          <w:tcPr>
            <w:tcW w:w="3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主管部门及代码</w:t>
            </w:r>
          </w:p>
        </w:tc>
        <w:tc>
          <w:tcPr>
            <w:tcW w:w="24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rPr>
                <w:rFonts w:ascii="宋体" w:hAnsi="宋体" w:cs="宋体"/>
                <w:sz w:val="24"/>
              </w:rPr>
            </w:pPr>
            <w:r>
              <w:rPr>
                <w:rFonts w:hint="eastAsia"/>
              </w:rPr>
              <w:t>攀枝花市市场监管局</w:t>
            </w:r>
            <w:r>
              <w:rPr>
                <w:rFonts w:hint="eastAsia"/>
              </w:rPr>
              <w:t>1</w:t>
            </w:r>
            <w:r>
              <w:t>42</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实施单位</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jc w:val="center"/>
              <w:rPr>
                <w:rFonts w:ascii="宋体" w:hAnsi="宋体" w:cs="宋体"/>
                <w:sz w:val="24"/>
              </w:rPr>
            </w:pPr>
            <w:r>
              <w:rPr>
                <w:rFonts w:hint="eastAsia"/>
              </w:rPr>
              <w:t>攀西钒钛检验检测院</w:t>
            </w:r>
          </w:p>
        </w:tc>
      </w:tr>
      <w:tr w:rsidR="00D85F58">
        <w:trPr>
          <w:trHeight w:val="341"/>
        </w:trPr>
        <w:tc>
          <w:tcPr>
            <w:tcW w:w="319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项目预算</w:t>
            </w:r>
            <w:r>
              <w:rPr>
                <w:rFonts w:asciiTheme="minorEastAsia" w:eastAsiaTheme="minorEastAsia" w:hAnsiTheme="minorEastAsia" w:cs="宋体" w:hint="eastAsia"/>
                <w:kern w:val="0"/>
                <w:sz w:val="18"/>
                <w:szCs w:val="18"/>
              </w:rPr>
              <w:br/>
              <w:t>执行情况</w:t>
            </w:r>
            <w:r>
              <w:rPr>
                <w:rFonts w:asciiTheme="minorEastAsia" w:eastAsiaTheme="minorEastAsia" w:hAnsiTheme="minorEastAsia" w:cs="宋体" w:hint="eastAsia"/>
                <w:kern w:val="0"/>
                <w:sz w:val="18"/>
                <w:szCs w:val="18"/>
              </w:rPr>
              <w:br/>
              <w:t>（万元）</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 xml:space="preserve"> 预算数：</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191.1</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 xml:space="preserve"> 执行数：</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righ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191.1</w:t>
            </w:r>
          </w:p>
        </w:tc>
      </w:tr>
      <w:tr w:rsidR="00D85F58">
        <w:trPr>
          <w:trHeight w:val="555"/>
        </w:trPr>
        <w:tc>
          <w:tcPr>
            <w:tcW w:w="3195"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宋体"/>
                <w:sz w:val="18"/>
                <w:szCs w:val="18"/>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其中：</w:t>
            </w:r>
          </w:p>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财政拨款</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191.1</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其中：</w:t>
            </w:r>
          </w:p>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财政拨款</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191.1</w:t>
            </w:r>
          </w:p>
        </w:tc>
      </w:tr>
      <w:tr w:rsidR="00D85F58">
        <w:trPr>
          <w:trHeight w:val="341"/>
        </w:trPr>
        <w:tc>
          <w:tcPr>
            <w:tcW w:w="3195"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宋体"/>
                <w:sz w:val="18"/>
                <w:szCs w:val="18"/>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其他资金</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85F58">
            <w:pPr>
              <w:widowControl/>
              <w:spacing w:line="320" w:lineRule="exact"/>
              <w:jc w:val="left"/>
              <w:textAlignment w:val="center"/>
              <w:rPr>
                <w:rFonts w:asciiTheme="minorEastAsia" w:eastAsiaTheme="minorEastAsia" w:hAnsiTheme="minorEastAsia" w:cs="宋体"/>
                <w:sz w:val="18"/>
                <w:szCs w:val="18"/>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其他资金</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85F58">
            <w:pPr>
              <w:widowControl/>
              <w:spacing w:line="320" w:lineRule="exact"/>
              <w:jc w:val="center"/>
              <w:textAlignment w:val="center"/>
              <w:rPr>
                <w:rFonts w:asciiTheme="minorEastAsia" w:eastAsiaTheme="minorEastAsia" w:hAnsiTheme="minorEastAsia" w:cs="宋体"/>
                <w:sz w:val="18"/>
                <w:szCs w:val="18"/>
              </w:rPr>
            </w:pPr>
          </w:p>
        </w:tc>
      </w:tr>
      <w:tr w:rsidR="00D85F58">
        <w:trPr>
          <w:trHeight w:val="217"/>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年度总体目标</w:t>
            </w:r>
          </w:p>
          <w:p w:rsidR="00D85F58" w:rsidRDefault="00DD1531">
            <w:pPr>
              <w:widowControl/>
              <w:spacing w:line="320" w:lineRule="exact"/>
              <w:jc w:val="center"/>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完成情况</w:t>
            </w:r>
          </w:p>
        </w:tc>
        <w:tc>
          <w:tcPr>
            <w:tcW w:w="48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预期目标</w:t>
            </w:r>
          </w:p>
        </w:tc>
        <w:tc>
          <w:tcPr>
            <w:tcW w:w="41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目标实际完成情况</w:t>
            </w:r>
          </w:p>
        </w:tc>
      </w:tr>
      <w:tr w:rsidR="00D85F58">
        <w:trPr>
          <w:trHeight w:val="797"/>
        </w:trPr>
        <w:tc>
          <w:tcPr>
            <w:tcW w:w="8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宋体"/>
                <w:sz w:val="18"/>
                <w:szCs w:val="18"/>
              </w:rPr>
            </w:pPr>
          </w:p>
        </w:tc>
        <w:tc>
          <w:tcPr>
            <w:tcW w:w="4820" w:type="dxa"/>
            <w:gridSpan w:val="5"/>
            <w:tcBorders>
              <w:top w:val="single" w:sz="4" w:space="0" w:color="000000"/>
              <w:left w:val="single" w:sz="4" w:space="0" w:color="000000"/>
              <w:bottom w:val="single" w:sz="4" w:space="0" w:color="000000"/>
              <w:right w:val="single" w:sz="4" w:space="0" w:color="000000"/>
            </w:tcBorders>
            <w:shd w:val="clear" w:color="auto" w:fill="auto"/>
          </w:tcPr>
          <w:p w:rsidR="00D85F58" w:rsidRDefault="00DD1531">
            <w:pPr>
              <w:jc w:val="left"/>
              <w:rPr>
                <w:rFonts w:ascii="宋体" w:hAnsi="宋体" w:cs="宋体"/>
                <w:sz w:val="18"/>
                <w:szCs w:val="18"/>
              </w:rPr>
            </w:pPr>
            <w:r>
              <w:rPr>
                <w:rFonts w:hint="eastAsia"/>
                <w:sz w:val="18"/>
                <w:szCs w:val="18"/>
              </w:rPr>
              <w:br/>
            </w:r>
            <w:r>
              <w:rPr>
                <w:rFonts w:hint="eastAsia"/>
                <w:sz w:val="18"/>
                <w:szCs w:val="18"/>
              </w:rPr>
              <w:t>开展生产、流通领域产品质量抽检</w:t>
            </w:r>
            <w:r>
              <w:rPr>
                <w:rFonts w:hint="eastAsia"/>
                <w:sz w:val="18"/>
                <w:szCs w:val="18"/>
              </w:rPr>
              <w:t>: -</w:t>
            </w:r>
            <w:r>
              <w:rPr>
                <w:rFonts w:hint="eastAsia"/>
                <w:sz w:val="18"/>
                <w:szCs w:val="18"/>
              </w:rPr>
              <w:t>是指导县区相关部门督促生产者建立产品质量法定义务</w:t>
            </w:r>
            <w:r>
              <w:rPr>
                <w:rFonts w:hint="eastAsia"/>
                <w:sz w:val="18"/>
                <w:szCs w:val="18"/>
              </w:rPr>
              <w:t>:</w:t>
            </w:r>
            <w:r>
              <w:rPr>
                <w:rFonts w:hint="eastAsia"/>
                <w:sz w:val="18"/>
                <w:szCs w:val="18"/>
              </w:rPr>
              <w:t>二是确定重点产品，制定年度抽检计划，定明组织抽检，并通过适时监测的结果，及时掌握全市生产领域产品质量并组织县区相关部门开展有针对性的市场监督检查，规范生产领域生产经营行为</w:t>
            </w:r>
            <w:r>
              <w:rPr>
                <w:rFonts w:hint="eastAsia"/>
                <w:sz w:val="18"/>
                <w:szCs w:val="18"/>
              </w:rPr>
              <w:t>:</w:t>
            </w:r>
            <w:r>
              <w:rPr>
                <w:rFonts w:hint="eastAsia"/>
                <w:sz w:val="18"/>
                <w:szCs w:val="18"/>
              </w:rPr>
              <w:t>三是及时向社会公布全市产品监测结果，针对监测中存在的问题在全市范围内发布消费提示。通过抽样检验，对打击定量包装商品弄虚作假、限制商品过度包装等，保护消费者合法利益提供了强力支撑等。</w:t>
            </w:r>
          </w:p>
        </w:tc>
        <w:tc>
          <w:tcPr>
            <w:tcW w:w="4174" w:type="dxa"/>
            <w:gridSpan w:val="2"/>
            <w:tcBorders>
              <w:top w:val="single" w:sz="4" w:space="0" w:color="000000"/>
              <w:left w:val="single" w:sz="4" w:space="0" w:color="000000"/>
              <w:bottom w:val="single" w:sz="4" w:space="0" w:color="000000"/>
              <w:right w:val="single" w:sz="4" w:space="0" w:color="000000"/>
            </w:tcBorders>
            <w:shd w:val="clear" w:color="auto" w:fill="auto"/>
          </w:tcPr>
          <w:p w:rsidR="00D85F58" w:rsidRDefault="00DD1531">
            <w:pPr>
              <w:jc w:val="left"/>
              <w:rPr>
                <w:rFonts w:ascii="宋体" w:hAnsi="宋体" w:cs="宋体"/>
                <w:sz w:val="18"/>
                <w:szCs w:val="18"/>
              </w:rPr>
            </w:pPr>
            <w:r>
              <w:rPr>
                <w:rFonts w:hint="eastAsia"/>
                <w:sz w:val="18"/>
                <w:szCs w:val="18"/>
              </w:rPr>
              <w:t>四川省市场监督管理局下达川市监办</w:t>
            </w:r>
            <w:r>
              <w:rPr>
                <w:rFonts w:hint="eastAsia"/>
                <w:sz w:val="18"/>
                <w:szCs w:val="18"/>
              </w:rPr>
              <w:t>[2021]12</w:t>
            </w:r>
            <w:r>
              <w:rPr>
                <w:rFonts w:hint="eastAsia"/>
                <w:sz w:val="18"/>
                <w:szCs w:val="18"/>
              </w:rPr>
              <w:t>号文，我院承担车用汽油</w:t>
            </w:r>
            <w:r>
              <w:rPr>
                <w:rFonts w:hint="eastAsia"/>
                <w:sz w:val="18"/>
                <w:szCs w:val="18"/>
              </w:rPr>
              <w:t>100</w:t>
            </w:r>
            <w:r>
              <w:rPr>
                <w:rFonts w:hint="eastAsia"/>
                <w:sz w:val="18"/>
                <w:szCs w:val="18"/>
              </w:rPr>
              <w:t>批次，完成</w:t>
            </w:r>
            <w:r>
              <w:rPr>
                <w:rFonts w:hint="eastAsia"/>
                <w:sz w:val="18"/>
                <w:szCs w:val="18"/>
              </w:rPr>
              <w:t>100</w:t>
            </w:r>
            <w:r>
              <w:rPr>
                <w:rFonts w:hint="eastAsia"/>
                <w:sz w:val="18"/>
                <w:szCs w:val="18"/>
              </w:rPr>
              <w:t>批次，合格率为</w:t>
            </w:r>
            <w:r>
              <w:rPr>
                <w:rFonts w:hint="eastAsia"/>
                <w:sz w:val="18"/>
                <w:szCs w:val="18"/>
              </w:rPr>
              <w:t>100%</w:t>
            </w:r>
            <w:r>
              <w:rPr>
                <w:rFonts w:hint="eastAsia"/>
                <w:sz w:val="18"/>
                <w:szCs w:val="18"/>
              </w:rPr>
              <w:t>。川市监办</w:t>
            </w:r>
            <w:r>
              <w:rPr>
                <w:rFonts w:hint="eastAsia"/>
                <w:sz w:val="18"/>
                <w:szCs w:val="18"/>
              </w:rPr>
              <w:t>[2021]57</w:t>
            </w:r>
            <w:r>
              <w:rPr>
                <w:rFonts w:hint="eastAsia"/>
                <w:sz w:val="18"/>
                <w:szCs w:val="18"/>
              </w:rPr>
              <w:t>号文，承担钒钛制品</w:t>
            </w:r>
            <w:r>
              <w:rPr>
                <w:rFonts w:hint="eastAsia"/>
                <w:sz w:val="18"/>
                <w:szCs w:val="18"/>
              </w:rPr>
              <w:t>20</w:t>
            </w:r>
            <w:r>
              <w:rPr>
                <w:rFonts w:hint="eastAsia"/>
                <w:sz w:val="18"/>
                <w:szCs w:val="18"/>
              </w:rPr>
              <w:t>批次抽检，实际完成</w:t>
            </w:r>
            <w:r>
              <w:rPr>
                <w:rFonts w:hint="eastAsia"/>
                <w:sz w:val="18"/>
                <w:szCs w:val="18"/>
              </w:rPr>
              <w:t>20</w:t>
            </w:r>
            <w:r>
              <w:rPr>
                <w:rFonts w:hint="eastAsia"/>
                <w:sz w:val="18"/>
                <w:szCs w:val="18"/>
              </w:rPr>
              <w:t>批次，合格率为</w:t>
            </w:r>
            <w:r>
              <w:rPr>
                <w:rFonts w:hint="eastAsia"/>
                <w:sz w:val="18"/>
                <w:szCs w:val="18"/>
              </w:rPr>
              <w:t>100%</w:t>
            </w:r>
            <w:r>
              <w:rPr>
                <w:rFonts w:hint="eastAsia"/>
                <w:sz w:val="18"/>
                <w:szCs w:val="18"/>
              </w:rPr>
              <w:t>；承担建筑用砖</w:t>
            </w:r>
            <w:r>
              <w:rPr>
                <w:rFonts w:hint="eastAsia"/>
                <w:sz w:val="18"/>
                <w:szCs w:val="18"/>
              </w:rPr>
              <w:t>40</w:t>
            </w:r>
            <w:r>
              <w:rPr>
                <w:rFonts w:hint="eastAsia"/>
                <w:sz w:val="18"/>
                <w:szCs w:val="18"/>
              </w:rPr>
              <w:t>批次，完成</w:t>
            </w:r>
            <w:r>
              <w:rPr>
                <w:rFonts w:hint="eastAsia"/>
                <w:sz w:val="18"/>
                <w:szCs w:val="18"/>
              </w:rPr>
              <w:t>40</w:t>
            </w:r>
            <w:r>
              <w:rPr>
                <w:rFonts w:hint="eastAsia"/>
                <w:sz w:val="18"/>
                <w:szCs w:val="18"/>
              </w:rPr>
              <w:t>批次，合格率为</w:t>
            </w:r>
            <w:r>
              <w:rPr>
                <w:rFonts w:hint="eastAsia"/>
                <w:sz w:val="18"/>
                <w:szCs w:val="18"/>
              </w:rPr>
              <w:t>100%</w:t>
            </w:r>
            <w:r>
              <w:rPr>
                <w:rFonts w:hint="eastAsia"/>
                <w:sz w:val="18"/>
                <w:szCs w:val="18"/>
              </w:rPr>
              <w:t>。风评中心函</w:t>
            </w:r>
            <w:r>
              <w:rPr>
                <w:rFonts w:hint="eastAsia"/>
                <w:sz w:val="18"/>
                <w:szCs w:val="18"/>
              </w:rPr>
              <w:t>[2021]10</w:t>
            </w:r>
            <w:r>
              <w:rPr>
                <w:rFonts w:hint="eastAsia"/>
                <w:sz w:val="18"/>
                <w:szCs w:val="18"/>
              </w:rPr>
              <w:t>号文，育果纸袋</w:t>
            </w:r>
            <w:r>
              <w:rPr>
                <w:rFonts w:hint="eastAsia"/>
                <w:sz w:val="18"/>
                <w:szCs w:val="18"/>
              </w:rPr>
              <w:t>100</w:t>
            </w:r>
            <w:r>
              <w:rPr>
                <w:rFonts w:hint="eastAsia"/>
                <w:sz w:val="18"/>
                <w:szCs w:val="18"/>
              </w:rPr>
              <w:t>批次，完成</w:t>
            </w:r>
            <w:r>
              <w:rPr>
                <w:rFonts w:hint="eastAsia"/>
                <w:sz w:val="18"/>
                <w:szCs w:val="18"/>
              </w:rPr>
              <w:t>100</w:t>
            </w:r>
            <w:r>
              <w:rPr>
                <w:rFonts w:hint="eastAsia"/>
                <w:sz w:val="18"/>
                <w:szCs w:val="18"/>
              </w:rPr>
              <w:t>批次，合格率</w:t>
            </w:r>
            <w:r>
              <w:rPr>
                <w:rFonts w:hint="eastAsia"/>
                <w:sz w:val="18"/>
                <w:szCs w:val="18"/>
              </w:rPr>
              <w:t>100%</w:t>
            </w:r>
            <w:r>
              <w:rPr>
                <w:rFonts w:hint="eastAsia"/>
                <w:sz w:val="18"/>
                <w:szCs w:val="18"/>
              </w:rPr>
              <w:t>。根据攀枝花市市场监督管理局</w:t>
            </w:r>
            <w:r>
              <w:rPr>
                <w:rFonts w:hint="eastAsia"/>
                <w:sz w:val="18"/>
                <w:szCs w:val="18"/>
              </w:rPr>
              <w:t>2021</w:t>
            </w:r>
            <w:r>
              <w:rPr>
                <w:rFonts w:hint="eastAsia"/>
                <w:sz w:val="18"/>
                <w:szCs w:val="18"/>
              </w:rPr>
              <w:t>年食品安全监督抽检工作部署，结合攀枝花市实际，攀枝花市市场监督管理局下达《攀枝花市</w:t>
            </w:r>
            <w:r>
              <w:rPr>
                <w:rFonts w:hint="eastAsia"/>
                <w:sz w:val="18"/>
                <w:szCs w:val="18"/>
              </w:rPr>
              <w:t xml:space="preserve"> 20201</w:t>
            </w:r>
            <w:r>
              <w:rPr>
                <w:rFonts w:hint="eastAsia"/>
                <w:sz w:val="18"/>
                <w:szCs w:val="18"/>
              </w:rPr>
              <w:t>年度食品安全抽检监测实施方案</w:t>
            </w:r>
            <w:r>
              <w:rPr>
                <w:rFonts w:hint="eastAsia"/>
                <w:sz w:val="18"/>
                <w:szCs w:val="18"/>
              </w:rPr>
              <w:t xml:space="preserve"> </w:t>
            </w:r>
            <w:r>
              <w:rPr>
                <w:rFonts w:hint="eastAsia"/>
                <w:sz w:val="18"/>
                <w:szCs w:val="18"/>
              </w:rPr>
              <w:t>》的通知，攀西钒钛检验检测院完成市级食品安全生产</w:t>
            </w:r>
            <w:r>
              <w:rPr>
                <w:rFonts w:hint="eastAsia"/>
                <w:sz w:val="18"/>
                <w:szCs w:val="18"/>
              </w:rPr>
              <w:t>141</w:t>
            </w:r>
            <w:r>
              <w:rPr>
                <w:rFonts w:hint="eastAsia"/>
                <w:sz w:val="18"/>
                <w:szCs w:val="18"/>
              </w:rPr>
              <w:t>批次、流通环节</w:t>
            </w:r>
            <w:r>
              <w:rPr>
                <w:rFonts w:hint="eastAsia"/>
                <w:sz w:val="18"/>
                <w:szCs w:val="18"/>
              </w:rPr>
              <w:t>353</w:t>
            </w:r>
            <w:r>
              <w:rPr>
                <w:rFonts w:hint="eastAsia"/>
                <w:sz w:val="18"/>
                <w:szCs w:val="18"/>
              </w:rPr>
              <w:t>批次，合计抽检</w:t>
            </w:r>
            <w:r>
              <w:rPr>
                <w:rFonts w:hint="eastAsia"/>
                <w:sz w:val="18"/>
                <w:szCs w:val="18"/>
              </w:rPr>
              <w:t>494</w:t>
            </w:r>
            <w:r>
              <w:rPr>
                <w:rFonts w:hint="eastAsia"/>
                <w:sz w:val="18"/>
                <w:szCs w:val="18"/>
              </w:rPr>
              <w:t>批次。对开展定量包装商品净含量、限制商品过度包装等工作使用的标准器进行量值溯源，完成了</w:t>
            </w:r>
            <w:r>
              <w:rPr>
                <w:rFonts w:hint="eastAsia"/>
                <w:sz w:val="18"/>
                <w:szCs w:val="18"/>
              </w:rPr>
              <w:t>126</w:t>
            </w:r>
            <w:r>
              <w:rPr>
                <w:rFonts w:hint="eastAsia"/>
                <w:sz w:val="18"/>
                <w:szCs w:val="18"/>
              </w:rPr>
              <w:t>批次定量包装商品</w:t>
            </w:r>
            <w:r>
              <w:rPr>
                <w:rFonts w:hint="eastAsia"/>
                <w:sz w:val="18"/>
                <w:szCs w:val="18"/>
              </w:rPr>
              <w:t>,83</w:t>
            </w:r>
            <w:r>
              <w:rPr>
                <w:rFonts w:hint="eastAsia"/>
                <w:sz w:val="18"/>
                <w:szCs w:val="18"/>
              </w:rPr>
              <w:t>批次商品包装的抽样检验</w:t>
            </w:r>
          </w:p>
        </w:tc>
      </w:tr>
      <w:tr w:rsidR="00D85F58">
        <w:trPr>
          <w:trHeight w:val="693"/>
        </w:trPr>
        <w:tc>
          <w:tcPr>
            <w:tcW w:w="817" w:type="dxa"/>
            <w:vMerge w:val="restart"/>
            <w:tcBorders>
              <w:top w:val="single" w:sz="4" w:space="0" w:color="000000"/>
              <w:left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年度绩效指标</w:t>
            </w:r>
            <w:r>
              <w:rPr>
                <w:rFonts w:asciiTheme="minorEastAsia" w:eastAsiaTheme="minorEastAsia" w:hAnsiTheme="minorEastAsia" w:cs="仿宋_GB2312" w:hint="eastAsia"/>
                <w:kern w:val="0"/>
                <w:sz w:val="18"/>
                <w:szCs w:val="18"/>
              </w:rPr>
              <w:lastRenderedPageBreak/>
              <w:t>完成情况</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仿宋_GB2312"/>
                <w:kern w:val="0"/>
                <w:sz w:val="18"/>
                <w:szCs w:val="18"/>
              </w:rPr>
            </w:pPr>
            <w:r>
              <w:rPr>
                <w:rFonts w:asciiTheme="minorEastAsia" w:eastAsiaTheme="minorEastAsia" w:hAnsiTheme="minorEastAsia" w:cs="仿宋_GB2312" w:hint="eastAsia"/>
                <w:kern w:val="0"/>
                <w:sz w:val="18"/>
                <w:szCs w:val="18"/>
              </w:rPr>
              <w:lastRenderedPageBreak/>
              <w:t>一级</w:t>
            </w:r>
          </w:p>
          <w:p w:rsidR="00D85F58" w:rsidRDefault="00DD1531">
            <w:pPr>
              <w:widowControl/>
              <w:spacing w:line="320" w:lineRule="exact"/>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指标</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仿宋_GB2312"/>
                <w:kern w:val="0"/>
                <w:sz w:val="18"/>
                <w:szCs w:val="18"/>
              </w:rPr>
            </w:pPr>
            <w:r>
              <w:rPr>
                <w:rFonts w:asciiTheme="minorEastAsia" w:eastAsiaTheme="minorEastAsia" w:hAnsiTheme="minorEastAsia" w:cs="仿宋_GB2312" w:hint="eastAsia"/>
                <w:kern w:val="0"/>
                <w:sz w:val="18"/>
                <w:szCs w:val="18"/>
              </w:rPr>
              <w:t>二级</w:t>
            </w:r>
          </w:p>
          <w:p w:rsidR="00D85F58" w:rsidRDefault="00DD1531">
            <w:pPr>
              <w:widowControl/>
              <w:spacing w:line="320" w:lineRule="exact"/>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指标</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仿宋_GB2312"/>
                <w:kern w:val="0"/>
                <w:sz w:val="18"/>
                <w:szCs w:val="18"/>
              </w:rPr>
            </w:pPr>
            <w:r>
              <w:rPr>
                <w:rFonts w:asciiTheme="minorEastAsia" w:eastAsiaTheme="minorEastAsia" w:hAnsiTheme="minorEastAsia" w:cs="仿宋_GB2312" w:hint="eastAsia"/>
                <w:kern w:val="0"/>
                <w:sz w:val="18"/>
                <w:szCs w:val="18"/>
              </w:rPr>
              <w:t>三级</w:t>
            </w:r>
          </w:p>
          <w:p w:rsidR="00D85F58" w:rsidRDefault="00DD1531">
            <w:pPr>
              <w:widowControl/>
              <w:spacing w:line="320" w:lineRule="exact"/>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指标</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预期指标值</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实际完成指标值</w:t>
            </w:r>
          </w:p>
        </w:tc>
      </w:tr>
      <w:tr w:rsidR="00D85F58">
        <w:trPr>
          <w:trHeight w:val="415"/>
        </w:trPr>
        <w:tc>
          <w:tcPr>
            <w:tcW w:w="817"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1" w:type="dxa"/>
            <w:vMerge w:val="restart"/>
            <w:tcBorders>
              <w:top w:val="single" w:sz="4" w:space="0" w:color="000000"/>
              <w:left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bottom"/>
              <w:rPr>
                <w:rFonts w:asciiTheme="minorEastAsia" w:eastAsiaTheme="minorEastAsia" w:hAnsiTheme="minorEastAsia" w:cs="仿宋_GB2312"/>
                <w:kern w:val="0"/>
                <w:sz w:val="18"/>
                <w:szCs w:val="18"/>
              </w:rPr>
            </w:pPr>
            <w:r>
              <w:rPr>
                <w:rFonts w:asciiTheme="minorEastAsia" w:eastAsiaTheme="minorEastAsia" w:hAnsiTheme="minorEastAsia" w:cs="仿宋_GB2312" w:hint="eastAsia"/>
                <w:kern w:val="0"/>
                <w:sz w:val="18"/>
                <w:szCs w:val="18"/>
              </w:rPr>
              <w:t>完成</w:t>
            </w:r>
          </w:p>
          <w:p w:rsidR="00D85F58" w:rsidRDefault="00DD1531">
            <w:pPr>
              <w:spacing w:line="320" w:lineRule="exact"/>
              <w:jc w:val="center"/>
              <w:textAlignment w:val="bottom"/>
              <w:rPr>
                <w:rFonts w:asciiTheme="minorEastAsia" w:eastAsiaTheme="minorEastAsia" w:hAnsiTheme="minorEastAsia" w:cs="仿宋_GB2312"/>
                <w:kern w:val="0"/>
                <w:sz w:val="18"/>
                <w:szCs w:val="18"/>
              </w:rPr>
            </w:pPr>
            <w:r>
              <w:rPr>
                <w:rFonts w:asciiTheme="minorEastAsia" w:eastAsiaTheme="minorEastAsia" w:hAnsiTheme="minorEastAsia" w:cs="仿宋_GB2312" w:hint="eastAsia"/>
                <w:kern w:val="0"/>
                <w:sz w:val="18"/>
                <w:szCs w:val="18"/>
              </w:rPr>
              <w:t>指标</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D85F58" w:rsidRDefault="00DD1531">
            <w:pPr>
              <w:spacing w:line="320" w:lineRule="exact"/>
              <w:jc w:val="center"/>
              <w:textAlignment w:val="bottom"/>
              <w:rPr>
                <w:rFonts w:asciiTheme="minorEastAsia" w:eastAsiaTheme="minorEastAsia" w:hAnsiTheme="minorEastAsia" w:cs="仿宋_GB2312"/>
                <w:kern w:val="0"/>
                <w:sz w:val="18"/>
                <w:szCs w:val="18"/>
              </w:rPr>
            </w:pPr>
            <w:r>
              <w:rPr>
                <w:rFonts w:asciiTheme="minorEastAsia" w:eastAsiaTheme="minorEastAsia" w:hAnsiTheme="minorEastAsia" w:cs="仿宋_GB2312" w:hint="eastAsia"/>
                <w:kern w:val="0"/>
                <w:sz w:val="18"/>
                <w:szCs w:val="18"/>
              </w:rPr>
              <w:t>数量指标</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指标</w:t>
            </w:r>
            <w:r>
              <w:rPr>
                <w:rFonts w:hint="eastAsia"/>
                <w:color w:val="000000"/>
                <w:sz w:val="18"/>
                <w:szCs w:val="18"/>
              </w:rPr>
              <w:t>1</w:t>
            </w:r>
            <w:r>
              <w:rPr>
                <w:rFonts w:hint="eastAsia"/>
                <w:color w:val="000000"/>
                <w:sz w:val="18"/>
                <w:szCs w:val="18"/>
              </w:rPr>
              <w:t>：完成省级食品安全抽检监测批次</w:t>
            </w:r>
            <w:r>
              <w:rPr>
                <w:rFonts w:hint="eastAsia"/>
                <w:color w:val="000000"/>
                <w:sz w:val="18"/>
                <w:szCs w:val="18"/>
              </w:rPr>
              <w:t xml:space="preserve">   </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494</w:t>
            </w:r>
            <w:r>
              <w:rPr>
                <w:rFonts w:hint="eastAsia"/>
                <w:color w:val="000000"/>
                <w:sz w:val="18"/>
                <w:szCs w:val="18"/>
              </w:rPr>
              <w:t>批次</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494</w:t>
            </w:r>
            <w:r>
              <w:rPr>
                <w:rFonts w:hint="eastAsia"/>
                <w:color w:val="000000"/>
                <w:sz w:val="18"/>
                <w:szCs w:val="18"/>
              </w:rPr>
              <w:t>批次</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r>
      <w:tr w:rsidR="00D85F58">
        <w:trPr>
          <w:trHeight w:val="415"/>
        </w:trPr>
        <w:tc>
          <w:tcPr>
            <w:tcW w:w="817"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1"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textAlignment w:val="bottom"/>
              <w:rPr>
                <w:rFonts w:asciiTheme="minorEastAsia" w:eastAsiaTheme="minorEastAsia" w:hAnsiTheme="minorEastAsia" w:cs="仿宋_GB2312"/>
                <w:kern w:val="0"/>
                <w:sz w:val="18"/>
                <w:szCs w:val="18"/>
              </w:rPr>
            </w:pPr>
          </w:p>
        </w:tc>
        <w:tc>
          <w:tcPr>
            <w:tcW w:w="850" w:type="dxa"/>
            <w:vMerge/>
            <w:tcBorders>
              <w:left w:val="single" w:sz="4" w:space="0" w:color="000000"/>
              <w:right w:val="single" w:sz="4" w:space="0" w:color="000000"/>
            </w:tcBorders>
            <w:shd w:val="clear" w:color="auto" w:fill="auto"/>
            <w:vAlign w:val="bottom"/>
          </w:tcPr>
          <w:p w:rsidR="00D85F58" w:rsidRDefault="00D85F58">
            <w:pPr>
              <w:spacing w:line="320" w:lineRule="exact"/>
              <w:jc w:val="center"/>
              <w:textAlignment w:val="bottom"/>
              <w:rPr>
                <w:rFonts w:asciiTheme="minorEastAsia" w:eastAsiaTheme="minorEastAsia" w:hAnsiTheme="minorEastAsia" w:cs="仿宋_GB2312"/>
                <w:kern w:val="0"/>
                <w:sz w:val="18"/>
                <w:szCs w:val="18"/>
              </w:rPr>
            </w:pP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指标</w:t>
            </w:r>
            <w:r>
              <w:rPr>
                <w:rFonts w:hint="eastAsia"/>
                <w:sz w:val="18"/>
                <w:szCs w:val="18"/>
              </w:rPr>
              <w:t>2</w:t>
            </w:r>
            <w:r>
              <w:rPr>
                <w:rFonts w:hint="eastAsia"/>
                <w:sz w:val="18"/>
                <w:szCs w:val="18"/>
              </w:rPr>
              <w:t>：工业产品质量监督抽查及风险监测</w:t>
            </w:r>
            <w:r>
              <w:rPr>
                <w:rFonts w:hint="eastAsia"/>
                <w:sz w:val="18"/>
                <w:szCs w:val="18"/>
              </w:rPr>
              <w:t>(</w:t>
            </w:r>
            <w:r>
              <w:rPr>
                <w:rFonts w:hint="eastAsia"/>
                <w:sz w:val="18"/>
                <w:szCs w:val="18"/>
              </w:rPr>
              <w:t>批次）</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260</w:t>
            </w:r>
            <w:r>
              <w:rPr>
                <w:rFonts w:hint="eastAsia"/>
                <w:sz w:val="18"/>
                <w:szCs w:val="18"/>
              </w:rPr>
              <w:t>批次</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260</w:t>
            </w:r>
            <w:r>
              <w:rPr>
                <w:rFonts w:hint="eastAsia"/>
                <w:sz w:val="18"/>
                <w:szCs w:val="18"/>
              </w:rPr>
              <w:t>批次</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r>
      <w:tr w:rsidR="00D85F58">
        <w:trPr>
          <w:trHeight w:val="415"/>
        </w:trPr>
        <w:tc>
          <w:tcPr>
            <w:tcW w:w="817"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1"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textAlignment w:val="bottom"/>
              <w:rPr>
                <w:rFonts w:asciiTheme="minorEastAsia" w:eastAsiaTheme="minorEastAsia" w:hAnsiTheme="minorEastAsia" w:cs="仿宋_GB2312"/>
                <w:kern w:val="0"/>
                <w:sz w:val="18"/>
                <w:szCs w:val="18"/>
              </w:rPr>
            </w:pPr>
          </w:p>
        </w:tc>
        <w:tc>
          <w:tcPr>
            <w:tcW w:w="850" w:type="dxa"/>
            <w:vMerge/>
            <w:tcBorders>
              <w:left w:val="single" w:sz="4" w:space="0" w:color="000000"/>
              <w:right w:val="single" w:sz="4" w:space="0" w:color="000000"/>
            </w:tcBorders>
            <w:shd w:val="clear" w:color="auto" w:fill="auto"/>
            <w:vAlign w:val="bottom"/>
          </w:tcPr>
          <w:p w:rsidR="00D85F58" w:rsidRDefault="00D85F58">
            <w:pPr>
              <w:spacing w:line="320" w:lineRule="exact"/>
              <w:jc w:val="center"/>
              <w:textAlignment w:val="bottom"/>
              <w:rPr>
                <w:rFonts w:asciiTheme="minorEastAsia" w:eastAsiaTheme="minorEastAsia" w:hAnsiTheme="minorEastAsia" w:cs="仿宋_GB2312"/>
                <w:kern w:val="0"/>
                <w:sz w:val="18"/>
                <w:szCs w:val="18"/>
              </w:rPr>
            </w:pP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指标</w:t>
            </w:r>
            <w:r>
              <w:rPr>
                <w:rFonts w:hint="eastAsia"/>
                <w:sz w:val="18"/>
                <w:szCs w:val="18"/>
              </w:rPr>
              <w:t>3</w:t>
            </w:r>
            <w:r>
              <w:rPr>
                <w:rFonts w:hint="eastAsia"/>
                <w:sz w:val="18"/>
                <w:szCs w:val="18"/>
              </w:rPr>
              <w:t>：标准化专项经费</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r>
      <w:tr w:rsidR="00D85F58">
        <w:trPr>
          <w:trHeight w:val="415"/>
        </w:trPr>
        <w:tc>
          <w:tcPr>
            <w:tcW w:w="817"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1"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textAlignment w:val="bottom"/>
              <w:rPr>
                <w:rFonts w:asciiTheme="minorEastAsia" w:eastAsiaTheme="minorEastAsia" w:hAnsiTheme="minorEastAsia" w:cs="仿宋_GB2312"/>
                <w:kern w:val="0"/>
                <w:sz w:val="18"/>
                <w:szCs w:val="18"/>
              </w:rPr>
            </w:pPr>
          </w:p>
        </w:tc>
        <w:tc>
          <w:tcPr>
            <w:tcW w:w="850" w:type="dxa"/>
            <w:vMerge/>
            <w:tcBorders>
              <w:left w:val="single" w:sz="4" w:space="0" w:color="000000"/>
              <w:right w:val="single" w:sz="4" w:space="0" w:color="000000"/>
            </w:tcBorders>
            <w:shd w:val="clear" w:color="auto" w:fill="auto"/>
            <w:vAlign w:val="bottom"/>
          </w:tcPr>
          <w:p w:rsidR="00D85F58" w:rsidRDefault="00D85F58">
            <w:pPr>
              <w:spacing w:line="320" w:lineRule="exact"/>
              <w:jc w:val="center"/>
              <w:textAlignment w:val="bottom"/>
              <w:rPr>
                <w:rFonts w:asciiTheme="minorEastAsia" w:eastAsiaTheme="minorEastAsia" w:hAnsiTheme="minorEastAsia" w:cs="仿宋_GB2312"/>
                <w:kern w:val="0"/>
                <w:sz w:val="18"/>
                <w:szCs w:val="18"/>
              </w:rPr>
            </w:pP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指标</w:t>
            </w:r>
            <w:r>
              <w:rPr>
                <w:rFonts w:hint="eastAsia"/>
                <w:sz w:val="18"/>
                <w:szCs w:val="18"/>
              </w:rPr>
              <w:t>4</w:t>
            </w:r>
            <w:r>
              <w:rPr>
                <w:rFonts w:hint="eastAsia"/>
                <w:sz w:val="18"/>
                <w:szCs w:val="18"/>
              </w:rPr>
              <w:t>：定量、过度包装监督抽查（批次）</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209</w:t>
            </w:r>
            <w:r>
              <w:rPr>
                <w:rFonts w:hint="eastAsia"/>
                <w:sz w:val="18"/>
                <w:szCs w:val="18"/>
              </w:rPr>
              <w:t>批次</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209</w:t>
            </w:r>
            <w:r>
              <w:rPr>
                <w:rFonts w:hint="eastAsia"/>
                <w:sz w:val="18"/>
                <w:szCs w:val="18"/>
              </w:rPr>
              <w:t>批次</w:t>
            </w:r>
          </w:p>
        </w:tc>
      </w:tr>
      <w:tr w:rsidR="00D85F58">
        <w:trPr>
          <w:trHeight w:val="415"/>
        </w:trPr>
        <w:tc>
          <w:tcPr>
            <w:tcW w:w="817"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1" w:type="dxa"/>
            <w:vMerge/>
            <w:tcBorders>
              <w:left w:val="single" w:sz="4" w:space="0" w:color="000000"/>
              <w:right w:val="single" w:sz="4" w:space="0" w:color="000000"/>
            </w:tcBorders>
            <w:shd w:val="clear" w:color="auto" w:fill="auto"/>
            <w:vAlign w:val="center"/>
          </w:tcPr>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850" w:type="dxa"/>
            <w:vMerge/>
            <w:tcBorders>
              <w:left w:val="single" w:sz="4" w:space="0" w:color="000000"/>
              <w:bottom w:val="single" w:sz="4" w:space="0" w:color="000000"/>
              <w:right w:val="single" w:sz="4" w:space="0" w:color="000000"/>
            </w:tcBorders>
            <w:shd w:val="clear" w:color="auto" w:fill="auto"/>
            <w:vAlign w:val="bottom"/>
          </w:tcPr>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指标</w:t>
            </w:r>
            <w:r>
              <w:rPr>
                <w:rFonts w:hint="eastAsia"/>
                <w:sz w:val="18"/>
                <w:szCs w:val="18"/>
              </w:rPr>
              <w:t>5</w:t>
            </w:r>
            <w:r>
              <w:rPr>
                <w:rFonts w:hint="eastAsia"/>
                <w:sz w:val="18"/>
                <w:szCs w:val="18"/>
              </w:rPr>
              <w:t>：科研专项经费</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r>
      <w:tr w:rsidR="00D85F58">
        <w:trPr>
          <w:trHeight w:val="415"/>
        </w:trPr>
        <w:tc>
          <w:tcPr>
            <w:tcW w:w="817"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1" w:type="dxa"/>
            <w:vMerge/>
            <w:tcBorders>
              <w:left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质量指标</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指标</w:t>
            </w:r>
            <w:r>
              <w:rPr>
                <w:rFonts w:hint="eastAsia"/>
                <w:sz w:val="18"/>
                <w:szCs w:val="18"/>
              </w:rPr>
              <w:t>1</w:t>
            </w:r>
            <w:r>
              <w:rPr>
                <w:rFonts w:hint="eastAsia"/>
                <w:sz w:val="18"/>
                <w:szCs w:val="18"/>
              </w:rPr>
              <w:t>：省级工业产品抽查合格率</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完成</w:t>
            </w:r>
            <w:r>
              <w:rPr>
                <w:rFonts w:hint="eastAsia"/>
                <w:sz w:val="18"/>
                <w:szCs w:val="18"/>
              </w:rPr>
              <w:t>260</w:t>
            </w:r>
            <w:r>
              <w:rPr>
                <w:rFonts w:hint="eastAsia"/>
                <w:sz w:val="18"/>
                <w:szCs w:val="18"/>
              </w:rPr>
              <w:t>批次，合格率</w:t>
            </w:r>
            <w:r>
              <w:rPr>
                <w:rFonts w:hint="eastAsia"/>
                <w:sz w:val="18"/>
                <w:szCs w:val="18"/>
              </w:rPr>
              <w:t>100%</w:t>
            </w:r>
            <w:r>
              <w:rPr>
                <w:rFonts w:hint="eastAsia"/>
                <w:sz w:val="18"/>
                <w:szCs w:val="18"/>
              </w:rPr>
              <w:t>。</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完成</w:t>
            </w:r>
            <w:r>
              <w:rPr>
                <w:rFonts w:hint="eastAsia"/>
                <w:sz w:val="18"/>
                <w:szCs w:val="18"/>
              </w:rPr>
              <w:t>260</w:t>
            </w:r>
            <w:r>
              <w:rPr>
                <w:rFonts w:hint="eastAsia"/>
                <w:sz w:val="18"/>
                <w:szCs w:val="18"/>
              </w:rPr>
              <w:t>批次，合格率</w:t>
            </w:r>
            <w:r>
              <w:rPr>
                <w:rFonts w:hint="eastAsia"/>
                <w:sz w:val="18"/>
                <w:szCs w:val="18"/>
              </w:rPr>
              <w:t>100%</w:t>
            </w:r>
            <w:r>
              <w:rPr>
                <w:rFonts w:hint="eastAsia"/>
                <w:sz w:val="18"/>
                <w:szCs w:val="18"/>
              </w:rPr>
              <w:t>。</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r>
      <w:tr w:rsidR="00D85F58">
        <w:trPr>
          <w:trHeight w:val="415"/>
        </w:trPr>
        <w:tc>
          <w:tcPr>
            <w:tcW w:w="817"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1" w:type="dxa"/>
            <w:vMerge/>
            <w:tcBorders>
              <w:left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vMerge/>
            <w:tcBorders>
              <w:left w:val="single" w:sz="4" w:space="0" w:color="000000"/>
              <w:right w:val="single" w:sz="4" w:space="0" w:color="000000"/>
            </w:tcBorders>
            <w:shd w:val="clear" w:color="auto" w:fill="auto"/>
            <w:vAlign w:val="bottom"/>
          </w:tcPr>
          <w:p w:rsidR="00D85F58" w:rsidRDefault="00D85F58">
            <w:pPr>
              <w:widowControl/>
              <w:spacing w:line="320" w:lineRule="exact"/>
              <w:jc w:val="center"/>
              <w:textAlignment w:val="bottom"/>
              <w:rPr>
                <w:rFonts w:asciiTheme="minorEastAsia" w:eastAsiaTheme="minorEastAsia" w:hAnsiTheme="minorEastAsia" w:cs="仿宋_GB2312"/>
                <w:kern w:val="0"/>
                <w:sz w:val="18"/>
                <w:szCs w:val="18"/>
              </w:rPr>
            </w:pP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指标</w:t>
            </w:r>
            <w:r>
              <w:rPr>
                <w:rFonts w:hint="eastAsia"/>
                <w:sz w:val="18"/>
                <w:szCs w:val="18"/>
              </w:rPr>
              <w:t>2</w:t>
            </w:r>
            <w:r>
              <w:rPr>
                <w:rFonts w:hint="eastAsia"/>
                <w:sz w:val="18"/>
                <w:szCs w:val="18"/>
              </w:rPr>
              <w:t>：定量、过度包装监督抽查合格率</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完成</w:t>
            </w:r>
            <w:r>
              <w:rPr>
                <w:rFonts w:hint="eastAsia"/>
                <w:sz w:val="18"/>
                <w:szCs w:val="18"/>
              </w:rPr>
              <w:t>209</w:t>
            </w:r>
            <w:r>
              <w:rPr>
                <w:rFonts w:hint="eastAsia"/>
                <w:sz w:val="18"/>
                <w:szCs w:val="18"/>
              </w:rPr>
              <w:t>批次，合格率</w:t>
            </w:r>
            <w:r>
              <w:rPr>
                <w:rFonts w:hint="eastAsia"/>
                <w:sz w:val="18"/>
                <w:szCs w:val="18"/>
              </w:rPr>
              <w:t>100%</w:t>
            </w:r>
            <w:r>
              <w:rPr>
                <w:rFonts w:hint="eastAsia"/>
                <w:sz w:val="18"/>
                <w:szCs w:val="18"/>
              </w:rPr>
              <w:t>。</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完成</w:t>
            </w:r>
            <w:r>
              <w:rPr>
                <w:rFonts w:hint="eastAsia"/>
                <w:sz w:val="18"/>
                <w:szCs w:val="18"/>
              </w:rPr>
              <w:t>209</w:t>
            </w:r>
            <w:r>
              <w:rPr>
                <w:rFonts w:hint="eastAsia"/>
                <w:sz w:val="18"/>
                <w:szCs w:val="18"/>
              </w:rPr>
              <w:t>批次，合格率</w:t>
            </w:r>
            <w:r>
              <w:rPr>
                <w:rFonts w:hint="eastAsia"/>
                <w:sz w:val="18"/>
                <w:szCs w:val="18"/>
              </w:rPr>
              <w:t>100%</w:t>
            </w:r>
            <w:r>
              <w:rPr>
                <w:rFonts w:hint="eastAsia"/>
                <w:sz w:val="18"/>
                <w:szCs w:val="18"/>
              </w:rPr>
              <w:t>。</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r>
      <w:tr w:rsidR="00D85F58">
        <w:trPr>
          <w:trHeight w:val="415"/>
        </w:trPr>
        <w:tc>
          <w:tcPr>
            <w:tcW w:w="817"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1" w:type="dxa"/>
            <w:vMerge/>
            <w:tcBorders>
              <w:left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vMerge/>
            <w:tcBorders>
              <w:left w:val="single" w:sz="4" w:space="0" w:color="000000"/>
              <w:bottom w:val="single" w:sz="4" w:space="0" w:color="000000"/>
              <w:right w:val="single" w:sz="4" w:space="0" w:color="000000"/>
            </w:tcBorders>
            <w:shd w:val="clear" w:color="auto" w:fill="auto"/>
            <w:vAlign w:val="bottom"/>
          </w:tcPr>
          <w:p w:rsidR="00D85F58" w:rsidRDefault="00D85F58">
            <w:pPr>
              <w:widowControl/>
              <w:spacing w:line="320" w:lineRule="exact"/>
              <w:jc w:val="center"/>
              <w:textAlignment w:val="bottom"/>
              <w:rPr>
                <w:rFonts w:asciiTheme="minorEastAsia" w:eastAsiaTheme="minorEastAsia" w:hAnsiTheme="minorEastAsia" w:cs="仿宋_GB2312"/>
                <w:kern w:val="0"/>
                <w:sz w:val="18"/>
                <w:szCs w:val="18"/>
              </w:rPr>
            </w:pP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指标</w:t>
            </w:r>
            <w:r>
              <w:rPr>
                <w:rFonts w:hint="eastAsia"/>
                <w:sz w:val="18"/>
                <w:szCs w:val="18"/>
              </w:rPr>
              <w:t>3</w:t>
            </w:r>
            <w:r>
              <w:rPr>
                <w:rFonts w:hint="eastAsia"/>
                <w:sz w:val="18"/>
                <w:szCs w:val="18"/>
              </w:rPr>
              <w:t>：省级食品抽检合格率</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完成</w:t>
            </w:r>
            <w:r>
              <w:rPr>
                <w:rFonts w:hint="eastAsia"/>
                <w:sz w:val="18"/>
                <w:szCs w:val="18"/>
              </w:rPr>
              <w:t>494</w:t>
            </w:r>
            <w:r>
              <w:rPr>
                <w:rFonts w:hint="eastAsia"/>
                <w:sz w:val="18"/>
                <w:szCs w:val="18"/>
              </w:rPr>
              <w:t>批次，合格率</w:t>
            </w:r>
            <w:r>
              <w:rPr>
                <w:rFonts w:hint="eastAsia"/>
                <w:sz w:val="18"/>
                <w:szCs w:val="18"/>
              </w:rPr>
              <w:t>100%</w:t>
            </w:r>
            <w:r>
              <w:rPr>
                <w:rFonts w:hint="eastAsia"/>
                <w:sz w:val="18"/>
                <w:szCs w:val="18"/>
              </w:rPr>
              <w:t>。</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完成</w:t>
            </w:r>
            <w:r>
              <w:rPr>
                <w:rFonts w:hint="eastAsia"/>
                <w:sz w:val="18"/>
                <w:szCs w:val="18"/>
              </w:rPr>
              <w:t>494</w:t>
            </w:r>
            <w:r>
              <w:rPr>
                <w:rFonts w:hint="eastAsia"/>
                <w:sz w:val="18"/>
                <w:szCs w:val="18"/>
              </w:rPr>
              <w:t>批次，合格率</w:t>
            </w:r>
            <w:r>
              <w:rPr>
                <w:rFonts w:hint="eastAsia"/>
                <w:sz w:val="18"/>
                <w:szCs w:val="18"/>
              </w:rPr>
              <w:t>100%</w:t>
            </w:r>
            <w:r>
              <w:rPr>
                <w:rFonts w:hint="eastAsia"/>
                <w:sz w:val="18"/>
                <w:szCs w:val="18"/>
              </w:rPr>
              <w:t>。</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r>
      <w:tr w:rsidR="00D85F58">
        <w:trPr>
          <w:trHeight w:val="415"/>
        </w:trPr>
        <w:tc>
          <w:tcPr>
            <w:tcW w:w="817"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1" w:type="dxa"/>
            <w:vMerge/>
            <w:tcBorders>
              <w:left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时效指标</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2021</w:t>
            </w:r>
            <w:r>
              <w:rPr>
                <w:rFonts w:hint="eastAsia"/>
                <w:sz w:val="18"/>
                <w:szCs w:val="18"/>
              </w:rPr>
              <w:t>年</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2021</w:t>
            </w:r>
            <w:r>
              <w:rPr>
                <w:rFonts w:hint="eastAsia"/>
                <w:sz w:val="18"/>
                <w:szCs w:val="18"/>
              </w:rPr>
              <w:t>年</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2021</w:t>
            </w:r>
            <w:r>
              <w:rPr>
                <w:rFonts w:hint="eastAsia"/>
                <w:sz w:val="18"/>
                <w:szCs w:val="18"/>
              </w:rPr>
              <w:t>年</w:t>
            </w:r>
          </w:p>
        </w:tc>
      </w:tr>
      <w:tr w:rsidR="00D85F58">
        <w:trPr>
          <w:trHeight w:val="480"/>
        </w:trPr>
        <w:tc>
          <w:tcPr>
            <w:tcW w:w="817"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1" w:type="dxa"/>
            <w:vMerge/>
            <w:tcBorders>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D85F58" w:rsidRDefault="00DD1531">
            <w:pPr>
              <w:spacing w:line="320" w:lineRule="exact"/>
              <w:jc w:val="center"/>
              <w:textAlignment w:val="bottom"/>
              <w:rPr>
                <w:rFonts w:asciiTheme="minorEastAsia" w:eastAsiaTheme="minorEastAsia" w:hAnsiTheme="minorEastAsia" w:cs="仿宋_GB2312"/>
                <w:kern w:val="0"/>
                <w:sz w:val="18"/>
                <w:szCs w:val="18"/>
              </w:rPr>
            </w:pPr>
            <w:r>
              <w:rPr>
                <w:rFonts w:asciiTheme="minorEastAsia" w:eastAsiaTheme="minorEastAsia" w:hAnsiTheme="minorEastAsia" w:cs="仿宋_GB2312" w:hint="eastAsia"/>
                <w:kern w:val="0"/>
                <w:sz w:val="18"/>
                <w:szCs w:val="18"/>
              </w:rPr>
              <w:t>成本指标</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指标</w:t>
            </w:r>
            <w:r>
              <w:rPr>
                <w:rFonts w:hint="eastAsia"/>
                <w:sz w:val="18"/>
                <w:szCs w:val="18"/>
              </w:rPr>
              <w:t>1</w:t>
            </w:r>
            <w:r>
              <w:rPr>
                <w:rFonts w:hint="eastAsia"/>
                <w:sz w:val="18"/>
                <w:szCs w:val="18"/>
              </w:rPr>
              <w:t>：完成省级食品安全抽检监测成本支出</w:t>
            </w:r>
            <w:r>
              <w:rPr>
                <w:rFonts w:hint="eastAsia"/>
                <w:sz w:val="18"/>
                <w:szCs w:val="18"/>
              </w:rPr>
              <w:t xml:space="preserve"> </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购耗材试剂、支付试验用水电费、购样费、聘用人员劳务费等</w:t>
            </w:r>
            <w:r>
              <w:rPr>
                <w:rFonts w:hint="eastAsia"/>
                <w:sz w:val="18"/>
                <w:szCs w:val="18"/>
              </w:rPr>
              <w:t>95.9</w:t>
            </w:r>
            <w:r>
              <w:rPr>
                <w:rFonts w:hint="eastAsia"/>
                <w:sz w:val="18"/>
                <w:szCs w:val="18"/>
              </w:rPr>
              <w:t>万元。</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购耗材试剂、支付试验用水电费、购样费、聘用人员劳务费等</w:t>
            </w:r>
            <w:r>
              <w:rPr>
                <w:rFonts w:hint="eastAsia"/>
                <w:sz w:val="18"/>
                <w:szCs w:val="18"/>
              </w:rPr>
              <w:t>95.9</w:t>
            </w:r>
            <w:r>
              <w:rPr>
                <w:rFonts w:hint="eastAsia"/>
                <w:sz w:val="18"/>
                <w:szCs w:val="18"/>
              </w:rPr>
              <w:t>万元。</w:t>
            </w:r>
          </w:p>
        </w:tc>
      </w:tr>
      <w:tr w:rsidR="00D85F58">
        <w:trPr>
          <w:trHeight w:val="480"/>
        </w:trPr>
        <w:tc>
          <w:tcPr>
            <w:tcW w:w="817"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1" w:type="dxa"/>
            <w:vMerge/>
            <w:tcBorders>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vMerge/>
            <w:tcBorders>
              <w:left w:val="single" w:sz="4" w:space="0" w:color="000000"/>
              <w:right w:val="single" w:sz="4" w:space="0" w:color="000000"/>
            </w:tcBorders>
            <w:shd w:val="clear" w:color="auto" w:fill="auto"/>
            <w:vAlign w:val="bottom"/>
          </w:tcPr>
          <w:p w:rsidR="00D85F58" w:rsidRDefault="00D85F58">
            <w:pPr>
              <w:spacing w:line="320" w:lineRule="exact"/>
              <w:jc w:val="center"/>
              <w:textAlignment w:val="bottom"/>
              <w:rPr>
                <w:rFonts w:asciiTheme="minorEastAsia" w:eastAsiaTheme="minorEastAsia" w:hAnsiTheme="minorEastAsia" w:cs="仿宋_GB2312"/>
                <w:kern w:val="0"/>
                <w:sz w:val="18"/>
                <w:szCs w:val="18"/>
              </w:rPr>
            </w:pP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指标</w:t>
            </w:r>
            <w:r>
              <w:rPr>
                <w:rFonts w:hint="eastAsia"/>
                <w:sz w:val="18"/>
                <w:szCs w:val="18"/>
              </w:rPr>
              <w:t>2</w:t>
            </w:r>
            <w:r>
              <w:rPr>
                <w:rFonts w:hint="eastAsia"/>
                <w:sz w:val="18"/>
                <w:szCs w:val="18"/>
              </w:rPr>
              <w:t>：省级工业产品抽查成本支出</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支标准品、差旅费、购样费等</w:t>
            </w:r>
            <w:r>
              <w:rPr>
                <w:rFonts w:hint="eastAsia"/>
                <w:sz w:val="18"/>
                <w:szCs w:val="18"/>
              </w:rPr>
              <w:t>57.7</w:t>
            </w:r>
            <w:r>
              <w:rPr>
                <w:rFonts w:hint="eastAsia"/>
                <w:sz w:val="18"/>
                <w:szCs w:val="18"/>
              </w:rPr>
              <w:t>万元。</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支标准品、差旅费、购样费等</w:t>
            </w:r>
            <w:r>
              <w:rPr>
                <w:rFonts w:hint="eastAsia"/>
                <w:sz w:val="18"/>
                <w:szCs w:val="18"/>
              </w:rPr>
              <w:t>57.7</w:t>
            </w:r>
            <w:r>
              <w:rPr>
                <w:rFonts w:hint="eastAsia"/>
                <w:sz w:val="18"/>
                <w:szCs w:val="18"/>
              </w:rPr>
              <w:t>万元。</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r>
      <w:tr w:rsidR="00D85F58">
        <w:trPr>
          <w:trHeight w:val="480"/>
        </w:trPr>
        <w:tc>
          <w:tcPr>
            <w:tcW w:w="817"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1" w:type="dxa"/>
            <w:vMerge/>
            <w:tcBorders>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vMerge/>
            <w:tcBorders>
              <w:left w:val="single" w:sz="4" w:space="0" w:color="000000"/>
              <w:right w:val="single" w:sz="4" w:space="0" w:color="000000"/>
            </w:tcBorders>
            <w:shd w:val="clear" w:color="auto" w:fill="auto"/>
            <w:vAlign w:val="bottom"/>
          </w:tcPr>
          <w:p w:rsidR="00D85F58" w:rsidRDefault="00D85F58">
            <w:pPr>
              <w:spacing w:line="320" w:lineRule="exact"/>
              <w:jc w:val="center"/>
              <w:textAlignment w:val="bottom"/>
              <w:rPr>
                <w:rFonts w:asciiTheme="minorEastAsia" w:eastAsiaTheme="minorEastAsia" w:hAnsiTheme="minorEastAsia" w:cs="仿宋_GB2312"/>
                <w:kern w:val="0"/>
                <w:sz w:val="18"/>
                <w:szCs w:val="18"/>
              </w:rPr>
            </w:pP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指标</w:t>
            </w:r>
            <w:r>
              <w:rPr>
                <w:rFonts w:hint="eastAsia"/>
                <w:sz w:val="18"/>
                <w:szCs w:val="18"/>
              </w:rPr>
              <w:t>3</w:t>
            </w:r>
            <w:r>
              <w:rPr>
                <w:rFonts w:hint="eastAsia"/>
                <w:sz w:val="18"/>
                <w:szCs w:val="18"/>
              </w:rPr>
              <w:t>：定量、过度包装监督抽查成本支出</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砝码天平技术服务费、仪器维修、仪器检测、中测院技术服务</w:t>
            </w:r>
            <w:r>
              <w:rPr>
                <w:rFonts w:hint="eastAsia"/>
                <w:sz w:val="18"/>
                <w:szCs w:val="18"/>
              </w:rPr>
              <w:t>1.5</w:t>
            </w:r>
            <w:r>
              <w:rPr>
                <w:rFonts w:hint="eastAsia"/>
                <w:sz w:val="18"/>
                <w:szCs w:val="18"/>
              </w:rPr>
              <w:t>万元；购置钢卷尺检定装置</w:t>
            </w:r>
            <w:r>
              <w:rPr>
                <w:rFonts w:hint="eastAsia"/>
                <w:sz w:val="18"/>
                <w:szCs w:val="18"/>
              </w:rPr>
              <w:t>8.3</w:t>
            </w:r>
            <w:r>
              <w:rPr>
                <w:rFonts w:hint="eastAsia"/>
                <w:sz w:val="18"/>
                <w:szCs w:val="18"/>
              </w:rPr>
              <w:t>万元；外出学习检测工作差旅费</w:t>
            </w:r>
            <w:r>
              <w:rPr>
                <w:rFonts w:hint="eastAsia"/>
                <w:sz w:val="18"/>
                <w:szCs w:val="18"/>
              </w:rPr>
              <w:t>0.2</w:t>
            </w:r>
            <w:r>
              <w:rPr>
                <w:rFonts w:hint="eastAsia"/>
                <w:sz w:val="18"/>
                <w:szCs w:val="18"/>
              </w:rPr>
              <w:t>万元。共计支出</w:t>
            </w:r>
            <w:r>
              <w:rPr>
                <w:rFonts w:hint="eastAsia"/>
                <w:sz w:val="18"/>
                <w:szCs w:val="18"/>
              </w:rPr>
              <w:t>10</w:t>
            </w:r>
            <w:r>
              <w:rPr>
                <w:rFonts w:hint="eastAsia"/>
                <w:sz w:val="18"/>
                <w:szCs w:val="18"/>
              </w:rPr>
              <w:t>万元。</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砝码天平技术服务费、仪器维修、仪器检测、中测院技术服务</w:t>
            </w:r>
            <w:r>
              <w:rPr>
                <w:rFonts w:hint="eastAsia"/>
                <w:sz w:val="18"/>
                <w:szCs w:val="18"/>
              </w:rPr>
              <w:t>1.5</w:t>
            </w:r>
            <w:r>
              <w:rPr>
                <w:rFonts w:hint="eastAsia"/>
                <w:sz w:val="18"/>
                <w:szCs w:val="18"/>
              </w:rPr>
              <w:t>万元；购置钢卷尺检定装置</w:t>
            </w:r>
            <w:r>
              <w:rPr>
                <w:rFonts w:hint="eastAsia"/>
                <w:sz w:val="18"/>
                <w:szCs w:val="18"/>
              </w:rPr>
              <w:t>8.3</w:t>
            </w:r>
            <w:r>
              <w:rPr>
                <w:rFonts w:hint="eastAsia"/>
                <w:sz w:val="18"/>
                <w:szCs w:val="18"/>
              </w:rPr>
              <w:t>万元；外出学习检测工作差旅费</w:t>
            </w:r>
            <w:r>
              <w:rPr>
                <w:rFonts w:hint="eastAsia"/>
                <w:sz w:val="18"/>
                <w:szCs w:val="18"/>
              </w:rPr>
              <w:t>0.2</w:t>
            </w:r>
            <w:r>
              <w:rPr>
                <w:rFonts w:hint="eastAsia"/>
                <w:sz w:val="18"/>
                <w:szCs w:val="18"/>
              </w:rPr>
              <w:t>万元。共计支出</w:t>
            </w:r>
            <w:r>
              <w:rPr>
                <w:rFonts w:hint="eastAsia"/>
                <w:sz w:val="18"/>
                <w:szCs w:val="18"/>
              </w:rPr>
              <w:t>10</w:t>
            </w:r>
            <w:r>
              <w:rPr>
                <w:rFonts w:hint="eastAsia"/>
                <w:sz w:val="18"/>
                <w:szCs w:val="18"/>
              </w:rPr>
              <w:t>万元。</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r>
      <w:tr w:rsidR="00D85F58">
        <w:trPr>
          <w:trHeight w:val="480"/>
        </w:trPr>
        <w:tc>
          <w:tcPr>
            <w:tcW w:w="817"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1" w:type="dxa"/>
            <w:vMerge/>
            <w:tcBorders>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vMerge/>
            <w:tcBorders>
              <w:left w:val="single" w:sz="4" w:space="0" w:color="000000"/>
              <w:right w:val="single" w:sz="4" w:space="0" w:color="000000"/>
            </w:tcBorders>
            <w:shd w:val="clear" w:color="auto" w:fill="auto"/>
            <w:vAlign w:val="bottom"/>
          </w:tcPr>
          <w:p w:rsidR="00D85F58" w:rsidRDefault="00D85F58">
            <w:pPr>
              <w:spacing w:line="320" w:lineRule="exact"/>
              <w:jc w:val="center"/>
              <w:textAlignment w:val="bottom"/>
              <w:rPr>
                <w:rFonts w:asciiTheme="minorEastAsia" w:eastAsiaTheme="minorEastAsia" w:hAnsiTheme="minorEastAsia" w:cs="仿宋_GB2312"/>
                <w:kern w:val="0"/>
                <w:sz w:val="18"/>
                <w:szCs w:val="18"/>
              </w:rPr>
            </w:pP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指标</w:t>
            </w:r>
            <w:r>
              <w:rPr>
                <w:rFonts w:hint="eastAsia"/>
                <w:color w:val="000000"/>
                <w:sz w:val="18"/>
                <w:szCs w:val="18"/>
              </w:rPr>
              <w:t>4</w:t>
            </w:r>
            <w:r>
              <w:rPr>
                <w:rFonts w:hint="eastAsia"/>
                <w:color w:val="000000"/>
                <w:sz w:val="18"/>
                <w:szCs w:val="18"/>
              </w:rPr>
              <w:t>：标准化专项经费</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完成标准化相关工作，支付检验检验用成本、差旅费、劳务费等</w:t>
            </w:r>
            <w:r>
              <w:rPr>
                <w:rFonts w:hint="eastAsia"/>
                <w:color w:val="000000"/>
                <w:sz w:val="18"/>
                <w:szCs w:val="18"/>
              </w:rPr>
              <w:t>20</w:t>
            </w:r>
            <w:r>
              <w:rPr>
                <w:rFonts w:hint="eastAsia"/>
                <w:color w:val="000000"/>
                <w:sz w:val="18"/>
                <w:szCs w:val="18"/>
              </w:rPr>
              <w:t>万元。</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完成标准化相关工作，支付检验检验用成本、差旅费、劳务费等</w:t>
            </w:r>
            <w:r>
              <w:rPr>
                <w:rFonts w:hint="eastAsia"/>
                <w:color w:val="000000"/>
                <w:sz w:val="18"/>
                <w:szCs w:val="18"/>
              </w:rPr>
              <w:t>20</w:t>
            </w:r>
            <w:r>
              <w:rPr>
                <w:rFonts w:hint="eastAsia"/>
                <w:color w:val="000000"/>
                <w:sz w:val="18"/>
                <w:szCs w:val="18"/>
              </w:rPr>
              <w:t>万元。</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r>
      <w:tr w:rsidR="00D85F58">
        <w:trPr>
          <w:trHeight w:val="480"/>
        </w:trPr>
        <w:tc>
          <w:tcPr>
            <w:tcW w:w="817"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1" w:type="dxa"/>
            <w:vMerge/>
            <w:tcBorders>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vMerge/>
            <w:tcBorders>
              <w:left w:val="single" w:sz="4" w:space="0" w:color="000000"/>
              <w:bottom w:val="single" w:sz="4" w:space="0" w:color="000000"/>
              <w:right w:val="single" w:sz="4" w:space="0" w:color="000000"/>
            </w:tcBorders>
            <w:shd w:val="clear" w:color="auto" w:fill="auto"/>
            <w:vAlign w:val="bottom"/>
          </w:tcPr>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指标</w:t>
            </w:r>
            <w:r>
              <w:rPr>
                <w:rFonts w:hint="eastAsia"/>
                <w:color w:val="000000"/>
                <w:sz w:val="18"/>
                <w:szCs w:val="18"/>
              </w:rPr>
              <w:t>5</w:t>
            </w:r>
            <w:r>
              <w:rPr>
                <w:rFonts w:hint="eastAsia"/>
                <w:color w:val="000000"/>
                <w:sz w:val="18"/>
                <w:szCs w:val="18"/>
              </w:rPr>
              <w:t>：科研专项经费</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开展科研项目工作，支付检验检测试剂耗材等费用</w:t>
            </w:r>
            <w:r>
              <w:rPr>
                <w:rFonts w:hint="eastAsia"/>
                <w:color w:val="000000"/>
                <w:sz w:val="18"/>
                <w:szCs w:val="18"/>
              </w:rPr>
              <w:t>7.5</w:t>
            </w:r>
            <w:r>
              <w:rPr>
                <w:rFonts w:hint="eastAsia"/>
                <w:color w:val="000000"/>
                <w:sz w:val="18"/>
                <w:szCs w:val="18"/>
              </w:rPr>
              <w:t>万元。</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color w:val="000000"/>
                <w:sz w:val="18"/>
                <w:szCs w:val="18"/>
              </w:rPr>
            </w:pPr>
            <w:r>
              <w:rPr>
                <w:rFonts w:hint="eastAsia"/>
                <w:color w:val="000000"/>
                <w:sz w:val="18"/>
                <w:szCs w:val="18"/>
              </w:rPr>
              <w:t>开展科研项目工作，支付检验检测试剂耗材等费用</w:t>
            </w:r>
            <w:r>
              <w:rPr>
                <w:rFonts w:hint="eastAsia"/>
                <w:color w:val="000000"/>
                <w:sz w:val="18"/>
                <w:szCs w:val="18"/>
              </w:rPr>
              <w:t>7.5</w:t>
            </w:r>
            <w:r>
              <w:rPr>
                <w:rFonts w:hint="eastAsia"/>
                <w:color w:val="000000"/>
                <w:sz w:val="18"/>
                <w:szCs w:val="18"/>
              </w:rPr>
              <w:t>万元。</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r>
      <w:tr w:rsidR="00D85F58">
        <w:trPr>
          <w:trHeight w:val="480"/>
        </w:trPr>
        <w:tc>
          <w:tcPr>
            <w:tcW w:w="817"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效益</w:t>
            </w:r>
            <w:r>
              <w:rPr>
                <w:rFonts w:asciiTheme="minorEastAsia" w:eastAsiaTheme="minorEastAsia" w:hAnsiTheme="minorEastAsia" w:cs="仿宋_GB2312" w:hint="eastAsia"/>
                <w:kern w:val="0"/>
                <w:sz w:val="18"/>
                <w:szCs w:val="18"/>
              </w:rPr>
              <w:br/>
              <w:t>指标</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经济效益指标</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r>
      <w:tr w:rsidR="00D85F58">
        <w:trPr>
          <w:trHeight w:val="480"/>
        </w:trPr>
        <w:tc>
          <w:tcPr>
            <w:tcW w:w="817"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社会效益指标</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食品、工业产品监管水平、为社会、为企业服务</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提高公众食品安全意识，全市工业产品生产质量。</w:t>
            </w:r>
          </w:p>
          <w:p w:rsidR="00D85F58" w:rsidRDefault="00DD1531">
            <w:pPr>
              <w:jc w:val="center"/>
              <w:rPr>
                <w:rFonts w:ascii="宋体" w:hAnsi="宋体" w:cs="宋体"/>
                <w:sz w:val="18"/>
                <w:szCs w:val="18"/>
              </w:rPr>
            </w:pPr>
            <w:r>
              <w:rPr>
                <w:rFonts w:hint="eastAsia"/>
                <w:sz w:val="18"/>
                <w:szCs w:val="18"/>
              </w:rPr>
              <w:t>保障消费者购买到计量合格的定量包装商品。强化了企业对定量包装商品的计量要求。</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通过抽样检验，对打击定量包装商品弄虚作假、限制商品过度包装等，保护消费者合法利益提供了强力支撑。增强企业的法律意识，严格按照技术要求生产出合格的产品。</w:t>
            </w:r>
          </w:p>
        </w:tc>
      </w:tr>
      <w:tr w:rsidR="00D85F58">
        <w:trPr>
          <w:trHeight w:val="577"/>
        </w:trPr>
        <w:tc>
          <w:tcPr>
            <w:tcW w:w="817"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生态效益指标</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r>
      <w:tr w:rsidR="00D85F58">
        <w:trPr>
          <w:trHeight w:val="480"/>
        </w:trPr>
        <w:tc>
          <w:tcPr>
            <w:tcW w:w="817"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可持续影响指标</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通过监督抽查、风险监测、证后监管等保障人民生命财产健康安全。</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加强食品（保健食品）质量管理、提高全市工业产品生产质量、保障消费者购买到计量合格的定量包装商品。</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加强食品（保健食品）质量管理、提高全市工业产品生产质量、保障消费者购买到计量合格的定量包装商品。</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r>
      <w:tr w:rsidR="00D85F58">
        <w:trPr>
          <w:trHeight w:val="530"/>
        </w:trPr>
        <w:tc>
          <w:tcPr>
            <w:tcW w:w="817" w:type="dxa"/>
            <w:vMerge/>
            <w:tcBorders>
              <w:left w:val="single" w:sz="4" w:space="0" w:color="000000"/>
              <w:bottom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满意</w:t>
            </w:r>
            <w:r>
              <w:rPr>
                <w:rFonts w:asciiTheme="minorEastAsia" w:eastAsiaTheme="minorEastAsia" w:hAnsiTheme="minorEastAsia" w:cs="仿宋_GB2312" w:hint="eastAsia"/>
                <w:kern w:val="0"/>
                <w:sz w:val="18"/>
                <w:szCs w:val="18"/>
              </w:rPr>
              <w:br/>
              <w:t>度指标</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kern w:val="0"/>
                <w:sz w:val="18"/>
                <w:szCs w:val="18"/>
              </w:rPr>
            </w:pPr>
            <w:r>
              <w:rPr>
                <w:rFonts w:asciiTheme="minorEastAsia" w:eastAsiaTheme="minorEastAsia" w:hAnsiTheme="minorEastAsia" w:cs="仿宋_GB2312" w:hint="eastAsia"/>
                <w:kern w:val="0"/>
                <w:sz w:val="18"/>
                <w:szCs w:val="18"/>
              </w:rPr>
              <w:t>满意度</w:t>
            </w:r>
          </w:p>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指标</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服务对象满意度</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基本满意</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基本满意</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r>
    </w:tbl>
    <w:p w:rsidR="00D85F58" w:rsidRDefault="00D85F58">
      <w:pPr>
        <w:spacing w:line="640" w:lineRule="exact"/>
        <w:jc w:val="left"/>
        <w:outlineLvl w:val="0"/>
        <w:rPr>
          <w:rFonts w:ascii="黑体" w:eastAsia="黑体" w:hAnsi="黑体" w:cs="黑体"/>
          <w:sz w:val="32"/>
          <w:szCs w:val="32"/>
        </w:rPr>
      </w:pPr>
    </w:p>
    <w:p w:rsidR="00D85F58" w:rsidRDefault="00DD1531">
      <w:pPr>
        <w:spacing w:line="640" w:lineRule="exact"/>
        <w:jc w:val="left"/>
        <w:outlineLvl w:val="0"/>
        <w:rPr>
          <w:rFonts w:ascii="仿宋_GB2312" w:eastAsia="仿宋_GB2312" w:hAnsi="仿宋_GB2312" w:cs="仿宋_GB2312"/>
          <w:sz w:val="32"/>
          <w:szCs w:val="32"/>
        </w:rPr>
      </w:pPr>
      <w:r>
        <w:rPr>
          <w:rFonts w:ascii="黑体" w:eastAsia="黑体" w:hAnsi="黑体" w:cs="黑体" w:hint="eastAsia"/>
          <w:sz w:val="32"/>
          <w:szCs w:val="32"/>
        </w:rPr>
        <w:t>附表</w:t>
      </w:r>
      <w:r>
        <w:rPr>
          <w:rFonts w:ascii="黑体" w:eastAsia="黑体" w:hAnsi="黑体" w:cs="黑体"/>
          <w:sz w:val="32"/>
          <w:szCs w:val="32"/>
        </w:rPr>
        <w:t>5</w:t>
      </w:r>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1242"/>
        <w:gridCol w:w="1134"/>
        <w:gridCol w:w="1560"/>
        <w:gridCol w:w="1701"/>
        <w:gridCol w:w="1529"/>
        <w:gridCol w:w="2409"/>
        <w:gridCol w:w="236"/>
      </w:tblGrid>
      <w:tr w:rsidR="00D85F58">
        <w:trPr>
          <w:trHeight w:val="675"/>
        </w:trPr>
        <w:tc>
          <w:tcPr>
            <w:tcW w:w="9575" w:type="dxa"/>
            <w:gridSpan w:val="6"/>
            <w:tcBorders>
              <w:top w:val="nil"/>
              <w:left w:val="nil"/>
              <w:bottom w:val="nil"/>
              <w:right w:val="nil"/>
            </w:tcBorders>
            <w:shd w:val="clear" w:color="auto" w:fill="auto"/>
            <w:vAlign w:val="center"/>
          </w:tcPr>
          <w:p w:rsidR="00D85F58" w:rsidRDefault="00DD1531">
            <w:pPr>
              <w:widowControl/>
              <w:ind w:firstLineChars="345" w:firstLine="1108"/>
              <w:textAlignment w:val="center"/>
              <w:rPr>
                <w:rFonts w:ascii="宋体" w:hAnsi="宋体" w:cs="宋体"/>
                <w:b/>
                <w:sz w:val="32"/>
                <w:szCs w:val="32"/>
              </w:rPr>
            </w:pPr>
            <w:r>
              <w:rPr>
                <w:rFonts w:ascii="宋体" w:hAnsi="宋体" w:cs="宋体" w:hint="eastAsia"/>
                <w:b/>
                <w:sz w:val="32"/>
                <w:szCs w:val="32"/>
              </w:rPr>
              <w:t>2021年市级食品安全监督抽查经费预算项目绩效目标自评</w:t>
            </w:r>
          </w:p>
        </w:tc>
        <w:tc>
          <w:tcPr>
            <w:tcW w:w="236" w:type="dxa"/>
            <w:tcBorders>
              <w:top w:val="nil"/>
              <w:left w:val="nil"/>
              <w:bottom w:val="nil"/>
              <w:right w:val="nil"/>
            </w:tcBorders>
            <w:shd w:val="clear" w:color="auto" w:fill="auto"/>
            <w:vAlign w:val="center"/>
          </w:tcPr>
          <w:p w:rsidR="00D85F58" w:rsidRDefault="00D85F58">
            <w:pPr>
              <w:widowControl/>
              <w:jc w:val="center"/>
              <w:textAlignment w:val="center"/>
              <w:rPr>
                <w:rFonts w:ascii="宋体" w:hAnsi="宋体" w:cs="宋体"/>
                <w:b/>
                <w:kern w:val="0"/>
                <w:sz w:val="32"/>
                <w:szCs w:val="32"/>
              </w:rPr>
            </w:pPr>
          </w:p>
        </w:tc>
      </w:tr>
      <w:tr w:rsidR="00D85F58">
        <w:trPr>
          <w:gridAfter w:val="1"/>
          <w:wAfter w:w="236" w:type="dxa"/>
          <w:trHeight w:val="254"/>
        </w:trPr>
        <w:tc>
          <w:tcPr>
            <w:tcW w:w="2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主管部门及代码</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市市场监督管理局</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实施单位</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攀西钒钛检验检测院</w:t>
            </w:r>
          </w:p>
        </w:tc>
      </w:tr>
      <w:tr w:rsidR="00D85F58">
        <w:trPr>
          <w:gridAfter w:val="1"/>
          <w:wAfter w:w="236" w:type="dxa"/>
          <w:trHeight w:val="341"/>
        </w:trPr>
        <w:tc>
          <w:tcPr>
            <w:tcW w:w="23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项目预算</w:t>
            </w:r>
            <w:r>
              <w:rPr>
                <w:rFonts w:asciiTheme="minorEastAsia" w:eastAsiaTheme="minorEastAsia" w:hAnsiTheme="minorEastAsia" w:cs="宋体" w:hint="eastAsia"/>
                <w:kern w:val="0"/>
                <w:sz w:val="18"/>
                <w:szCs w:val="18"/>
              </w:rPr>
              <w:br/>
              <w:t>执行情况</w:t>
            </w:r>
            <w:r>
              <w:rPr>
                <w:rFonts w:asciiTheme="minorEastAsia" w:eastAsiaTheme="minorEastAsia" w:hAnsiTheme="minorEastAsia" w:cs="宋体" w:hint="eastAsia"/>
                <w:kern w:val="0"/>
                <w:sz w:val="18"/>
                <w:szCs w:val="18"/>
              </w:rPr>
              <w:br/>
              <w:t>（万元）</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 xml:space="preserve"> 预算数：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16</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 xml:space="preserve"> 执行数：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16</w:t>
            </w:r>
          </w:p>
        </w:tc>
      </w:tr>
      <w:tr w:rsidR="00D85F58">
        <w:trPr>
          <w:gridAfter w:val="1"/>
          <w:wAfter w:w="236" w:type="dxa"/>
          <w:trHeight w:val="555"/>
        </w:trPr>
        <w:tc>
          <w:tcPr>
            <w:tcW w:w="237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宋体"/>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其中：</w:t>
            </w:r>
          </w:p>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财政拨款</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16</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其中：</w:t>
            </w:r>
          </w:p>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财政拨款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16</w:t>
            </w:r>
          </w:p>
        </w:tc>
      </w:tr>
      <w:tr w:rsidR="00D85F58">
        <w:trPr>
          <w:gridAfter w:val="1"/>
          <w:wAfter w:w="236" w:type="dxa"/>
          <w:trHeight w:val="341"/>
        </w:trPr>
        <w:tc>
          <w:tcPr>
            <w:tcW w:w="237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宋体"/>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其他资金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85F58">
            <w:pPr>
              <w:widowControl/>
              <w:spacing w:line="320" w:lineRule="exact"/>
              <w:jc w:val="left"/>
              <w:textAlignment w:val="center"/>
              <w:rPr>
                <w:rFonts w:asciiTheme="minorEastAsia" w:eastAsiaTheme="minorEastAsia" w:hAnsiTheme="minorEastAsia" w:cs="宋体"/>
                <w:sz w:val="18"/>
                <w:szCs w:val="18"/>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left"/>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其他资金</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85F58">
            <w:pPr>
              <w:widowControl/>
              <w:spacing w:line="320" w:lineRule="exact"/>
              <w:jc w:val="center"/>
              <w:textAlignment w:val="center"/>
              <w:rPr>
                <w:rFonts w:asciiTheme="minorEastAsia" w:eastAsiaTheme="minorEastAsia" w:hAnsiTheme="minorEastAsia" w:cs="宋体"/>
                <w:sz w:val="18"/>
                <w:szCs w:val="18"/>
              </w:rPr>
            </w:pPr>
          </w:p>
        </w:tc>
      </w:tr>
      <w:tr w:rsidR="00D85F58">
        <w:trPr>
          <w:gridAfter w:val="1"/>
          <w:wAfter w:w="236" w:type="dxa"/>
          <w:trHeight w:val="217"/>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年度总体目标</w:t>
            </w:r>
          </w:p>
          <w:p w:rsidR="00D85F58" w:rsidRDefault="00DD1531">
            <w:pPr>
              <w:widowControl/>
              <w:spacing w:line="320" w:lineRule="exact"/>
              <w:jc w:val="center"/>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完成情况</w:t>
            </w:r>
          </w:p>
        </w:tc>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预期目标</w:t>
            </w:r>
          </w:p>
        </w:tc>
        <w:tc>
          <w:tcPr>
            <w:tcW w:w="3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目标实际完成情况</w:t>
            </w:r>
          </w:p>
        </w:tc>
      </w:tr>
      <w:tr w:rsidR="00D85F58">
        <w:trPr>
          <w:gridAfter w:val="1"/>
          <w:wAfter w:w="236" w:type="dxa"/>
          <w:trHeight w:val="797"/>
        </w:trPr>
        <w:tc>
          <w:tcPr>
            <w:tcW w:w="12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宋体"/>
                <w:sz w:val="18"/>
                <w:szCs w:val="18"/>
              </w:rPr>
            </w:pPr>
          </w:p>
        </w:tc>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tcPr>
          <w:p w:rsidR="00D85F58" w:rsidRDefault="00DD1531">
            <w:pPr>
              <w:jc w:val="left"/>
              <w:rPr>
                <w:rFonts w:ascii="宋体" w:hAnsi="宋体" w:cs="宋体"/>
                <w:sz w:val="18"/>
                <w:szCs w:val="18"/>
              </w:rPr>
            </w:pPr>
            <w:r>
              <w:rPr>
                <w:rFonts w:hint="eastAsia"/>
                <w:sz w:val="18"/>
                <w:szCs w:val="18"/>
              </w:rPr>
              <w:t>在攀枝花辖区开展生产、流通领域环节食品市级抽检</w:t>
            </w:r>
            <w:r>
              <w:rPr>
                <w:rFonts w:hint="eastAsia"/>
                <w:sz w:val="18"/>
                <w:szCs w:val="18"/>
              </w:rPr>
              <w:t>: -</w:t>
            </w:r>
            <w:r>
              <w:rPr>
                <w:rFonts w:hint="eastAsia"/>
                <w:sz w:val="18"/>
                <w:szCs w:val="18"/>
              </w:rPr>
              <w:t>是指导县区相关部门督促生产者建立食品安全法定义务</w:t>
            </w:r>
            <w:r>
              <w:rPr>
                <w:rFonts w:hint="eastAsia"/>
                <w:sz w:val="18"/>
                <w:szCs w:val="18"/>
              </w:rPr>
              <w:t>:</w:t>
            </w:r>
            <w:r>
              <w:rPr>
                <w:rFonts w:hint="eastAsia"/>
                <w:sz w:val="18"/>
                <w:szCs w:val="18"/>
              </w:rPr>
              <w:t>二是确定重点产品，制定市级年度抽检计划，定明组织抽检，并通过适时监测的结果，及时掌握全市食品安全状况并组织县区相关部门开展有针对性的市场监督检查，规范生产领域生产经营行为</w:t>
            </w:r>
            <w:r>
              <w:rPr>
                <w:rFonts w:hint="eastAsia"/>
                <w:sz w:val="18"/>
                <w:szCs w:val="18"/>
              </w:rPr>
              <w:t>:</w:t>
            </w:r>
            <w:r>
              <w:rPr>
                <w:rFonts w:hint="eastAsia"/>
                <w:sz w:val="18"/>
                <w:szCs w:val="18"/>
              </w:rPr>
              <w:t>三是及时向社会公布全市产品监测结果，针对监测中存在的问题在全市范围内发布消费提示。</w:t>
            </w:r>
          </w:p>
        </w:tc>
        <w:tc>
          <w:tcPr>
            <w:tcW w:w="3938" w:type="dxa"/>
            <w:gridSpan w:val="2"/>
            <w:tcBorders>
              <w:top w:val="single" w:sz="4" w:space="0" w:color="000000"/>
              <w:left w:val="single" w:sz="4" w:space="0" w:color="000000"/>
              <w:bottom w:val="single" w:sz="4" w:space="0" w:color="000000"/>
              <w:right w:val="single" w:sz="4" w:space="0" w:color="000000"/>
            </w:tcBorders>
            <w:shd w:val="clear" w:color="auto" w:fill="auto"/>
          </w:tcPr>
          <w:p w:rsidR="00D85F58" w:rsidRDefault="00DD1531">
            <w:pPr>
              <w:widowControl/>
              <w:spacing w:line="320" w:lineRule="exact"/>
              <w:jc w:val="left"/>
              <w:textAlignment w:val="top"/>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根据攀枝花市市场监督管理局2021年食品安全监督抽检工作部署，结合攀枝花市实际，攀枝花市市场监督管理局下达《攀枝花市 20201年度食品安全抽检监测实施方案 》的通知，攀西钒钛检验检测院完成市级食品安全等抽检2569批次。</w:t>
            </w:r>
          </w:p>
        </w:tc>
      </w:tr>
      <w:tr w:rsidR="00D85F58">
        <w:trPr>
          <w:gridAfter w:val="1"/>
          <w:wAfter w:w="236" w:type="dxa"/>
          <w:trHeight w:val="693"/>
        </w:trPr>
        <w:tc>
          <w:tcPr>
            <w:tcW w:w="1242" w:type="dxa"/>
            <w:vMerge w:val="restart"/>
            <w:tcBorders>
              <w:top w:val="single" w:sz="4" w:space="0" w:color="000000"/>
              <w:left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年度绩效指标完成情况</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仿宋_GB2312"/>
                <w:kern w:val="0"/>
                <w:sz w:val="18"/>
                <w:szCs w:val="18"/>
              </w:rPr>
            </w:pPr>
            <w:r>
              <w:rPr>
                <w:rFonts w:asciiTheme="minorEastAsia" w:eastAsiaTheme="minorEastAsia" w:hAnsiTheme="minorEastAsia" w:cs="仿宋_GB2312" w:hint="eastAsia"/>
                <w:kern w:val="0"/>
                <w:sz w:val="18"/>
                <w:szCs w:val="18"/>
              </w:rPr>
              <w:t>一级</w:t>
            </w:r>
          </w:p>
          <w:p w:rsidR="00D85F58" w:rsidRDefault="00DD1531">
            <w:pPr>
              <w:widowControl/>
              <w:spacing w:line="320" w:lineRule="exact"/>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指标</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仿宋_GB2312"/>
                <w:kern w:val="0"/>
                <w:sz w:val="18"/>
                <w:szCs w:val="18"/>
              </w:rPr>
            </w:pPr>
            <w:r>
              <w:rPr>
                <w:rFonts w:asciiTheme="minorEastAsia" w:eastAsiaTheme="minorEastAsia" w:hAnsiTheme="minorEastAsia" w:cs="仿宋_GB2312" w:hint="eastAsia"/>
                <w:kern w:val="0"/>
                <w:sz w:val="18"/>
                <w:szCs w:val="18"/>
              </w:rPr>
              <w:t>二级</w:t>
            </w:r>
          </w:p>
          <w:p w:rsidR="00D85F58" w:rsidRDefault="00DD1531">
            <w:pPr>
              <w:widowControl/>
              <w:spacing w:line="320" w:lineRule="exact"/>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仿宋_GB2312"/>
                <w:kern w:val="0"/>
                <w:sz w:val="18"/>
                <w:szCs w:val="18"/>
              </w:rPr>
            </w:pPr>
            <w:r>
              <w:rPr>
                <w:rFonts w:asciiTheme="minorEastAsia" w:eastAsiaTheme="minorEastAsia" w:hAnsiTheme="minorEastAsia" w:cs="仿宋_GB2312" w:hint="eastAsia"/>
                <w:kern w:val="0"/>
                <w:sz w:val="18"/>
                <w:szCs w:val="18"/>
              </w:rPr>
              <w:t>三级</w:t>
            </w:r>
          </w:p>
          <w:p w:rsidR="00D85F58" w:rsidRDefault="00DD1531">
            <w:pPr>
              <w:widowControl/>
              <w:spacing w:line="320" w:lineRule="exact"/>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指标</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预期指标值</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实际完成指标值</w:t>
            </w:r>
          </w:p>
        </w:tc>
      </w:tr>
      <w:tr w:rsidR="00D85F58">
        <w:trPr>
          <w:gridAfter w:val="1"/>
          <w:wAfter w:w="236" w:type="dxa"/>
          <w:trHeight w:val="415"/>
        </w:trPr>
        <w:tc>
          <w:tcPr>
            <w:tcW w:w="1242"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bottom"/>
              <w:rPr>
                <w:rFonts w:asciiTheme="minorEastAsia" w:eastAsiaTheme="minorEastAsia" w:hAnsiTheme="minorEastAsia" w:cs="仿宋_GB2312"/>
                <w:kern w:val="0"/>
                <w:sz w:val="18"/>
                <w:szCs w:val="18"/>
              </w:rPr>
            </w:pPr>
            <w:r>
              <w:rPr>
                <w:rFonts w:asciiTheme="minorEastAsia" w:eastAsiaTheme="minorEastAsia" w:hAnsiTheme="minorEastAsia" w:cs="仿宋_GB2312" w:hint="eastAsia"/>
                <w:kern w:val="0"/>
                <w:sz w:val="18"/>
                <w:szCs w:val="18"/>
              </w:rPr>
              <w:t>完成</w:t>
            </w:r>
          </w:p>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指标</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数量指标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完成市级食品安全抽检任务</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2075</w:t>
            </w:r>
            <w:r>
              <w:rPr>
                <w:rFonts w:hint="eastAsia"/>
                <w:sz w:val="18"/>
                <w:szCs w:val="18"/>
              </w:rPr>
              <w:t>批次</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2075</w:t>
            </w:r>
            <w:r>
              <w:rPr>
                <w:rFonts w:hint="eastAsia"/>
                <w:sz w:val="18"/>
                <w:szCs w:val="18"/>
              </w:rPr>
              <w:t>批次</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r>
      <w:tr w:rsidR="00D85F58">
        <w:trPr>
          <w:gridAfter w:val="1"/>
          <w:wAfter w:w="236" w:type="dxa"/>
          <w:trHeight w:val="415"/>
        </w:trPr>
        <w:tc>
          <w:tcPr>
            <w:tcW w:w="1242"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质量指标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食品检验批次按要求完成</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食品抽检实施细则完成并提供相关检验报告。</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食品抽检实施细则完成并提供相关检验报告。</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r>
      <w:tr w:rsidR="00D85F58">
        <w:trPr>
          <w:gridAfter w:val="1"/>
          <w:wAfter w:w="236" w:type="dxa"/>
          <w:trHeight w:val="415"/>
        </w:trPr>
        <w:tc>
          <w:tcPr>
            <w:tcW w:w="1242"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时效指标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全年按计划完成</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2021</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2021</w:t>
            </w:r>
          </w:p>
        </w:tc>
      </w:tr>
      <w:tr w:rsidR="00D85F58">
        <w:trPr>
          <w:gridAfter w:val="1"/>
          <w:wAfter w:w="236" w:type="dxa"/>
          <w:trHeight w:val="480"/>
        </w:trPr>
        <w:tc>
          <w:tcPr>
            <w:tcW w:w="1242"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成本指标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全年按照市局要求完成全年抽检样品工作。</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主要用于购买实验用标准物质及药品试剂、购样费、下厂抽样加油费及过路费等方面支出</w:t>
            </w:r>
            <w:r>
              <w:rPr>
                <w:rFonts w:hint="eastAsia"/>
                <w:sz w:val="18"/>
                <w:szCs w:val="18"/>
              </w:rPr>
              <w:t>16</w:t>
            </w:r>
            <w:r>
              <w:rPr>
                <w:rFonts w:hint="eastAsia"/>
                <w:sz w:val="18"/>
                <w:szCs w:val="18"/>
              </w:rPr>
              <w:t>万元。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主要用于购买实验用标准物质及药品试剂、购样费、下厂抽样加油费及过路费等方面支出</w:t>
            </w:r>
            <w:r>
              <w:rPr>
                <w:rFonts w:hint="eastAsia"/>
                <w:sz w:val="18"/>
                <w:szCs w:val="18"/>
              </w:rPr>
              <w:t>16</w:t>
            </w:r>
            <w:r>
              <w:rPr>
                <w:rFonts w:hint="eastAsia"/>
                <w:sz w:val="18"/>
                <w:szCs w:val="18"/>
              </w:rPr>
              <w:t>万元。</w:t>
            </w:r>
          </w:p>
        </w:tc>
      </w:tr>
      <w:tr w:rsidR="00D85F58">
        <w:trPr>
          <w:gridAfter w:val="1"/>
          <w:wAfter w:w="236" w:type="dxa"/>
          <w:trHeight w:val="480"/>
        </w:trPr>
        <w:tc>
          <w:tcPr>
            <w:tcW w:w="1242"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效益</w:t>
            </w:r>
            <w:r>
              <w:rPr>
                <w:rFonts w:asciiTheme="minorEastAsia" w:eastAsiaTheme="minorEastAsia" w:hAnsiTheme="minorEastAsia" w:cs="仿宋_GB2312" w:hint="eastAsia"/>
                <w:kern w:val="0"/>
                <w:sz w:val="18"/>
                <w:szCs w:val="18"/>
              </w:rPr>
              <w:br/>
              <w:t>指标</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经济效益  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符合《食品安全法》等法律法规对群众食品安全利益的保护。</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按要求对食品进行抽验。</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按要求对食品进行抽验。</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r>
      <w:tr w:rsidR="00D85F58">
        <w:trPr>
          <w:gridAfter w:val="1"/>
          <w:wAfter w:w="236" w:type="dxa"/>
          <w:trHeight w:val="480"/>
        </w:trPr>
        <w:tc>
          <w:tcPr>
            <w:tcW w:w="1242"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社会效益  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提高公众对食品安全意识</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hint="eastAsia"/>
                <w:sz w:val="18"/>
                <w:szCs w:val="18"/>
              </w:rPr>
              <w:t>按要求对食品进行抽验</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hint="eastAsia"/>
                <w:sz w:val="18"/>
                <w:szCs w:val="18"/>
              </w:rPr>
              <w:t>按要求对食品进行抽验</w:t>
            </w:r>
          </w:p>
        </w:tc>
      </w:tr>
      <w:tr w:rsidR="00D85F58">
        <w:trPr>
          <w:gridAfter w:val="1"/>
          <w:wAfter w:w="236" w:type="dxa"/>
          <w:trHeight w:val="577"/>
        </w:trPr>
        <w:tc>
          <w:tcPr>
            <w:tcW w:w="1242"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ind w:leftChars="87" w:left="363" w:hangingChars="100" w:hanging="180"/>
              <w:jc w:val="left"/>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生态效益  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加强各类产品质量管理</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达到预期目标</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达到预期目标</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r>
      <w:tr w:rsidR="00D85F58">
        <w:trPr>
          <w:gridAfter w:val="1"/>
          <w:wAfter w:w="236" w:type="dxa"/>
          <w:trHeight w:val="480"/>
        </w:trPr>
        <w:tc>
          <w:tcPr>
            <w:tcW w:w="1242" w:type="dxa"/>
            <w:vMerge/>
            <w:tcBorders>
              <w:left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85F58">
            <w:pPr>
              <w:spacing w:line="320" w:lineRule="exact"/>
              <w:jc w:val="center"/>
              <w:rPr>
                <w:rFonts w:asciiTheme="minorEastAsia" w:eastAsiaTheme="minorEastAsia" w:hAnsiTheme="minorEastAsia" w:cs="仿宋_GB2312"/>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可持续影响 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提高公众对工业产品、食品（保健食品）安全的认识。</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达到预期目标</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达到预期目标</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r>
      <w:tr w:rsidR="00D85F58">
        <w:trPr>
          <w:gridAfter w:val="1"/>
          <w:wAfter w:w="236" w:type="dxa"/>
          <w:trHeight w:val="530"/>
        </w:trPr>
        <w:tc>
          <w:tcPr>
            <w:tcW w:w="1242" w:type="dxa"/>
            <w:vMerge/>
            <w:tcBorders>
              <w:left w:val="single" w:sz="4" w:space="0" w:color="000000"/>
              <w:bottom w:val="single" w:sz="4" w:space="0" w:color="000000"/>
              <w:right w:val="single" w:sz="4" w:space="0" w:color="000000"/>
            </w:tcBorders>
            <w:shd w:val="clear" w:color="auto" w:fill="auto"/>
            <w:vAlign w:val="center"/>
          </w:tcPr>
          <w:p w:rsidR="00D85F58" w:rsidRDefault="00D85F58">
            <w:pPr>
              <w:spacing w:line="320" w:lineRule="exact"/>
              <w:jc w:val="center"/>
              <w:rPr>
                <w:rFonts w:asciiTheme="minorEastAsia" w:eastAsiaTheme="minorEastAsia" w:hAnsiTheme="minorEastAsia" w:cs="仿宋_GB2312"/>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满意</w:t>
            </w:r>
            <w:r>
              <w:rPr>
                <w:rFonts w:asciiTheme="minorEastAsia" w:eastAsiaTheme="minorEastAsia" w:hAnsiTheme="minorEastAsia" w:cs="仿宋_GB2312" w:hint="eastAsia"/>
                <w:kern w:val="0"/>
                <w:sz w:val="18"/>
                <w:szCs w:val="18"/>
              </w:rPr>
              <w:br/>
              <w:t>度指标</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kern w:val="0"/>
                <w:sz w:val="18"/>
                <w:szCs w:val="18"/>
              </w:rPr>
            </w:pPr>
            <w:r>
              <w:rPr>
                <w:rFonts w:asciiTheme="minorEastAsia" w:eastAsiaTheme="minorEastAsia" w:hAnsiTheme="minorEastAsia" w:cs="仿宋_GB2312" w:hint="eastAsia"/>
                <w:kern w:val="0"/>
                <w:sz w:val="18"/>
                <w:szCs w:val="18"/>
              </w:rPr>
              <w:t>满意度</w:t>
            </w:r>
          </w:p>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kern w:val="0"/>
                <w:sz w:val="18"/>
                <w:szCs w:val="18"/>
              </w:rPr>
              <w:t>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jc w:val="center"/>
              <w:rPr>
                <w:rFonts w:ascii="宋体" w:hAnsi="宋体" w:cs="宋体"/>
                <w:sz w:val="18"/>
                <w:szCs w:val="18"/>
              </w:rPr>
            </w:pPr>
            <w:r>
              <w:rPr>
                <w:rFonts w:hint="eastAsia"/>
                <w:sz w:val="18"/>
                <w:szCs w:val="18"/>
              </w:rPr>
              <w:t>公众对食品抽验工作满意度</w:t>
            </w:r>
          </w:p>
          <w:p w:rsidR="00D85F58" w:rsidRDefault="00D85F58">
            <w:pPr>
              <w:widowControl/>
              <w:spacing w:line="320" w:lineRule="exact"/>
              <w:jc w:val="center"/>
              <w:textAlignment w:val="bottom"/>
              <w:rPr>
                <w:rFonts w:asciiTheme="minorEastAsia" w:eastAsiaTheme="minorEastAsia" w:hAnsiTheme="minorEastAsia" w:cs="仿宋_GB2312"/>
                <w:sz w:val="18"/>
                <w:szCs w:val="18"/>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基本满意</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5F58" w:rsidRDefault="00DD1531">
            <w:pPr>
              <w:widowControl/>
              <w:spacing w:line="320" w:lineRule="exact"/>
              <w:jc w:val="center"/>
              <w:textAlignment w:val="bottom"/>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基本满意</w:t>
            </w:r>
          </w:p>
        </w:tc>
      </w:tr>
    </w:tbl>
    <w:p w:rsidR="00D85F58" w:rsidRDefault="00D85F58">
      <w:pPr>
        <w:pStyle w:val="a3"/>
        <w:spacing w:before="93"/>
      </w:pPr>
    </w:p>
    <w:p w:rsidR="00D85F58" w:rsidRDefault="00D85F58">
      <w:pPr>
        <w:pStyle w:val="a3"/>
        <w:spacing w:before="93"/>
      </w:pPr>
    </w:p>
    <w:p w:rsidR="00D85F58" w:rsidRDefault="00D85F58">
      <w:pPr>
        <w:spacing w:line="600" w:lineRule="exact"/>
        <w:jc w:val="center"/>
        <w:outlineLvl w:val="0"/>
        <w:rPr>
          <w:rFonts w:ascii="黑体" w:eastAsia="黑体" w:hAnsi="黑体"/>
          <w:sz w:val="44"/>
          <w:szCs w:val="44"/>
        </w:rPr>
      </w:pPr>
    </w:p>
    <w:p w:rsidR="00D85F58" w:rsidRDefault="00D85F58">
      <w:pPr>
        <w:pStyle w:val="a3"/>
        <w:spacing w:before="93"/>
      </w:pPr>
    </w:p>
    <w:p w:rsidR="00D85F58" w:rsidRDefault="00D85F58">
      <w:pPr>
        <w:spacing w:line="600" w:lineRule="exact"/>
        <w:jc w:val="center"/>
        <w:outlineLvl w:val="0"/>
        <w:rPr>
          <w:rFonts w:ascii="黑体" w:eastAsia="黑体" w:hAnsi="黑体"/>
          <w:sz w:val="44"/>
          <w:szCs w:val="44"/>
        </w:rPr>
      </w:pPr>
    </w:p>
    <w:p w:rsidR="00D85F58" w:rsidRDefault="00DD1531">
      <w:pPr>
        <w:spacing w:line="600" w:lineRule="exact"/>
        <w:jc w:val="center"/>
        <w:outlineLvl w:val="0"/>
        <w:rPr>
          <w:rFonts w:ascii="仿宋" w:eastAsia="仿宋" w:hAnsi="仿宋"/>
        </w:rPr>
      </w:pPr>
      <w:r>
        <w:rPr>
          <w:rFonts w:ascii="黑体" w:eastAsia="黑体" w:hAnsi="黑体" w:hint="eastAsia"/>
          <w:sz w:val="44"/>
          <w:szCs w:val="44"/>
        </w:rPr>
        <w:t>第</w:t>
      </w:r>
      <w:r>
        <w:rPr>
          <w:rStyle w:val="1Char"/>
          <w:rFonts w:ascii="黑体" w:eastAsia="黑体" w:hAnsi="黑体" w:hint="eastAsia"/>
          <w:b w:val="0"/>
        </w:rPr>
        <w:t>五部分 附表</w:t>
      </w:r>
      <w:bookmarkStart w:id="57" w:name="_Toc15396619"/>
      <w:bookmarkEnd w:id="54"/>
      <w:bookmarkEnd w:id="56"/>
    </w:p>
    <w:p w:rsidR="00D85F58" w:rsidRDefault="00DD1531">
      <w:pPr>
        <w:rPr>
          <w:rStyle w:val="a7"/>
          <w:rFonts w:ascii="仿宋_GB2312" w:eastAsia="仿宋_GB2312" w:hAnsi="Calibri" w:cs="仿宋"/>
          <w:b w:val="0"/>
          <w:color w:val="000000"/>
          <w:kern w:val="0"/>
          <w:sz w:val="32"/>
          <w:szCs w:val="32"/>
        </w:rPr>
      </w:pPr>
      <w:r>
        <w:rPr>
          <w:rStyle w:val="a7"/>
          <w:rFonts w:ascii="仿宋_GB2312" w:eastAsia="仿宋_GB2312" w:hAnsi="Calibri" w:cs="仿宋" w:hint="eastAsia"/>
          <w:b w:val="0"/>
          <w:color w:val="000000"/>
          <w:kern w:val="0"/>
          <w:sz w:val="32"/>
          <w:szCs w:val="32"/>
        </w:rPr>
        <w:t>一、收入支出决算总表</w:t>
      </w:r>
      <w:bookmarkEnd w:id="57"/>
    </w:p>
    <w:p w:rsidR="00D85F58" w:rsidRDefault="00DD1531">
      <w:pPr>
        <w:rPr>
          <w:rStyle w:val="a7"/>
          <w:rFonts w:ascii="仿宋_GB2312" w:eastAsia="仿宋_GB2312" w:hAnsi="Calibri" w:cs="仿宋"/>
          <w:b w:val="0"/>
          <w:color w:val="000000"/>
          <w:kern w:val="0"/>
          <w:sz w:val="32"/>
          <w:szCs w:val="32"/>
        </w:rPr>
      </w:pPr>
      <w:bookmarkStart w:id="58" w:name="_Toc15396620"/>
      <w:r>
        <w:rPr>
          <w:rStyle w:val="a7"/>
          <w:rFonts w:ascii="仿宋_GB2312" w:eastAsia="仿宋_GB2312" w:hAnsi="Calibri" w:cs="仿宋" w:hint="eastAsia"/>
          <w:b w:val="0"/>
          <w:color w:val="000000"/>
          <w:kern w:val="0"/>
          <w:sz w:val="32"/>
          <w:szCs w:val="32"/>
        </w:rPr>
        <w:t>二、收入决算表</w:t>
      </w:r>
      <w:bookmarkEnd w:id="58"/>
    </w:p>
    <w:p w:rsidR="00D85F58" w:rsidRDefault="00DD1531">
      <w:pPr>
        <w:rPr>
          <w:rStyle w:val="a7"/>
          <w:rFonts w:ascii="仿宋_GB2312" w:eastAsia="仿宋_GB2312" w:hAnsi="Calibri" w:cs="仿宋"/>
          <w:b w:val="0"/>
          <w:color w:val="000000"/>
          <w:kern w:val="0"/>
          <w:sz w:val="32"/>
          <w:szCs w:val="32"/>
        </w:rPr>
      </w:pPr>
      <w:bookmarkStart w:id="59" w:name="_Toc15396621"/>
      <w:r>
        <w:rPr>
          <w:rStyle w:val="a7"/>
          <w:rFonts w:ascii="仿宋_GB2312" w:eastAsia="仿宋_GB2312" w:hAnsi="Calibri" w:cs="仿宋" w:hint="eastAsia"/>
          <w:b w:val="0"/>
          <w:color w:val="000000"/>
          <w:kern w:val="0"/>
          <w:sz w:val="32"/>
          <w:szCs w:val="32"/>
        </w:rPr>
        <w:t>三、支出决算表</w:t>
      </w:r>
      <w:bookmarkEnd w:id="59"/>
    </w:p>
    <w:p w:rsidR="00D85F58" w:rsidRDefault="00DD1531">
      <w:pPr>
        <w:rPr>
          <w:rStyle w:val="a7"/>
          <w:rFonts w:ascii="仿宋_GB2312" w:eastAsia="仿宋_GB2312" w:hAnsi="Calibri" w:cs="仿宋"/>
          <w:b w:val="0"/>
          <w:color w:val="000000"/>
          <w:kern w:val="0"/>
          <w:sz w:val="32"/>
          <w:szCs w:val="32"/>
        </w:rPr>
      </w:pPr>
      <w:bookmarkStart w:id="60" w:name="_Toc15396622"/>
      <w:r>
        <w:rPr>
          <w:rStyle w:val="a7"/>
          <w:rFonts w:ascii="仿宋_GB2312" w:eastAsia="仿宋_GB2312" w:hAnsi="Calibri" w:cs="仿宋" w:hint="eastAsia"/>
          <w:b w:val="0"/>
          <w:color w:val="000000"/>
          <w:kern w:val="0"/>
          <w:sz w:val="32"/>
          <w:szCs w:val="32"/>
        </w:rPr>
        <w:t>四、财政拨款收入支出决算总表</w:t>
      </w:r>
      <w:bookmarkEnd w:id="60"/>
    </w:p>
    <w:p w:rsidR="00D85F58" w:rsidRDefault="00DD1531">
      <w:pPr>
        <w:rPr>
          <w:rStyle w:val="a7"/>
          <w:rFonts w:ascii="仿宋_GB2312" w:eastAsia="仿宋_GB2312" w:hAnsi="Calibri" w:cs="仿宋"/>
          <w:b w:val="0"/>
          <w:color w:val="000000"/>
          <w:kern w:val="0"/>
          <w:sz w:val="32"/>
          <w:szCs w:val="32"/>
        </w:rPr>
      </w:pPr>
      <w:bookmarkStart w:id="61" w:name="_Toc15396623"/>
      <w:r>
        <w:rPr>
          <w:rStyle w:val="a7"/>
          <w:rFonts w:ascii="仿宋_GB2312" w:eastAsia="仿宋_GB2312" w:hAnsi="Calibri" w:cs="仿宋" w:hint="eastAsia"/>
          <w:b w:val="0"/>
          <w:color w:val="000000"/>
          <w:kern w:val="0"/>
          <w:sz w:val="32"/>
          <w:szCs w:val="32"/>
        </w:rPr>
        <w:t>五、财政拨款支出决算明细表</w:t>
      </w:r>
      <w:bookmarkStart w:id="62" w:name="_Toc15396624"/>
      <w:bookmarkEnd w:id="61"/>
    </w:p>
    <w:p w:rsidR="00D85F58" w:rsidRDefault="00DD1531">
      <w:pPr>
        <w:rPr>
          <w:rStyle w:val="a7"/>
          <w:rFonts w:ascii="仿宋_GB2312" w:eastAsia="仿宋_GB2312" w:hAnsi="Calibri" w:cs="仿宋"/>
          <w:b w:val="0"/>
          <w:color w:val="000000"/>
          <w:kern w:val="0"/>
          <w:sz w:val="32"/>
          <w:szCs w:val="32"/>
        </w:rPr>
      </w:pPr>
      <w:r>
        <w:rPr>
          <w:rStyle w:val="a7"/>
          <w:rFonts w:ascii="仿宋_GB2312" w:eastAsia="仿宋_GB2312" w:hAnsi="Calibri" w:cs="仿宋" w:hint="eastAsia"/>
          <w:b w:val="0"/>
          <w:color w:val="000000"/>
          <w:kern w:val="0"/>
          <w:sz w:val="32"/>
          <w:szCs w:val="32"/>
        </w:rPr>
        <w:t>六、一般公共预算财政拨款支出决算表</w:t>
      </w:r>
      <w:bookmarkEnd w:id="62"/>
    </w:p>
    <w:p w:rsidR="00D85F58" w:rsidRDefault="00DD1531">
      <w:pPr>
        <w:rPr>
          <w:rStyle w:val="a7"/>
          <w:rFonts w:ascii="仿宋_GB2312" w:eastAsia="仿宋_GB2312" w:hAnsi="Calibri" w:cs="仿宋"/>
          <w:b w:val="0"/>
          <w:color w:val="000000"/>
          <w:kern w:val="0"/>
          <w:sz w:val="32"/>
          <w:szCs w:val="32"/>
        </w:rPr>
      </w:pPr>
      <w:bookmarkStart w:id="63" w:name="_Toc15396625"/>
      <w:r>
        <w:rPr>
          <w:rStyle w:val="a7"/>
          <w:rFonts w:ascii="仿宋_GB2312" w:eastAsia="仿宋_GB2312" w:hAnsi="Calibri" w:cs="仿宋" w:hint="eastAsia"/>
          <w:b w:val="0"/>
          <w:color w:val="000000"/>
          <w:kern w:val="0"/>
          <w:sz w:val="32"/>
          <w:szCs w:val="32"/>
        </w:rPr>
        <w:t>七、一般公共预算财政拨款支出决算明细表</w:t>
      </w:r>
      <w:bookmarkEnd w:id="63"/>
    </w:p>
    <w:p w:rsidR="00D85F58" w:rsidRDefault="00DD1531">
      <w:pPr>
        <w:rPr>
          <w:rStyle w:val="a7"/>
          <w:rFonts w:ascii="仿宋_GB2312" w:eastAsia="仿宋_GB2312" w:hAnsi="Calibri" w:cs="仿宋"/>
          <w:b w:val="0"/>
          <w:color w:val="000000"/>
          <w:kern w:val="0"/>
          <w:sz w:val="32"/>
          <w:szCs w:val="32"/>
        </w:rPr>
      </w:pPr>
      <w:bookmarkStart w:id="64" w:name="_Toc15396626"/>
      <w:r>
        <w:rPr>
          <w:rStyle w:val="a7"/>
          <w:rFonts w:ascii="仿宋_GB2312" w:eastAsia="仿宋_GB2312" w:hAnsi="Calibri" w:cs="仿宋" w:hint="eastAsia"/>
          <w:b w:val="0"/>
          <w:color w:val="000000"/>
          <w:kern w:val="0"/>
          <w:sz w:val="32"/>
          <w:szCs w:val="32"/>
        </w:rPr>
        <w:t>八、一般公共预算财政拨款基本支出决算表</w:t>
      </w:r>
      <w:bookmarkEnd w:id="64"/>
    </w:p>
    <w:p w:rsidR="00D85F58" w:rsidRDefault="00DD1531">
      <w:pPr>
        <w:rPr>
          <w:rStyle w:val="a7"/>
          <w:rFonts w:ascii="仿宋_GB2312" w:eastAsia="仿宋_GB2312" w:hAnsi="Calibri" w:cs="仿宋"/>
          <w:b w:val="0"/>
          <w:color w:val="000000"/>
          <w:kern w:val="0"/>
          <w:sz w:val="32"/>
          <w:szCs w:val="32"/>
        </w:rPr>
      </w:pPr>
      <w:bookmarkStart w:id="65" w:name="_Toc15396627"/>
      <w:r>
        <w:rPr>
          <w:rStyle w:val="a7"/>
          <w:rFonts w:ascii="仿宋_GB2312" w:eastAsia="仿宋_GB2312" w:hAnsi="Calibri" w:cs="仿宋" w:hint="eastAsia"/>
          <w:b w:val="0"/>
          <w:color w:val="000000"/>
          <w:kern w:val="0"/>
          <w:sz w:val="32"/>
          <w:szCs w:val="32"/>
        </w:rPr>
        <w:t>九、一般公共预算财政拨款项目支出决算表</w:t>
      </w:r>
      <w:bookmarkEnd w:id="65"/>
    </w:p>
    <w:p w:rsidR="00D85F58" w:rsidRDefault="00DD1531">
      <w:pPr>
        <w:rPr>
          <w:rStyle w:val="a7"/>
          <w:rFonts w:ascii="仿宋_GB2312" w:eastAsia="仿宋_GB2312" w:hAnsi="Calibri" w:cs="仿宋"/>
          <w:b w:val="0"/>
          <w:color w:val="000000"/>
          <w:kern w:val="0"/>
          <w:sz w:val="32"/>
          <w:szCs w:val="32"/>
        </w:rPr>
      </w:pPr>
      <w:bookmarkStart w:id="66" w:name="_Toc15396628"/>
      <w:r>
        <w:rPr>
          <w:rStyle w:val="a7"/>
          <w:rFonts w:ascii="仿宋_GB2312" w:eastAsia="仿宋_GB2312" w:hAnsi="Calibri" w:cs="仿宋" w:hint="eastAsia"/>
          <w:b w:val="0"/>
          <w:color w:val="000000"/>
          <w:kern w:val="0"/>
          <w:sz w:val="32"/>
          <w:szCs w:val="32"/>
        </w:rPr>
        <w:t>十、一般公共预算财政拨款“三公”经费支出决算表</w:t>
      </w:r>
      <w:bookmarkEnd w:id="66"/>
    </w:p>
    <w:p w:rsidR="00D85F58" w:rsidRDefault="00DD1531">
      <w:pPr>
        <w:rPr>
          <w:rStyle w:val="a7"/>
          <w:rFonts w:ascii="仿宋_GB2312" w:eastAsia="仿宋_GB2312" w:hAnsi="Calibri" w:cs="仿宋"/>
          <w:b w:val="0"/>
          <w:color w:val="000000"/>
          <w:kern w:val="0"/>
          <w:sz w:val="32"/>
          <w:szCs w:val="32"/>
        </w:rPr>
      </w:pPr>
      <w:bookmarkStart w:id="67" w:name="_Toc15396629"/>
      <w:r>
        <w:rPr>
          <w:rStyle w:val="a7"/>
          <w:rFonts w:ascii="仿宋_GB2312" w:eastAsia="仿宋_GB2312" w:hAnsi="Calibri" w:cs="仿宋" w:hint="eastAsia"/>
          <w:b w:val="0"/>
          <w:color w:val="000000"/>
          <w:kern w:val="0"/>
          <w:sz w:val="32"/>
          <w:szCs w:val="32"/>
        </w:rPr>
        <w:t>十一、政府性基金预算财政拨款收入支出决算表</w:t>
      </w:r>
      <w:bookmarkEnd w:id="67"/>
      <w:r>
        <w:rPr>
          <w:rStyle w:val="a7"/>
          <w:rFonts w:ascii="仿宋_GB2312" w:eastAsia="仿宋_GB2312" w:hAnsi="Calibri" w:cs="仿宋" w:hint="eastAsia"/>
          <w:b w:val="0"/>
          <w:color w:val="000000"/>
          <w:kern w:val="0"/>
          <w:sz w:val="32"/>
          <w:szCs w:val="32"/>
        </w:rPr>
        <w:t>（此表无数据）</w:t>
      </w:r>
    </w:p>
    <w:p w:rsidR="00D85F58" w:rsidRDefault="00DD1531">
      <w:pPr>
        <w:rPr>
          <w:rStyle w:val="a7"/>
          <w:rFonts w:ascii="仿宋_GB2312" w:eastAsia="仿宋_GB2312" w:hAnsi="Calibri" w:cs="仿宋"/>
          <w:b w:val="0"/>
          <w:color w:val="000000"/>
          <w:kern w:val="0"/>
          <w:sz w:val="32"/>
          <w:szCs w:val="32"/>
        </w:rPr>
      </w:pPr>
      <w:bookmarkStart w:id="68" w:name="_Toc15396630"/>
      <w:r>
        <w:rPr>
          <w:rStyle w:val="a7"/>
          <w:rFonts w:ascii="仿宋_GB2312" w:eastAsia="仿宋_GB2312" w:hAnsi="Calibri" w:cs="仿宋" w:hint="eastAsia"/>
          <w:b w:val="0"/>
          <w:color w:val="000000"/>
          <w:kern w:val="0"/>
          <w:sz w:val="32"/>
          <w:szCs w:val="32"/>
        </w:rPr>
        <w:t>十二、政府性基金预算财政拨款“三公”经费支出决算表</w:t>
      </w:r>
      <w:bookmarkEnd w:id="68"/>
      <w:r>
        <w:rPr>
          <w:rStyle w:val="a7"/>
          <w:rFonts w:ascii="仿宋_GB2312" w:eastAsia="仿宋_GB2312" w:hAnsi="Calibri" w:cs="仿宋" w:hint="eastAsia"/>
          <w:b w:val="0"/>
          <w:color w:val="000000"/>
          <w:kern w:val="0"/>
          <w:sz w:val="32"/>
          <w:szCs w:val="32"/>
        </w:rPr>
        <w:t>（此表无数据）</w:t>
      </w:r>
    </w:p>
    <w:p w:rsidR="00D85F58" w:rsidRDefault="00DD1531">
      <w:pPr>
        <w:rPr>
          <w:rStyle w:val="a7"/>
          <w:rFonts w:ascii="仿宋_GB2312" w:eastAsia="仿宋_GB2312" w:hAnsi="Calibri" w:cs="仿宋"/>
          <w:b w:val="0"/>
          <w:color w:val="000000"/>
          <w:kern w:val="0"/>
          <w:sz w:val="32"/>
          <w:szCs w:val="32"/>
        </w:rPr>
      </w:pPr>
      <w:bookmarkStart w:id="69" w:name="_Toc15396631"/>
      <w:r>
        <w:rPr>
          <w:rStyle w:val="a7"/>
          <w:rFonts w:ascii="仿宋_GB2312" w:eastAsia="仿宋_GB2312" w:hAnsi="Calibri" w:cs="仿宋" w:hint="eastAsia"/>
          <w:b w:val="0"/>
          <w:color w:val="000000"/>
          <w:kern w:val="0"/>
          <w:sz w:val="32"/>
          <w:szCs w:val="32"/>
        </w:rPr>
        <w:t>十三、国有资本经营预算财政拨款收入支出决算表</w:t>
      </w:r>
      <w:bookmarkEnd w:id="69"/>
      <w:r>
        <w:rPr>
          <w:rStyle w:val="a7"/>
          <w:rFonts w:ascii="仿宋_GB2312" w:eastAsia="仿宋_GB2312" w:hAnsi="Calibri" w:cs="仿宋" w:hint="eastAsia"/>
          <w:b w:val="0"/>
          <w:color w:val="000000"/>
          <w:kern w:val="0"/>
          <w:sz w:val="32"/>
          <w:szCs w:val="32"/>
        </w:rPr>
        <w:t>（此表无数据）</w:t>
      </w:r>
    </w:p>
    <w:p w:rsidR="00D85F58" w:rsidRDefault="00DD1531">
      <w:pPr>
        <w:rPr>
          <w:rStyle w:val="a7"/>
          <w:rFonts w:ascii="仿宋_GB2312" w:eastAsia="仿宋_GB2312" w:hAnsi="Calibri" w:cs="仿宋"/>
          <w:b w:val="0"/>
          <w:color w:val="000000"/>
          <w:kern w:val="0"/>
          <w:sz w:val="32"/>
          <w:szCs w:val="32"/>
        </w:rPr>
      </w:pPr>
      <w:r>
        <w:rPr>
          <w:rStyle w:val="a7"/>
          <w:rFonts w:ascii="仿宋_GB2312" w:eastAsia="仿宋_GB2312" w:hAnsi="Calibri" w:cs="仿宋" w:hint="eastAsia"/>
          <w:b w:val="0"/>
          <w:color w:val="000000"/>
          <w:kern w:val="0"/>
          <w:sz w:val="32"/>
          <w:szCs w:val="32"/>
        </w:rPr>
        <w:t>十四、国有资本经营预算财政拨款支出决算表（此表无数据）</w:t>
      </w:r>
    </w:p>
    <w:sectPr w:rsidR="00D85F58">
      <w:headerReference w:type="default" r:id="rId14"/>
      <w:footerReference w:type="default" r:id="rId15"/>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6C4" w:rsidRDefault="006856C4">
      <w:r>
        <w:separator/>
      </w:r>
    </w:p>
  </w:endnote>
  <w:endnote w:type="continuationSeparator" w:id="0">
    <w:p w:rsidR="006856C4" w:rsidRDefault="0068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楷体_GBK">
    <w:charset w:val="86"/>
    <w:family w:val="script"/>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781956"/>
    </w:sdtPr>
    <w:sdtEndPr/>
    <w:sdtContent>
      <w:p w:rsidR="00D85F58" w:rsidRDefault="00DD1531">
        <w:pPr>
          <w:pStyle w:val="a5"/>
          <w:jc w:val="center"/>
        </w:pPr>
        <w:r>
          <w:fldChar w:fldCharType="begin"/>
        </w:r>
        <w:r>
          <w:instrText>PAGE   \* MERGEFORMAT</w:instrText>
        </w:r>
        <w:r>
          <w:fldChar w:fldCharType="separate"/>
        </w:r>
        <w:r w:rsidR="0028670A" w:rsidRPr="0028670A">
          <w:rPr>
            <w:noProof/>
            <w:lang w:val="zh-CN"/>
          </w:rPr>
          <w:t>11</w:t>
        </w:r>
        <w:r>
          <w:rPr>
            <w:lang w:val="zh-CN"/>
          </w:rPr>
          <w:fldChar w:fldCharType="end"/>
        </w:r>
      </w:p>
    </w:sdtContent>
  </w:sdt>
  <w:p w:rsidR="00D85F58" w:rsidRDefault="00D85F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6C4" w:rsidRDefault="006856C4">
      <w:r>
        <w:separator/>
      </w:r>
    </w:p>
  </w:footnote>
  <w:footnote w:type="continuationSeparator" w:id="0">
    <w:p w:rsidR="006856C4" w:rsidRDefault="00685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58" w:rsidRDefault="00D85F5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00000014"/>
    <w:multiLevelType w:val="singleLevel"/>
    <w:tmpl w:val="00000014"/>
    <w:lvl w:ilvl="0">
      <w:start w:val="1"/>
      <w:numFmt w:val="chineseCounting"/>
      <w:suff w:val="nothing"/>
      <w:lvlText w:val="%1、"/>
      <w:lvlJc w:val="left"/>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3OTRmNDFkZmNhN2ZiMGI4ZjVkYThhMWFmOGZlZDYifQ=="/>
  </w:docVars>
  <w:rsids>
    <w:rsidRoot w:val="00F1361C"/>
    <w:rsid w:val="9E3A10E2"/>
    <w:rsid w:val="F2E1F9D4"/>
    <w:rsid w:val="F7880819"/>
    <w:rsid w:val="00016232"/>
    <w:rsid w:val="000222C6"/>
    <w:rsid w:val="0002549F"/>
    <w:rsid w:val="000468DB"/>
    <w:rsid w:val="0006487A"/>
    <w:rsid w:val="000653ED"/>
    <w:rsid w:val="00065F8F"/>
    <w:rsid w:val="00066106"/>
    <w:rsid w:val="00070A43"/>
    <w:rsid w:val="000768F2"/>
    <w:rsid w:val="000847F7"/>
    <w:rsid w:val="0009184B"/>
    <w:rsid w:val="00091DF8"/>
    <w:rsid w:val="00094236"/>
    <w:rsid w:val="0009593C"/>
    <w:rsid w:val="00097322"/>
    <w:rsid w:val="000A3124"/>
    <w:rsid w:val="000A6A92"/>
    <w:rsid w:val="000A7CFD"/>
    <w:rsid w:val="000B047F"/>
    <w:rsid w:val="000B17A9"/>
    <w:rsid w:val="000B5923"/>
    <w:rsid w:val="000B5A48"/>
    <w:rsid w:val="000B6FF3"/>
    <w:rsid w:val="000C3467"/>
    <w:rsid w:val="000C3CA6"/>
    <w:rsid w:val="000D1267"/>
    <w:rsid w:val="000D1D50"/>
    <w:rsid w:val="000D5782"/>
    <w:rsid w:val="000E125D"/>
    <w:rsid w:val="000E6613"/>
    <w:rsid w:val="000E7119"/>
    <w:rsid w:val="000F71D6"/>
    <w:rsid w:val="00114E9B"/>
    <w:rsid w:val="001373BB"/>
    <w:rsid w:val="00142216"/>
    <w:rsid w:val="00144D6A"/>
    <w:rsid w:val="0014729F"/>
    <w:rsid w:val="00157BAB"/>
    <w:rsid w:val="00164928"/>
    <w:rsid w:val="001654D1"/>
    <w:rsid w:val="00174518"/>
    <w:rsid w:val="0017621A"/>
    <w:rsid w:val="00180895"/>
    <w:rsid w:val="001808D9"/>
    <w:rsid w:val="0018106D"/>
    <w:rsid w:val="001877A7"/>
    <w:rsid w:val="00191536"/>
    <w:rsid w:val="00196687"/>
    <w:rsid w:val="001C0962"/>
    <w:rsid w:val="001D7531"/>
    <w:rsid w:val="001E737D"/>
    <w:rsid w:val="001F0592"/>
    <w:rsid w:val="001F0A01"/>
    <w:rsid w:val="001F7506"/>
    <w:rsid w:val="002006CD"/>
    <w:rsid w:val="00202B36"/>
    <w:rsid w:val="00204B7A"/>
    <w:rsid w:val="00204CDE"/>
    <w:rsid w:val="0021101A"/>
    <w:rsid w:val="0021125B"/>
    <w:rsid w:val="00220536"/>
    <w:rsid w:val="00235629"/>
    <w:rsid w:val="00257D5B"/>
    <w:rsid w:val="00260C38"/>
    <w:rsid w:val="002616C0"/>
    <w:rsid w:val="00265372"/>
    <w:rsid w:val="002662AA"/>
    <w:rsid w:val="00270723"/>
    <w:rsid w:val="00275338"/>
    <w:rsid w:val="0027779A"/>
    <w:rsid w:val="00277BD4"/>
    <w:rsid w:val="00280496"/>
    <w:rsid w:val="0028670A"/>
    <w:rsid w:val="00294DC9"/>
    <w:rsid w:val="00295495"/>
    <w:rsid w:val="002A31DE"/>
    <w:rsid w:val="002A487D"/>
    <w:rsid w:val="002B2613"/>
    <w:rsid w:val="002B7D58"/>
    <w:rsid w:val="002C374E"/>
    <w:rsid w:val="002D5514"/>
    <w:rsid w:val="002D6D05"/>
    <w:rsid w:val="002E4FB3"/>
    <w:rsid w:val="002F1818"/>
    <w:rsid w:val="002F567B"/>
    <w:rsid w:val="002F7A00"/>
    <w:rsid w:val="003216A9"/>
    <w:rsid w:val="00335A74"/>
    <w:rsid w:val="00353D9C"/>
    <w:rsid w:val="0036561B"/>
    <w:rsid w:val="0037013F"/>
    <w:rsid w:val="00371C80"/>
    <w:rsid w:val="00380C92"/>
    <w:rsid w:val="0038703B"/>
    <w:rsid w:val="003A484F"/>
    <w:rsid w:val="003A4883"/>
    <w:rsid w:val="003B0BE0"/>
    <w:rsid w:val="003B0C1B"/>
    <w:rsid w:val="003B688C"/>
    <w:rsid w:val="003C0291"/>
    <w:rsid w:val="003C2F3E"/>
    <w:rsid w:val="003C39AE"/>
    <w:rsid w:val="003C7B60"/>
    <w:rsid w:val="003D0C0F"/>
    <w:rsid w:val="003D1FB2"/>
    <w:rsid w:val="003D66DA"/>
    <w:rsid w:val="003E1310"/>
    <w:rsid w:val="003E6F55"/>
    <w:rsid w:val="00406254"/>
    <w:rsid w:val="004151E9"/>
    <w:rsid w:val="004223DE"/>
    <w:rsid w:val="00434489"/>
    <w:rsid w:val="00437085"/>
    <w:rsid w:val="0044366C"/>
    <w:rsid w:val="00443880"/>
    <w:rsid w:val="004464F4"/>
    <w:rsid w:val="00471401"/>
    <w:rsid w:val="00473F31"/>
    <w:rsid w:val="0048263A"/>
    <w:rsid w:val="00482967"/>
    <w:rsid w:val="00487E5D"/>
    <w:rsid w:val="004A711F"/>
    <w:rsid w:val="004A7F4B"/>
    <w:rsid w:val="004B199D"/>
    <w:rsid w:val="004B4690"/>
    <w:rsid w:val="004D41F1"/>
    <w:rsid w:val="004E0A2D"/>
    <w:rsid w:val="004E206B"/>
    <w:rsid w:val="004E2D2E"/>
    <w:rsid w:val="004E4EF6"/>
    <w:rsid w:val="004E6DF7"/>
    <w:rsid w:val="004E7291"/>
    <w:rsid w:val="004F0FBD"/>
    <w:rsid w:val="004F6C8A"/>
    <w:rsid w:val="00505A47"/>
    <w:rsid w:val="0051256D"/>
    <w:rsid w:val="00512FDA"/>
    <w:rsid w:val="00520DA0"/>
    <w:rsid w:val="00566443"/>
    <w:rsid w:val="005664BB"/>
    <w:rsid w:val="00566FFA"/>
    <w:rsid w:val="0057481D"/>
    <w:rsid w:val="005819FF"/>
    <w:rsid w:val="0058486E"/>
    <w:rsid w:val="00585B33"/>
    <w:rsid w:val="0059014D"/>
    <w:rsid w:val="005A246A"/>
    <w:rsid w:val="005A60A8"/>
    <w:rsid w:val="005B392F"/>
    <w:rsid w:val="005B5C64"/>
    <w:rsid w:val="005C5337"/>
    <w:rsid w:val="005C6BD0"/>
    <w:rsid w:val="005D1C8B"/>
    <w:rsid w:val="005D1FC8"/>
    <w:rsid w:val="005D468D"/>
    <w:rsid w:val="005D5CED"/>
    <w:rsid w:val="005F1A4C"/>
    <w:rsid w:val="00605688"/>
    <w:rsid w:val="006070AF"/>
    <w:rsid w:val="00607E6C"/>
    <w:rsid w:val="006101B1"/>
    <w:rsid w:val="00614E44"/>
    <w:rsid w:val="00622336"/>
    <w:rsid w:val="0062270A"/>
    <w:rsid w:val="00622830"/>
    <w:rsid w:val="00623DA0"/>
    <w:rsid w:val="00630AEF"/>
    <w:rsid w:val="006325F8"/>
    <w:rsid w:val="00633463"/>
    <w:rsid w:val="00634C9A"/>
    <w:rsid w:val="0064196F"/>
    <w:rsid w:val="006440E4"/>
    <w:rsid w:val="0066343B"/>
    <w:rsid w:val="00664777"/>
    <w:rsid w:val="0066479C"/>
    <w:rsid w:val="006748A4"/>
    <w:rsid w:val="00681A31"/>
    <w:rsid w:val="00683E73"/>
    <w:rsid w:val="006856C4"/>
    <w:rsid w:val="00692881"/>
    <w:rsid w:val="006A3141"/>
    <w:rsid w:val="006A31B0"/>
    <w:rsid w:val="006A43F3"/>
    <w:rsid w:val="006A5E34"/>
    <w:rsid w:val="006B1203"/>
    <w:rsid w:val="006B2422"/>
    <w:rsid w:val="006B2B9A"/>
    <w:rsid w:val="006C1937"/>
    <w:rsid w:val="006F020C"/>
    <w:rsid w:val="007127B7"/>
    <w:rsid w:val="0071798E"/>
    <w:rsid w:val="00736E4C"/>
    <w:rsid w:val="007416B6"/>
    <w:rsid w:val="00746F48"/>
    <w:rsid w:val="0075404D"/>
    <w:rsid w:val="00760935"/>
    <w:rsid w:val="0076182A"/>
    <w:rsid w:val="00767B7E"/>
    <w:rsid w:val="007770C3"/>
    <w:rsid w:val="00784D24"/>
    <w:rsid w:val="00785FBA"/>
    <w:rsid w:val="00786E4A"/>
    <w:rsid w:val="007875EB"/>
    <w:rsid w:val="00790DE6"/>
    <w:rsid w:val="0079426B"/>
    <w:rsid w:val="00794945"/>
    <w:rsid w:val="007A1DFD"/>
    <w:rsid w:val="007B7ECF"/>
    <w:rsid w:val="007D1682"/>
    <w:rsid w:val="007D312A"/>
    <w:rsid w:val="007D3F19"/>
    <w:rsid w:val="007E1BB6"/>
    <w:rsid w:val="007E23B0"/>
    <w:rsid w:val="007E23E5"/>
    <w:rsid w:val="007E5F90"/>
    <w:rsid w:val="007F1991"/>
    <w:rsid w:val="007F2C2F"/>
    <w:rsid w:val="007F55FC"/>
    <w:rsid w:val="007F5665"/>
    <w:rsid w:val="00800112"/>
    <w:rsid w:val="00803416"/>
    <w:rsid w:val="00807BBB"/>
    <w:rsid w:val="00813348"/>
    <w:rsid w:val="00815507"/>
    <w:rsid w:val="008253BB"/>
    <w:rsid w:val="0083706E"/>
    <w:rsid w:val="008408F6"/>
    <w:rsid w:val="008423A5"/>
    <w:rsid w:val="00850625"/>
    <w:rsid w:val="00853718"/>
    <w:rsid w:val="00855221"/>
    <w:rsid w:val="00860645"/>
    <w:rsid w:val="00871F71"/>
    <w:rsid w:val="00872FD8"/>
    <w:rsid w:val="00882BE0"/>
    <w:rsid w:val="008832B7"/>
    <w:rsid w:val="00885AF4"/>
    <w:rsid w:val="0088697F"/>
    <w:rsid w:val="008939CD"/>
    <w:rsid w:val="00895EAF"/>
    <w:rsid w:val="008B768C"/>
    <w:rsid w:val="008C4DB1"/>
    <w:rsid w:val="008C4EAF"/>
    <w:rsid w:val="008C5176"/>
    <w:rsid w:val="008C7FD0"/>
    <w:rsid w:val="008E0E68"/>
    <w:rsid w:val="008E1DE7"/>
    <w:rsid w:val="008E707C"/>
    <w:rsid w:val="008F108F"/>
    <w:rsid w:val="00900B08"/>
    <w:rsid w:val="00902155"/>
    <w:rsid w:val="00902FA3"/>
    <w:rsid w:val="00923564"/>
    <w:rsid w:val="0092392E"/>
    <w:rsid w:val="009315F9"/>
    <w:rsid w:val="00933499"/>
    <w:rsid w:val="00935C98"/>
    <w:rsid w:val="00946945"/>
    <w:rsid w:val="00951248"/>
    <w:rsid w:val="0095152F"/>
    <w:rsid w:val="00954C49"/>
    <w:rsid w:val="00955E37"/>
    <w:rsid w:val="00955E8B"/>
    <w:rsid w:val="0097099F"/>
    <w:rsid w:val="00971997"/>
    <w:rsid w:val="00971FFC"/>
    <w:rsid w:val="0098660A"/>
    <w:rsid w:val="009931C3"/>
    <w:rsid w:val="009938BD"/>
    <w:rsid w:val="009B2C43"/>
    <w:rsid w:val="009B4EAE"/>
    <w:rsid w:val="009B7573"/>
    <w:rsid w:val="009C22F4"/>
    <w:rsid w:val="009C2A4B"/>
    <w:rsid w:val="009C2E98"/>
    <w:rsid w:val="009D3447"/>
    <w:rsid w:val="009D4711"/>
    <w:rsid w:val="009F1185"/>
    <w:rsid w:val="009F17AE"/>
    <w:rsid w:val="009F18CD"/>
    <w:rsid w:val="009F2A13"/>
    <w:rsid w:val="009F74DB"/>
    <w:rsid w:val="009F7527"/>
    <w:rsid w:val="00A04EB0"/>
    <w:rsid w:val="00A1196D"/>
    <w:rsid w:val="00A13775"/>
    <w:rsid w:val="00A13CC1"/>
    <w:rsid w:val="00A16847"/>
    <w:rsid w:val="00A237D8"/>
    <w:rsid w:val="00A268C4"/>
    <w:rsid w:val="00A307CD"/>
    <w:rsid w:val="00A31BD9"/>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AE2C52"/>
    <w:rsid w:val="00B03C9D"/>
    <w:rsid w:val="00B060AE"/>
    <w:rsid w:val="00B10517"/>
    <w:rsid w:val="00B11338"/>
    <w:rsid w:val="00B14E76"/>
    <w:rsid w:val="00B161B8"/>
    <w:rsid w:val="00B2048C"/>
    <w:rsid w:val="00B26642"/>
    <w:rsid w:val="00B30C5F"/>
    <w:rsid w:val="00B310B9"/>
    <w:rsid w:val="00B35F3F"/>
    <w:rsid w:val="00B36CBB"/>
    <w:rsid w:val="00B425E0"/>
    <w:rsid w:val="00B440AA"/>
    <w:rsid w:val="00B44B70"/>
    <w:rsid w:val="00B50C5E"/>
    <w:rsid w:val="00B53C56"/>
    <w:rsid w:val="00B57DAF"/>
    <w:rsid w:val="00B6467A"/>
    <w:rsid w:val="00B77EA6"/>
    <w:rsid w:val="00B81598"/>
    <w:rsid w:val="00B841F1"/>
    <w:rsid w:val="00B944D6"/>
    <w:rsid w:val="00BB4DF0"/>
    <w:rsid w:val="00BC289F"/>
    <w:rsid w:val="00BC2D50"/>
    <w:rsid w:val="00BC5361"/>
    <w:rsid w:val="00BC5460"/>
    <w:rsid w:val="00BC6B50"/>
    <w:rsid w:val="00BD0E25"/>
    <w:rsid w:val="00BD3E87"/>
    <w:rsid w:val="00BE0460"/>
    <w:rsid w:val="00BF5BD6"/>
    <w:rsid w:val="00C03E31"/>
    <w:rsid w:val="00C2072B"/>
    <w:rsid w:val="00C33E72"/>
    <w:rsid w:val="00C354B2"/>
    <w:rsid w:val="00C35554"/>
    <w:rsid w:val="00C42709"/>
    <w:rsid w:val="00C533CC"/>
    <w:rsid w:val="00C5751C"/>
    <w:rsid w:val="00C61BFC"/>
    <w:rsid w:val="00C62B85"/>
    <w:rsid w:val="00C65438"/>
    <w:rsid w:val="00C71DD4"/>
    <w:rsid w:val="00C84B5A"/>
    <w:rsid w:val="00C8655D"/>
    <w:rsid w:val="00C87FD8"/>
    <w:rsid w:val="00C91381"/>
    <w:rsid w:val="00C91CBB"/>
    <w:rsid w:val="00CB4E70"/>
    <w:rsid w:val="00CC09B6"/>
    <w:rsid w:val="00CC666F"/>
    <w:rsid w:val="00CD1E3F"/>
    <w:rsid w:val="00CE08A2"/>
    <w:rsid w:val="00CE44F6"/>
    <w:rsid w:val="00CE49DA"/>
    <w:rsid w:val="00CE7B61"/>
    <w:rsid w:val="00CF65DD"/>
    <w:rsid w:val="00CF7C62"/>
    <w:rsid w:val="00D00095"/>
    <w:rsid w:val="00D114F0"/>
    <w:rsid w:val="00D20620"/>
    <w:rsid w:val="00D216FB"/>
    <w:rsid w:val="00D254F7"/>
    <w:rsid w:val="00D26091"/>
    <w:rsid w:val="00D2685C"/>
    <w:rsid w:val="00D34E7C"/>
    <w:rsid w:val="00D35489"/>
    <w:rsid w:val="00D36AFE"/>
    <w:rsid w:val="00D51276"/>
    <w:rsid w:val="00D662CF"/>
    <w:rsid w:val="00D7035F"/>
    <w:rsid w:val="00D81F38"/>
    <w:rsid w:val="00D85F58"/>
    <w:rsid w:val="00DA634F"/>
    <w:rsid w:val="00DA65AC"/>
    <w:rsid w:val="00DA74D2"/>
    <w:rsid w:val="00DB0B71"/>
    <w:rsid w:val="00DB1913"/>
    <w:rsid w:val="00DB56A3"/>
    <w:rsid w:val="00DC410D"/>
    <w:rsid w:val="00DC5A81"/>
    <w:rsid w:val="00DC68CA"/>
    <w:rsid w:val="00DC7CBA"/>
    <w:rsid w:val="00DD1531"/>
    <w:rsid w:val="00DD73B7"/>
    <w:rsid w:val="00DF06DF"/>
    <w:rsid w:val="00DF28BC"/>
    <w:rsid w:val="00DF34B9"/>
    <w:rsid w:val="00E01053"/>
    <w:rsid w:val="00E04159"/>
    <w:rsid w:val="00E05F2A"/>
    <w:rsid w:val="00E06B59"/>
    <w:rsid w:val="00E06E8A"/>
    <w:rsid w:val="00E07ACF"/>
    <w:rsid w:val="00E331A1"/>
    <w:rsid w:val="00E33202"/>
    <w:rsid w:val="00E336A9"/>
    <w:rsid w:val="00E472B1"/>
    <w:rsid w:val="00E50624"/>
    <w:rsid w:val="00E568DF"/>
    <w:rsid w:val="00E61C08"/>
    <w:rsid w:val="00E64269"/>
    <w:rsid w:val="00E67BF7"/>
    <w:rsid w:val="00E70AB8"/>
    <w:rsid w:val="00E82267"/>
    <w:rsid w:val="00E853CE"/>
    <w:rsid w:val="00E867B6"/>
    <w:rsid w:val="00EA010F"/>
    <w:rsid w:val="00EA7F67"/>
    <w:rsid w:val="00EC67B1"/>
    <w:rsid w:val="00ED1B63"/>
    <w:rsid w:val="00ED3C1F"/>
    <w:rsid w:val="00ED4085"/>
    <w:rsid w:val="00ED420E"/>
    <w:rsid w:val="00ED6FBE"/>
    <w:rsid w:val="00EE0BC5"/>
    <w:rsid w:val="00EE12AA"/>
    <w:rsid w:val="00EE2F57"/>
    <w:rsid w:val="00EF3ABD"/>
    <w:rsid w:val="00EF4C34"/>
    <w:rsid w:val="00EF77C6"/>
    <w:rsid w:val="00F05438"/>
    <w:rsid w:val="00F1361C"/>
    <w:rsid w:val="00F156F0"/>
    <w:rsid w:val="00F160C7"/>
    <w:rsid w:val="00F2408F"/>
    <w:rsid w:val="00F240E9"/>
    <w:rsid w:val="00F3283E"/>
    <w:rsid w:val="00F344CA"/>
    <w:rsid w:val="00F36D8F"/>
    <w:rsid w:val="00F417B1"/>
    <w:rsid w:val="00F45853"/>
    <w:rsid w:val="00F46015"/>
    <w:rsid w:val="00F55C9A"/>
    <w:rsid w:val="00F602DF"/>
    <w:rsid w:val="00F754A1"/>
    <w:rsid w:val="00F81023"/>
    <w:rsid w:val="00F81456"/>
    <w:rsid w:val="00F81A4F"/>
    <w:rsid w:val="00F81FD9"/>
    <w:rsid w:val="00F841AA"/>
    <w:rsid w:val="00F84A94"/>
    <w:rsid w:val="00F87E96"/>
    <w:rsid w:val="00FA23E8"/>
    <w:rsid w:val="00FA30C3"/>
    <w:rsid w:val="00FB092A"/>
    <w:rsid w:val="00FB486E"/>
    <w:rsid w:val="00FD3CC1"/>
    <w:rsid w:val="00FF1E02"/>
    <w:rsid w:val="00FF30B4"/>
    <w:rsid w:val="08555E8D"/>
    <w:rsid w:val="0A2032A3"/>
    <w:rsid w:val="0AB80480"/>
    <w:rsid w:val="0B8A37D8"/>
    <w:rsid w:val="10983DA8"/>
    <w:rsid w:val="10C055FF"/>
    <w:rsid w:val="118107EC"/>
    <w:rsid w:val="11DD6519"/>
    <w:rsid w:val="16BB723D"/>
    <w:rsid w:val="18015F3F"/>
    <w:rsid w:val="1BC51573"/>
    <w:rsid w:val="1BE8440E"/>
    <w:rsid w:val="1D155CEE"/>
    <w:rsid w:val="20F57F95"/>
    <w:rsid w:val="240371BF"/>
    <w:rsid w:val="25C741E6"/>
    <w:rsid w:val="27842671"/>
    <w:rsid w:val="27EC60E8"/>
    <w:rsid w:val="29FD04D3"/>
    <w:rsid w:val="2ABE7A3E"/>
    <w:rsid w:val="2EFA178C"/>
    <w:rsid w:val="30B46D73"/>
    <w:rsid w:val="319F7F4E"/>
    <w:rsid w:val="39AE70AB"/>
    <w:rsid w:val="3C0C0783"/>
    <w:rsid w:val="3DB109D6"/>
    <w:rsid w:val="3F9F3A96"/>
    <w:rsid w:val="493C27E9"/>
    <w:rsid w:val="496F39ED"/>
    <w:rsid w:val="49FF41D3"/>
    <w:rsid w:val="4BE068DB"/>
    <w:rsid w:val="4BF6002B"/>
    <w:rsid w:val="4ECE2238"/>
    <w:rsid w:val="51DB4B86"/>
    <w:rsid w:val="55333C3E"/>
    <w:rsid w:val="55B47996"/>
    <w:rsid w:val="64CA39A1"/>
    <w:rsid w:val="6AA02DE4"/>
    <w:rsid w:val="6C4A05C8"/>
    <w:rsid w:val="72734D90"/>
    <w:rsid w:val="73C04033"/>
    <w:rsid w:val="79E7B28D"/>
    <w:rsid w:val="7F9F20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52A2FC4C-EA7A-4C79-BBD2-FBC59580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0"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nhideWhenUsed/>
    <w:qFormat/>
    <w:pPr>
      <w:tabs>
        <w:tab w:val="right" w:leader="dot" w:pos="8296"/>
      </w:tabs>
      <w:ind w:leftChars="200" w:left="420"/>
    </w:pPr>
  </w:style>
  <w:style w:type="character" w:styleId="a7">
    <w:name w:val="Strong"/>
    <w:basedOn w:val="a0"/>
    <w:qFormat/>
    <w:rPr>
      <w:b/>
    </w:rPr>
  </w:style>
  <w:style w:type="character" w:styleId="a8">
    <w:name w:val="Hyperlink"/>
    <w:basedOn w:val="a0"/>
    <w:uiPriority w:val="99"/>
    <w:unhideWhenUsed/>
    <w:qFormat/>
    <w:rPr>
      <w:color w:val="0000FF" w:themeColor="hyperlink"/>
      <w:u w:val="single"/>
    </w:rPr>
  </w:style>
  <w:style w:type="character" w:customStyle="1" w:styleId="HeaderChar">
    <w:name w:val="Header Char"/>
    <w:basedOn w:val="a0"/>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0"/>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0"/>
    <w:uiPriority w:val="99"/>
    <w:semiHidden/>
    <w:qFormat/>
    <w:rPr>
      <w:rFonts w:ascii="Times New Roman" w:hAnsi="Times New Roman"/>
      <w:szCs w:val="24"/>
    </w:rPr>
  </w:style>
  <w:style w:type="character" w:customStyle="1" w:styleId="Char">
    <w:name w:val="正文文本 Char"/>
    <w:link w:val="a3"/>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0"/>
    <w:link w:val="1"/>
    <w:qFormat/>
    <w:rPr>
      <w:rFonts w:ascii="Times New Roman" w:hAnsi="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Pr>
      <w:rFonts w:ascii="Times New Roman" w:hAnsi="Times New Roman"/>
      <w:kern w:val="2"/>
      <w:sz w:val="18"/>
      <w:szCs w:val="18"/>
    </w:rPr>
  </w:style>
  <w:style w:type="character" w:customStyle="1" w:styleId="3Char">
    <w:name w:val="标题 3 Char"/>
    <w:basedOn w:val="a0"/>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1CharChar">
    <w:name w:val="标题 1 Char Char"/>
    <w:rPr>
      <w:rFonts w:ascii="Times New Roman" w:hAnsi="Times New Roman" w:cs="Times New Roman"/>
      <w:b/>
      <w:bCs/>
      <w:kern w:val="44"/>
      <w:sz w:val="44"/>
      <w:szCs w:val="44"/>
    </w:rPr>
  </w:style>
  <w:style w:type="character" w:customStyle="1" w:styleId="2CharChar">
    <w:name w:val="标题 2 Char Char"/>
    <w:rPr>
      <w:rFonts w:ascii="Cambria" w:eastAsia="宋体" w:hAnsi="Cambria"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675"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收支决算总计变动情况图</a:t>
            </a:r>
          </a:p>
        </c:rich>
      </c:tx>
      <c:layout>
        <c:manualLayout>
          <c:xMode val="edge"/>
          <c:yMode val="edge"/>
          <c:x val="0.32658227848101301"/>
          <c:y val="2.1978021978022001E-2"/>
        </c:manualLayout>
      </c:layout>
      <c:overlay val="0"/>
      <c:spPr>
        <a:noFill/>
        <a:ln w="19013">
          <a:noFill/>
        </a:ln>
      </c:spPr>
    </c:title>
    <c:autoTitleDeleted val="0"/>
    <c:plotArea>
      <c:layout>
        <c:manualLayout>
          <c:layoutTarget val="inner"/>
          <c:xMode val="edge"/>
          <c:yMode val="edge"/>
          <c:x val="0.18481012658227899"/>
          <c:y val="0.25274725274725302"/>
          <c:w val="0.79240506329113902"/>
          <c:h val="0.439560439560441"/>
        </c:manualLayout>
      </c:layout>
      <c:barChart>
        <c:barDir val="col"/>
        <c:grouping val="clustered"/>
        <c:varyColors val="0"/>
        <c:ser>
          <c:idx val="0"/>
          <c:order val="0"/>
          <c:tx>
            <c:strRef>
              <c:f>Sheet1!$A$2</c:f>
              <c:strCache>
                <c:ptCount val="1"/>
              </c:strCache>
            </c:strRef>
          </c:tx>
          <c:spPr>
            <a:solidFill>
              <a:srgbClr val="9999FF"/>
            </a:solidFill>
            <a:ln w="9506">
              <a:solidFill>
                <a:srgbClr val="000000"/>
              </a:solidFill>
              <a:prstDash val="solid"/>
            </a:ln>
          </c:spPr>
          <c:invertIfNegative val="0"/>
          <c:dLbls>
            <c:spPr>
              <a:noFill/>
              <a:ln w="19013">
                <a:noFill/>
              </a:ln>
              <a:effectLst/>
            </c:spPr>
            <c:txPr>
              <a:bodyPr rot="0" spcFirstLastPara="0" vertOverflow="ellipsis" vert="horz" wrap="square" lIns="38100" tIns="19050" rIns="38100" bIns="19050" anchor="ctr" anchorCtr="1">
                <a:spAutoFit/>
              </a:bodyPr>
              <a:lstStyle/>
              <a:p>
                <a:pPr>
                  <a:defRPr lang="zh-CN" sz="67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2020年</c:v>
                </c:pt>
                <c:pt idx="1">
                  <c:v>2021年</c:v>
                </c:pt>
              </c:strCache>
            </c:strRef>
          </c:cat>
          <c:val>
            <c:numRef>
              <c:f>Sheet1!$B$2:$C$2</c:f>
              <c:numCache>
                <c:formatCode>General</c:formatCode>
                <c:ptCount val="2"/>
                <c:pt idx="0">
                  <c:v>8479</c:v>
                </c:pt>
                <c:pt idx="1">
                  <c:v>5165.97</c:v>
                </c:pt>
              </c:numCache>
            </c:numRef>
          </c:val>
        </c:ser>
        <c:dLbls>
          <c:showLegendKey val="0"/>
          <c:showVal val="1"/>
          <c:showCatName val="1"/>
          <c:showSerName val="0"/>
          <c:showPercent val="0"/>
          <c:showBubbleSize val="0"/>
        </c:dLbls>
        <c:gapWidth val="150"/>
        <c:axId val="181160280"/>
        <c:axId val="181160672"/>
      </c:barChart>
      <c:catAx>
        <c:axId val="181160280"/>
        <c:scaling>
          <c:orientation val="minMax"/>
        </c:scaling>
        <c:delete val="0"/>
        <c:axPos val="b"/>
        <c:title>
          <c:tx>
            <c:rich>
              <a:bodyPr rot="0" spcFirstLastPara="0" vertOverflow="ellipsis" vert="horz" wrap="square" anchor="ctr" anchorCtr="1"/>
              <a:lstStyle/>
              <a:p>
                <a:pPr algn="r">
                  <a:defRPr lang="zh-CN" sz="675"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年份</a:t>
                </a:r>
              </a:p>
            </c:rich>
          </c:tx>
          <c:layout>
            <c:manualLayout>
              <c:xMode val="edge"/>
              <c:yMode val="edge"/>
              <c:x val="0.54177215189873396"/>
              <c:y val="0.83516483516483697"/>
            </c:manualLayout>
          </c:layout>
          <c:overlay val="0"/>
          <c:spPr>
            <a:noFill/>
            <a:ln w="19013">
              <a:noFill/>
            </a:ln>
          </c:spPr>
        </c:title>
        <c:numFmt formatCode="General" sourceLinked="1"/>
        <c:majorTickMark val="in"/>
        <c:minorTickMark val="none"/>
        <c:tickLblPos val="nextTo"/>
        <c:spPr>
          <a:ln w="2377" cap="flat" cmpd="sng" algn="ctr">
            <a:solidFill>
              <a:srgbClr val="000000"/>
            </a:solidFill>
            <a:prstDash val="solid"/>
            <a:round/>
          </a:ln>
        </c:spPr>
        <c:txPr>
          <a:bodyPr rot="0" spcFirstLastPara="0" vertOverflow="ellipsis" vert="horz" wrap="square" anchor="ctr" anchorCtr="1"/>
          <a:lstStyle/>
          <a:p>
            <a:pPr>
              <a:defRPr lang="zh-CN" sz="67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181160672"/>
        <c:crosses val="autoZero"/>
        <c:auto val="1"/>
        <c:lblAlgn val="ctr"/>
        <c:lblOffset val="100"/>
        <c:tickLblSkip val="1"/>
        <c:noMultiLvlLbl val="0"/>
      </c:catAx>
      <c:valAx>
        <c:axId val="181160672"/>
        <c:scaling>
          <c:orientation val="minMax"/>
        </c:scaling>
        <c:delete val="0"/>
        <c:axPos val="l"/>
        <c:majorGridlines>
          <c:spPr>
            <a:ln w="2377" cap="flat" cmpd="sng" algn="ctr">
              <a:solidFill>
                <a:srgbClr val="000000"/>
              </a:solidFill>
              <a:prstDash val="solid"/>
              <a:round/>
            </a:ln>
          </c:spPr>
        </c:majorGridlines>
        <c:title>
          <c:tx>
            <c:rich>
              <a:bodyPr rot="-5400000" spcFirstLastPara="0" vertOverflow="ellipsis" vert="horz" wrap="square" anchor="ctr" anchorCtr="1"/>
              <a:lstStyle/>
              <a:p>
                <a:pPr algn="r">
                  <a:defRPr lang="zh-CN" sz="675"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金额</a:t>
                </a:r>
                <a:r>
                  <a:rPr lang="en-US" altLang="zh-CN"/>
                  <a:t>/</a:t>
                </a:r>
                <a:r>
                  <a:rPr lang="zh-CN" altLang="en-US"/>
                  <a:t>万元</a:t>
                </a:r>
              </a:p>
            </c:rich>
          </c:tx>
          <c:layout>
            <c:manualLayout>
              <c:xMode val="edge"/>
              <c:yMode val="edge"/>
              <c:x val="2.7848101265822801E-2"/>
              <c:y val="0.30769230769230799"/>
            </c:manualLayout>
          </c:layout>
          <c:overlay val="0"/>
          <c:spPr>
            <a:noFill/>
            <a:ln w="19013">
              <a:noFill/>
            </a:ln>
          </c:spPr>
        </c:title>
        <c:numFmt formatCode="General" sourceLinked="1"/>
        <c:majorTickMark val="in"/>
        <c:minorTickMark val="none"/>
        <c:tickLblPos val="nextTo"/>
        <c:spPr>
          <a:ln w="2377" cap="flat" cmpd="sng" algn="ctr">
            <a:solidFill>
              <a:srgbClr val="000000"/>
            </a:solidFill>
            <a:prstDash val="solid"/>
            <a:round/>
          </a:ln>
        </c:spPr>
        <c:txPr>
          <a:bodyPr rot="0" spcFirstLastPara="0" vertOverflow="ellipsis" vert="horz" wrap="square" anchor="ctr" anchorCtr="1"/>
          <a:lstStyle/>
          <a:p>
            <a:pPr>
              <a:defRPr lang="zh-CN" sz="67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181160280"/>
        <c:crosses val="autoZero"/>
        <c:crossBetween val="between"/>
      </c:valAx>
      <c:spPr>
        <a:solidFill>
          <a:srgbClr val="C0C0C0"/>
        </a:solidFill>
        <a:ln w="9506">
          <a:solidFill>
            <a:srgbClr val="808080"/>
          </a:solidFill>
          <a:prstDash val="solid"/>
        </a:ln>
      </c:spPr>
    </c:plotArea>
    <c:plotVisOnly val="1"/>
    <c:dispBlanksAs val="gap"/>
    <c:showDLblsOverMax val="0"/>
  </c:chart>
  <c:spPr>
    <a:noFill/>
    <a:ln w="6350" cap="flat" cmpd="sng" algn="ctr">
      <a:noFill/>
      <a:prstDash val="solid"/>
      <a:round/>
    </a:ln>
  </c:spPr>
  <c:txPr>
    <a:bodyPr/>
    <a:lstStyle/>
    <a:p>
      <a:pPr>
        <a:defRPr lang="zh-CN" sz="675"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收入决算结构图</a:t>
            </a:r>
          </a:p>
        </c:rich>
      </c:tx>
      <c:layout>
        <c:manualLayout>
          <c:xMode val="edge"/>
          <c:yMode val="edge"/>
          <c:x val="0.32177653908438503"/>
          <c:y val="3.3540851430035497E-2"/>
        </c:manualLayout>
      </c:layout>
      <c:overlay val="0"/>
      <c:spPr>
        <a:noFill/>
        <a:ln w="19019">
          <a:noFill/>
        </a:ln>
      </c:spPr>
    </c:title>
    <c:autoTitleDeleted val="0"/>
    <c:plotArea>
      <c:layout>
        <c:manualLayout>
          <c:layoutTarget val="inner"/>
          <c:xMode val="edge"/>
          <c:yMode val="edge"/>
          <c:x val="0.27330983659083602"/>
          <c:y val="0.234548562898794"/>
          <c:w val="0.28115988465235497"/>
          <c:h val="0.60143934201507998"/>
        </c:manualLayout>
      </c:layout>
      <c:pieChart>
        <c:varyColors val="1"/>
        <c:ser>
          <c:idx val="0"/>
          <c:order val="0"/>
          <c:tx>
            <c:strRef>
              <c:f>Sheet1!$A$2</c:f>
              <c:strCache>
                <c:ptCount val="1"/>
              </c:strCache>
            </c:strRef>
          </c:tx>
          <c:spPr>
            <a:solidFill>
              <a:srgbClr val="9999FF"/>
            </a:solidFill>
            <a:ln w="9510">
              <a:solidFill>
                <a:srgbClr val="000000"/>
              </a:solidFill>
              <a:prstDash val="solid"/>
            </a:ln>
          </c:spPr>
          <c:dPt>
            <c:idx val="0"/>
            <c:bubble3D val="0"/>
          </c:dPt>
          <c:dLbls>
            <c:dLbl>
              <c:idx val="0"/>
              <c:layout>
                <c:manualLayout>
                  <c:x val="-0.19244284871534401"/>
                  <c:y val="-0.34638568469761499"/>
                </c:manualLayout>
              </c:layout>
              <c:numFmt formatCode="0%" sourceLinked="0"/>
              <c:spPr>
                <a:noFill/>
                <a:ln w="19019">
                  <a:noFill/>
                </a:ln>
                <a:effectLst/>
              </c:spPr>
              <c:txPr>
                <a:bodyPr rot="0" spcFirstLastPara="0" vertOverflow="ellipsis" vert="horz" wrap="square" lIns="38100" tIns="19050" rIns="38100" bIns="19050"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bestFit"/>
              <c:showLegendKey val="0"/>
              <c:showVal val="1"/>
              <c:showCatName val="1"/>
              <c:showSerName val="0"/>
              <c:showPercent val="1"/>
              <c:showBubbleSize val="0"/>
              <c:extLst>
                <c:ext xmlns:c15="http://schemas.microsoft.com/office/drawing/2012/chart" uri="{CE6537A1-D6FC-4f65-9D91-7224C49458BB}">
                  <c15:layout>
                    <c:manualLayout>
                      <c:w val="0.33370714514578698"/>
                      <c:h val="0.20877025738798899"/>
                    </c:manualLayout>
                  </c15:layout>
                </c:ext>
              </c:extLst>
            </c:dLbl>
            <c:numFmt formatCode="0%" sourceLinked="0"/>
            <c:spPr>
              <a:noFill/>
              <a:ln w="19019">
                <a:noFill/>
              </a:ln>
              <a:effectLst/>
            </c:spPr>
            <c:txPr>
              <a:bodyPr rot="0" spcFirstLastPara="0" vertOverflow="ellipsis" vert="horz" wrap="square" lIns="38100" tIns="19050" rIns="38100" bIns="19050" anchor="ctr" anchorCtr="1">
                <a:spAutoFit/>
              </a:bodyPr>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bestFit"/>
            <c:showLegendKey val="0"/>
            <c:showVal val="1"/>
            <c:showCatName val="1"/>
            <c:showSerName val="0"/>
            <c:showPercent val="1"/>
            <c:showBubbleSize val="0"/>
            <c:showLeaderLines val="1"/>
            <c:extLst>
              <c:ext xmlns:c15="http://schemas.microsoft.com/office/drawing/2012/chart" uri="{CE6537A1-D6FC-4f65-9D91-7224C49458BB}"/>
            </c:extLst>
          </c:dLbls>
          <c:cat>
            <c:strRef>
              <c:f>Sheet1!$B$1</c:f>
              <c:strCache>
                <c:ptCount val="1"/>
                <c:pt idx="0">
                  <c:v>一般公共预算财政拨款收入</c:v>
                </c:pt>
              </c:strCache>
            </c:strRef>
          </c:cat>
          <c:val>
            <c:numRef>
              <c:f>Sheet1!$B$2</c:f>
              <c:numCache>
                <c:formatCode>General</c:formatCode>
                <c:ptCount val="1"/>
                <c:pt idx="0">
                  <c:v>4954.04</c:v>
                </c:pt>
              </c:numCache>
            </c:numRef>
          </c:val>
        </c:ser>
        <c:dLbls>
          <c:showLegendKey val="0"/>
          <c:showVal val="1"/>
          <c:showCatName val="1"/>
          <c:showSerName val="0"/>
          <c:showPercent val="1"/>
          <c:showBubbleSize val="0"/>
          <c:showLeaderLines val="1"/>
        </c:dLbls>
        <c:firstSliceAng val="0"/>
      </c:pieChart>
      <c:spPr>
        <a:solidFill>
          <a:srgbClr val="C0C0C0"/>
        </a:solidFill>
        <a:ln w="9510">
          <a:solidFill>
            <a:srgbClr val="808080"/>
          </a:solidFill>
          <a:prstDash val="solid"/>
        </a:ln>
      </c:spPr>
    </c:plotArea>
    <c:legend>
      <c:legendPos val="r"/>
      <c:legendEntry>
        <c:idx val="0"/>
        <c:txPr>
          <a:bodyPr rot="0" spcFirstLastPara="0" vertOverflow="ellipsis" vert="horz" wrap="square" anchor="ctr" anchorCtr="1"/>
          <a:lstStyle/>
          <a:p>
            <a:pPr>
              <a:defRPr lang="zh-CN" sz="7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Entry>
      <c:layout>
        <c:manualLayout>
          <c:xMode val="edge"/>
          <c:yMode val="edge"/>
          <c:x val="0.6860529986053"/>
          <c:y val="0.40918437285812198"/>
          <c:w val="0.28145048814504903"/>
          <c:h val="0.18300205620287899"/>
        </c:manualLayout>
      </c:layout>
      <c:overlay val="0"/>
      <c:spPr>
        <a:noFill/>
        <a:ln w="2377">
          <a:solidFill>
            <a:srgbClr val="000000"/>
          </a:solidFill>
          <a:prstDash val="solid"/>
        </a:ln>
      </c:spPr>
      <c:txPr>
        <a:bodyPr rot="0" spcFirstLastPara="0" vertOverflow="ellipsis" vert="horz" wrap="square" anchor="ctr" anchorCtr="1"/>
        <a:lstStyle/>
        <a:p>
          <a:pPr>
            <a:defRPr lang="zh-CN" sz="62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zero"/>
    <c:showDLblsOverMax val="0"/>
  </c:chart>
  <c:spPr>
    <a:noFill/>
    <a:ln w="6350" cap="flat" cmpd="sng" algn="ctr">
      <a:noFill/>
      <a:prstDash val="solid"/>
      <a:round/>
    </a:ln>
  </c:spPr>
  <c:txPr>
    <a:bodyPr/>
    <a:lstStyle/>
    <a:p>
      <a:pPr>
        <a:defRPr lang="zh-CN" sz="114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支出决算结构图</a:t>
            </a:r>
          </a:p>
        </c:rich>
      </c:tx>
      <c:layout>
        <c:manualLayout>
          <c:xMode val="edge"/>
          <c:yMode val="edge"/>
          <c:x val="0.44984836699264202"/>
          <c:y val="5.6605387893481199E-2"/>
        </c:manualLayout>
      </c:layout>
      <c:overlay val="0"/>
      <c:spPr>
        <a:noFill/>
        <a:ln w="19016">
          <a:noFill/>
        </a:ln>
      </c:spPr>
    </c:title>
    <c:autoTitleDeleted val="0"/>
    <c:plotArea>
      <c:layout>
        <c:manualLayout>
          <c:layoutTarget val="inner"/>
          <c:xMode val="edge"/>
          <c:yMode val="edge"/>
          <c:x val="0.439971024595051"/>
          <c:y val="0.33404580152671798"/>
          <c:w val="0.229704445717029"/>
          <c:h val="0.58530796931560303"/>
        </c:manualLayout>
      </c:layout>
      <c:pieChart>
        <c:varyColors val="1"/>
        <c:ser>
          <c:idx val="0"/>
          <c:order val="0"/>
          <c:tx>
            <c:strRef>
              <c:f>Sheet1!$A$2</c:f>
              <c:strCache>
                <c:ptCount val="1"/>
              </c:strCache>
            </c:strRef>
          </c:tx>
          <c:spPr>
            <a:solidFill>
              <a:srgbClr val="9999FF"/>
            </a:solidFill>
            <a:ln w="9508">
              <a:solidFill>
                <a:srgbClr val="000000"/>
              </a:solidFill>
              <a:prstDash val="solid"/>
            </a:ln>
          </c:spPr>
          <c:dPt>
            <c:idx val="0"/>
            <c:bubble3D val="0"/>
          </c:dPt>
          <c:dPt>
            <c:idx val="1"/>
            <c:bubble3D val="0"/>
            <c:spPr>
              <a:solidFill>
                <a:srgbClr val="993366"/>
              </a:solidFill>
              <a:ln w="9508">
                <a:solidFill>
                  <a:srgbClr val="000000"/>
                </a:solidFill>
                <a:prstDash val="solid"/>
              </a:ln>
            </c:spPr>
          </c:dPt>
          <c:dLbls>
            <c:dLbl>
              <c:idx val="0"/>
              <c:layout>
                <c:manualLayout>
                  <c:x val="1.8232394762397599E-2"/>
                  <c:y val="6.93227551101568E-2"/>
                </c:manualLayout>
              </c:layout>
              <c:tx>
                <c:rich>
                  <a:bodyPr rot="0" spcFirstLastPara="0" vertOverflow="ellipsis" vert="horz" wrap="square" lIns="38100" tIns="19050" rIns="38100" bIns="19050" anchor="ctr" anchorCtr="1"/>
                  <a:lstStyle/>
                  <a:p>
                    <a:pPr defTabSz="914400">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基本支出</a:t>
                    </a:r>
                    <a:r>
                      <a:rPr lang="en-US" altLang="zh-CN"/>
                      <a:t>, -3483.79</a:t>
                    </a:r>
                    <a:r>
                      <a:rPr lang="zh-CN" altLang="en-US"/>
                      <a:t>万元</a:t>
                    </a:r>
                    <a:r>
                      <a:rPr lang="en-US" altLang="zh-CN"/>
                      <a:t>, 67%</a:t>
                    </a:r>
                  </a:p>
                </c:rich>
              </c:tx>
              <c:numFmt formatCode="0%" sourceLinked="0"/>
              <c:spPr>
                <a:noFill/>
                <a:ln w="19016">
                  <a:noFill/>
                </a:ln>
                <a:effectLst/>
              </c:spPr>
              <c:dLblPos val="bestFit"/>
              <c:showLegendKey val="0"/>
              <c:showVal val="1"/>
              <c:showCatName val="1"/>
              <c:showSerName val="0"/>
              <c:showPercent val="1"/>
              <c:showBubbleSize val="0"/>
              <c:extLst>
                <c:ext xmlns:c15="http://schemas.microsoft.com/office/drawing/2012/chart" uri="{CE6537A1-D6FC-4f65-9D91-7224C49458BB}"/>
              </c:extLst>
            </c:dLbl>
            <c:dLbl>
              <c:idx val="1"/>
              <c:layout>
                <c:manualLayout>
                  <c:x val="-6.7106607014291095E-2"/>
                  <c:y val="1.12606378748115E-2"/>
                </c:manualLayout>
              </c:layout>
              <c:tx>
                <c:rich>
                  <a:bodyPr rot="0" spcFirstLastPara="0" vertOverflow="ellipsis" vert="horz" wrap="square" lIns="38100" tIns="19050" rIns="38100" bIns="19050" anchor="ctr" anchorCtr="1"/>
                  <a:lstStyle/>
                  <a:p>
                    <a:pPr defTabSz="914400">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项目支出</a:t>
                    </a:r>
                    <a:r>
                      <a:rPr lang="en-US" altLang="zh-CN"/>
                      <a:t>, -1678.16</a:t>
                    </a:r>
                    <a:r>
                      <a:rPr lang="zh-CN" altLang="en-US"/>
                      <a:t>万元</a:t>
                    </a:r>
                    <a:r>
                      <a:rPr lang="en-US" altLang="zh-CN"/>
                      <a:t>, 33%</a:t>
                    </a:r>
                  </a:p>
                </c:rich>
              </c:tx>
              <c:numFmt formatCode="0%" sourceLinked="0"/>
              <c:spPr>
                <a:noFill/>
                <a:ln w="19016">
                  <a:noFill/>
                </a:ln>
                <a:effectLst/>
              </c:spPr>
              <c:dLblPos val="bestFit"/>
              <c:showLegendKey val="0"/>
              <c:showVal val="1"/>
              <c:showCatName val="1"/>
              <c:showSerName val="0"/>
              <c:showPercent val="1"/>
              <c:showBubbleSize val="0"/>
              <c:extLst>
                <c:ext xmlns:c15="http://schemas.microsoft.com/office/drawing/2012/chart" uri="{CE6537A1-D6FC-4f65-9D91-7224C49458BB}"/>
              </c:extLst>
            </c:dLbl>
            <c:numFmt formatCode="0%" sourceLinked="0"/>
            <c:spPr>
              <a:noFill/>
              <a:ln w="19016">
                <a:noFill/>
              </a:ln>
              <a:effectLst/>
            </c:spPr>
            <c:txPr>
              <a:bodyPr rot="0" spcFirstLastPara="0" vertOverflow="ellipsis" vert="horz" wrap="square" lIns="38100" tIns="19050" rIns="38100" bIns="19050" anchor="ctr" anchorCtr="1">
                <a:spAutoFit/>
              </a:bodyPr>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bestFit"/>
            <c:showLegendKey val="0"/>
            <c:showVal val="1"/>
            <c:showCatName val="1"/>
            <c:showSerName val="0"/>
            <c:showPercent val="1"/>
            <c:showBubbleSize val="0"/>
            <c:showLeaderLines val="1"/>
            <c:extLst>
              <c:ext xmlns:c15="http://schemas.microsoft.com/office/drawing/2012/chart" uri="{CE6537A1-D6FC-4f65-9D91-7224C49458BB}"/>
            </c:extLst>
          </c:dLbls>
          <c:cat>
            <c:strRef>
              <c:f>Sheet1!$B$1:$C$1</c:f>
              <c:strCache>
                <c:ptCount val="2"/>
                <c:pt idx="0">
                  <c:v>基本支出</c:v>
                </c:pt>
                <c:pt idx="1">
                  <c:v>项目支出</c:v>
                </c:pt>
              </c:strCache>
            </c:strRef>
          </c:cat>
          <c:val>
            <c:numRef>
              <c:f>Sheet1!$B$2:$C$2</c:f>
              <c:numCache>
                <c:formatCode>General</c:formatCode>
                <c:ptCount val="2"/>
                <c:pt idx="0">
                  <c:v>3483.79</c:v>
                </c:pt>
                <c:pt idx="1">
                  <c:v>1678.16</c:v>
                </c:pt>
              </c:numCache>
            </c:numRef>
          </c:val>
        </c:ser>
        <c:dLbls>
          <c:showLegendKey val="0"/>
          <c:showVal val="1"/>
          <c:showCatName val="1"/>
          <c:showSerName val="0"/>
          <c:showPercent val="1"/>
          <c:showBubbleSize val="0"/>
          <c:showLeaderLines val="1"/>
        </c:dLbls>
        <c:firstSliceAng val="0"/>
      </c:pieChart>
      <c:spPr>
        <a:solidFill>
          <a:srgbClr val="C0C0C0"/>
        </a:solidFill>
        <a:ln w="9508">
          <a:solidFill>
            <a:srgbClr val="808080"/>
          </a:solidFill>
          <a:prstDash val="solid"/>
        </a:ln>
      </c:spPr>
    </c:plotArea>
    <c:legend>
      <c:legendPos val="r"/>
      <c:layout>
        <c:manualLayout>
          <c:xMode val="edge"/>
          <c:yMode val="edge"/>
          <c:x val="0.78850574712643695"/>
          <c:y val="0.48031496062992302"/>
          <c:w val="0.202298850574713"/>
          <c:h val="0.169291338582677"/>
        </c:manualLayout>
      </c:layout>
      <c:overlay val="0"/>
      <c:spPr>
        <a:noFill/>
        <a:ln w="2377">
          <a:solidFill>
            <a:srgbClr val="000000"/>
          </a:solidFill>
          <a:prstDash val="solid"/>
        </a:ln>
      </c:spPr>
      <c:txPr>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zero"/>
    <c:showDLblsOverMax val="0"/>
  </c:chart>
  <c:spPr>
    <a:noFill/>
    <a:ln w="6350" cap="flat" cmpd="sng" algn="ctr">
      <a:no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财政拨款收、支决算总计变动变动情况图</a:t>
            </a:r>
          </a:p>
        </c:rich>
      </c:tx>
      <c:layout>
        <c:manualLayout>
          <c:xMode val="edge"/>
          <c:yMode val="edge"/>
          <c:x val="0.297731407169609"/>
          <c:y val="2.3683924888744198E-2"/>
        </c:manualLayout>
      </c:layout>
      <c:overlay val="0"/>
      <c:spPr>
        <a:noFill/>
        <a:ln w="19024">
          <a:noFill/>
        </a:ln>
      </c:spPr>
    </c:title>
    <c:autoTitleDeleted val="0"/>
    <c:plotArea>
      <c:layout>
        <c:manualLayout>
          <c:layoutTarget val="inner"/>
          <c:xMode val="edge"/>
          <c:yMode val="edge"/>
          <c:x val="0.18734082397003701"/>
          <c:y val="0.18599932363882299"/>
          <c:w val="0.75298377028714103"/>
          <c:h val="0.431653703077444"/>
        </c:manualLayout>
      </c:layout>
      <c:barChart>
        <c:barDir val="col"/>
        <c:grouping val="clustered"/>
        <c:varyColors val="0"/>
        <c:ser>
          <c:idx val="0"/>
          <c:order val="0"/>
          <c:tx>
            <c:strRef>
              <c:f>Sheet1!$A$2</c:f>
              <c:strCache>
                <c:ptCount val="1"/>
              </c:strCache>
            </c:strRef>
          </c:tx>
          <c:spPr>
            <a:solidFill>
              <a:srgbClr val="9999FF"/>
            </a:solidFill>
            <a:ln w="9512">
              <a:solidFill>
                <a:srgbClr val="000000"/>
              </a:solidFill>
              <a:prstDash val="solid"/>
            </a:ln>
          </c:spPr>
          <c:invertIfNegative val="0"/>
          <c:dLbls>
            <c:spPr>
              <a:noFill/>
              <a:ln w="19024">
                <a:noFill/>
              </a:ln>
              <a:effectLst/>
            </c:spPr>
            <c:txPr>
              <a:bodyPr rot="0" spcFirstLastPara="0" vertOverflow="ellipsis" vert="horz" wrap="square" lIns="38100" tIns="19050" rIns="38100" bIns="19050" anchor="ctr" anchorCtr="1">
                <a:spAutoFit/>
              </a:bodyPr>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2020年</c:v>
                </c:pt>
                <c:pt idx="1">
                  <c:v>2021年</c:v>
                </c:pt>
              </c:strCache>
            </c:strRef>
          </c:cat>
          <c:val>
            <c:numRef>
              <c:f>Sheet1!$B$2:$C$2</c:f>
              <c:numCache>
                <c:formatCode>General</c:formatCode>
                <c:ptCount val="2"/>
                <c:pt idx="0">
                  <c:v>8411.7400000000107</c:v>
                </c:pt>
                <c:pt idx="1">
                  <c:v>5147.24</c:v>
                </c:pt>
              </c:numCache>
            </c:numRef>
          </c:val>
        </c:ser>
        <c:dLbls>
          <c:showLegendKey val="0"/>
          <c:showVal val="1"/>
          <c:showCatName val="1"/>
          <c:showSerName val="0"/>
          <c:showPercent val="0"/>
          <c:showBubbleSize val="0"/>
        </c:dLbls>
        <c:gapWidth val="150"/>
        <c:axId val="689609040"/>
        <c:axId val="689609432"/>
      </c:barChart>
      <c:catAx>
        <c:axId val="689609040"/>
        <c:scaling>
          <c:orientation val="minMax"/>
        </c:scaling>
        <c:delete val="0"/>
        <c:axPos val="b"/>
        <c:title>
          <c:tx>
            <c:rich>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年份</a:t>
                </a:r>
              </a:p>
            </c:rich>
          </c:tx>
          <c:layout>
            <c:manualLayout>
              <c:xMode val="edge"/>
              <c:yMode val="edge"/>
              <c:x val="0.52831103977171401"/>
              <c:y val="0.70863865902553003"/>
            </c:manualLayout>
          </c:layout>
          <c:overlay val="0"/>
          <c:spPr>
            <a:noFill/>
            <a:ln w="19024">
              <a:noFill/>
            </a:ln>
          </c:spPr>
        </c:title>
        <c:numFmt formatCode="General" sourceLinked="1"/>
        <c:majorTickMark val="in"/>
        <c:minorTickMark val="none"/>
        <c:tickLblPos val="nextTo"/>
        <c:spPr>
          <a:ln w="2378" cap="flat" cmpd="sng" algn="ctr">
            <a:solidFill>
              <a:srgbClr val="000000"/>
            </a:solidFill>
            <a:prstDash val="solid"/>
            <a:round/>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689609432"/>
        <c:crosses val="autoZero"/>
        <c:auto val="1"/>
        <c:lblAlgn val="ctr"/>
        <c:lblOffset val="100"/>
        <c:tickLblSkip val="1"/>
        <c:noMultiLvlLbl val="0"/>
      </c:catAx>
      <c:valAx>
        <c:axId val="689609432"/>
        <c:scaling>
          <c:orientation val="minMax"/>
        </c:scaling>
        <c:delete val="0"/>
        <c:axPos val="l"/>
        <c:majorGridlines>
          <c:spPr>
            <a:ln w="2378" cap="flat" cmpd="sng" algn="ctr">
              <a:solidFill>
                <a:srgbClr val="000000"/>
              </a:solidFill>
              <a:prstDash val="solid"/>
              <a:round/>
            </a:ln>
          </c:spPr>
        </c:majorGridlines>
        <c:title>
          <c:tx>
            <c:rich>
              <a:bodyPr rot="-540000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金额</a:t>
                </a:r>
                <a:r>
                  <a:rPr lang="en-US" altLang="zh-CN"/>
                  <a:t>/</a:t>
                </a:r>
                <a:r>
                  <a:rPr lang="zh-CN" altLang="en-US"/>
                  <a:t>万元</a:t>
                </a:r>
              </a:p>
            </c:rich>
          </c:tx>
          <c:layout>
            <c:manualLayout>
              <c:xMode val="edge"/>
              <c:yMode val="edge"/>
              <c:x val="7.4510433386837993E-2"/>
              <c:y val="0.229908049185158"/>
            </c:manualLayout>
          </c:layout>
          <c:overlay val="0"/>
          <c:spPr>
            <a:noFill/>
            <a:ln w="19024">
              <a:noFill/>
            </a:ln>
          </c:spPr>
        </c:title>
        <c:numFmt formatCode="General" sourceLinked="1"/>
        <c:majorTickMark val="in"/>
        <c:minorTickMark val="none"/>
        <c:tickLblPos val="nextTo"/>
        <c:spPr>
          <a:ln w="2378" cap="flat" cmpd="sng" algn="ctr">
            <a:solidFill>
              <a:srgbClr val="000000"/>
            </a:solidFill>
            <a:prstDash val="solid"/>
            <a:round/>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689609040"/>
        <c:crosses val="autoZero"/>
        <c:crossBetween val="between"/>
      </c:valAx>
      <c:spPr>
        <a:solidFill>
          <a:srgbClr val="C0C0C0"/>
        </a:solidFill>
        <a:ln w="19024">
          <a:noFill/>
        </a:ln>
      </c:spPr>
    </c:plotArea>
    <c:plotVisOnly val="1"/>
    <c:dispBlanksAs val="gap"/>
    <c:showDLblsOverMax val="0"/>
  </c:chart>
  <c:spPr>
    <a:noFill/>
    <a:ln w="6350" cap="flat" cmpd="sng" algn="ctr">
      <a:no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86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一般公共预算财政拨款支出决算总体情况图</a:t>
            </a:r>
          </a:p>
        </c:rich>
      </c:tx>
      <c:layout>
        <c:manualLayout>
          <c:xMode val="edge"/>
          <c:yMode val="edge"/>
          <c:x val="0.315544295578849"/>
          <c:y val="1.10987791342952E-2"/>
        </c:manualLayout>
      </c:layout>
      <c:overlay val="0"/>
      <c:spPr>
        <a:noFill/>
        <a:ln w="19021">
          <a:noFill/>
        </a:ln>
      </c:spPr>
    </c:title>
    <c:autoTitleDeleted val="0"/>
    <c:plotArea>
      <c:layout>
        <c:manualLayout>
          <c:layoutTarget val="inner"/>
          <c:xMode val="edge"/>
          <c:yMode val="edge"/>
          <c:x val="0.16563146997929601"/>
          <c:y val="0.22844827586206901"/>
          <c:w val="0.81573498964803304"/>
          <c:h val="0.49568965517241398"/>
        </c:manualLayout>
      </c:layout>
      <c:barChart>
        <c:barDir val="col"/>
        <c:grouping val="clustered"/>
        <c:varyColors val="0"/>
        <c:ser>
          <c:idx val="0"/>
          <c:order val="0"/>
          <c:tx>
            <c:strRef>
              <c:f>Sheet1!$A$2</c:f>
              <c:strCache>
                <c:ptCount val="1"/>
              </c:strCache>
            </c:strRef>
          </c:tx>
          <c:spPr>
            <a:solidFill>
              <a:srgbClr val="9999FF"/>
            </a:solidFill>
            <a:ln w="9511">
              <a:solidFill>
                <a:srgbClr val="000000"/>
              </a:solidFill>
              <a:prstDash val="solid"/>
            </a:ln>
          </c:spPr>
          <c:invertIfNegative val="0"/>
          <c:dLbls>
            <c:spPr>
              <a:noFill/>
              <a:ln w="19021">
                <a:noFill/>
              </a:ln>
              <a:effectLst/>
            </c:spPr>
            <c:txPr>
              <a:bodyPr rot="0" spcFirstLastPara="0" vertOverflow="ellipsis" vert="horz" wrap="square" lIns="38100" tIns="19050" rIns="38100" bIns="19050" anchor="ctr" anchorCtr="1">
                <a:spAutoFit/>
              </a:bodyPr>
              <a:lstStyle/>
              <a:p>
                <a:pPr>
                  <a:defRPr lang="zh-CN" sz="86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2020年</c:v>
                </c:pt>
                <c:pt idx="1">
                  <c:v>2021年</c:v>
                </c:pt>
              </c:strCache>
            </c:strRef>
          </c:cat>
          <c:val>
            <c:numRef>
              <c:f>Sheet1!$B$2:$C$2</c:f>
              <c:numCache>
                <c:formatCode>General</c:formatCode>
                <c:ptCount val="2"/>
                <c:pt idx="0">
                  <c:v>2465.09</c:v>
                </c:pt>
                <c:pt idx="1">
                  <c:v>5147.24</c:v>
                </c:pt>
              </c:numCache>
            </c:numRef>
          </c:val>
        </c:ser>
        <c:dLbls>
          <c:showLegendKey val="0"/>
          <c:showVal val="1"/>
          <c:showCatName val="1"/>
          <c:showSerName val="0"/>
          <c:showPercent val="0"/>
          <c:showBubbleSize val="0"/>
        </c:dLbls>
        <c:gapWidth val="150"/>
        <c:axId val="684250512"/>
        <c:axId val="684250904"/>
      </c:barChart>
      <c:catAx>
        <c:axId val="684250512"/>
        <c:scaling>
          <c:orientation val="minMax"/>
        </c:scaling>
        <c:delete val="0"/>
        <c:axPos val="b"/>
        <c:title>
          <c:tx>
            <c:rich>
              <a:bodyPr rot="0" spcFirstLastPara="0" vertOverflow="ellipsis" vert="horz" wrap="square" anchor="ctr" anchorCtr="1"/>
              <a:lstStyle/>
              <a:p>
                <a:pPr>
                  <a:defRPr lang="zh-CN" sz="86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年份</a:t>
                </a:r>
              </a:p>
            </c:rich>
          </c:tx>
          <c:layout>
            <c:manualLayout>
              <c:xMode val="edge"/>
              <c:yMode val="edge"/>
              <c:x val="0.53623188405797095"/>
              <c:y val="0.85775862068965703"/>
            </c:manualLayout>
          </c:layout>
          <c:overlay val="0"/>
          <c:spPr>
            <a:noFill/>
            <a:ln w="19021">
              <a:noFill/>
            </a:ln>
          </c:spPr>
        </c:title>
        <c:numFmt formatCode="General" sourceLinked="1"/>
        <c:majorTickMark val="in"/>
        <c:minorTickMark val="none"/>
        <c:tickLblPos val="nextTo"/>
        <c:spPr>
          <a:ln w="2378" cap="flat" cmpd="sng" algn="ctr">
            <a:solidFill>
              <a:srgbClr val="000000"/>
            </a:solidFill>
            <a:prstDash val="solid"/>
            <a:round/>
          </a:ln>
        </c:spPr>
        <c:txPr>
          <a:bodyPr rot="0" spcFirstLastPara="0" vertOverflow="ellipsis" vert="horz" wrap="square" anchor="ctr" anchorCtr="1"/>
          <a:lstStyle/>
          <a:p>
            <a:pPr>
              <a:defRPr lang="zh-CN" sz="86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684250904"/>
        <c:crosses val="autoZero"/>
        <c:auto val="1"/>
        <c:lblAlgn val="ctr"/>
        <c:lblOffset val="100"/>
        <c:tickLblSkip val="1"/>
        <c:noMultiLvlLbl val="0"/>
      </c:catAx>
      <c:valAx>
        <c:axId val="684250904"/>
        <c:scaling>
          <c:orientation val="minMax"/>
        </c:scaling>
        <c:delete val="0"/>
        <c:axPos val="l"/>
        <c:majorGridlines>
          <c:spPr>
            <a:ln w="2378" cap="flat" cmpd="sng" algn="ctr">
              <a:solidFill>
                <a:srgbClr val="000000"/>
              </a:solidFill>
              <a:prstDash val="solid"/>
              <a:round/>
            </a:ln>
          </c:spPr>
        </c:majorGridlines>
        <c:title>
          <c:tx>
            <c:rich>
              <a:bodyPr rot="-5400000" spcFirstLastPara="0" vertOverflow="ellipsis" vert="horz" wrap="square" anchor="ctr" anchorCtr="1"/>
              <a:lstStyle/>
              <a:p>
                <a:pPr>
                  <a:defRPr lang="zh-CN" sz="86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金额</a:t>
                </a:r>
                <a:r>
                  <a:rPr lang="en-US" altLang="zh-CN"/>
                  <a:t>/</a:t>
                </a:r>
                <a:r>
                  <a:rPr lang="zh-CN" altLang="en-US"/>
                  <a:t>万元</a:t>
                </a:r>
              </a:p>
            </c:rich>
          </c:tx>
          <c:layout>
            <c:manualLayout>
              <c:xMode val="edge"/>
              <c:yMode val="edge"/>
              <c:x val="2.2774327122153298E-2"/>
              <c:y val="0.31465517241379298"/>
            </c:manualLayout>
          </c:layout>
          <c:overlay val="0"/>
          <c:spPr>
            <a:noFill/>
            <a:ln w="19021">
              <a:noFill/>
            </a:ln>
          </c:spPr>
        </c:title>
        <c:numFmt formatCode="General" sourceLinked="1"/>
        <c:majorTickMark val="in"/>
        <c:minorTickMark val="none"/>
        <c:tickLblPos val="nextTo"/>
        <c:spPr>
          <a:ln w="2378" cap="flat" cmpd="sng" algn="ctr">
            <a:solidFill>
              <a:srgbClr val="000000"/>
            </a:solidFill>
            <a:prstDash val="solid"/>
            <a:round/>
          </a:ln>
        </c:spPr>
        <c:txPr>
          <a:bodyPr rot="0" spcFirstLastPara="0" vertOverflow="ellipsis" vert="horz" wrap="square" anchor="ctr" anchorCtr="1"/>
          <a:lstStyle/>
          <a:p>
            <a:pPr>
              <a:defRPr lang="zh-CN" sz="86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684250512"/>
        <c:crosses val="autoZero"/>
        <c:crossBetween val="between"/>
      </c:valAx>
      <c:spPr>
        <a:solidFill>
          <a:srgbClr val="C0C0C0"/>
        </a:solidFill>
        <a:ln w="9511">
          <a:solidFill>
            <a:srgbClr val="808080"/>
          </a:solidFill>
          <a:prstDash val="solid"/>
        </a:ln>
      </c:spPr>
    </c:plotArea>
    <c:plotVisOnly val="1"/>
    <c:dispBlanksAs val="gap"/>
    <c:showDLblsOverMax val="0"/>
  </c:chart>
  <c:spPr>
    <a:noFill/>
    <a:ln w="6350" cap="flat" cmpd="sng" algn="ctr">
      <a:noFill/>
      <a:prstDash val="solid"/>
      <a:round/>
    </a:ln>
  </c:spPr>
  <c:txPr>
    <a:bodyPr/>
    <a:lstStyle/>
    <a:p>
      <a:pPr>
        <a:defRPr lang="zh-CN" sz="86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sz="1000"/>
              <a:t>一般公共预算财政拨款支出决算结构图</a:t>
            </a:r>
          </a:p>
        </c:rich>
      </c:tx>
      <c:layout>
        <c:manualLayout>
          <c:xMode val="edge"/>
          <c:yMode val="edge"/>
          <c:x val="0.307519777262178"/>
          <c:y val="4.41217929117141E-2"/>
        </c:manualLayout>
      </c:layout>
      <c:overlay val="0"/>
      <c:spPr>
        <a:noFill/>
        <a:ln w="19014">
          <a:noFill/>
        </a:ln>
      </c:spPr>
    </c:title>
    <c:autoTitleDeleted val="0"/>
    <c:plotArea>
      <c:layout>
        <c:manualLayout>
          <c:layoutTarget val="inner"/>
          <c:xMode val="edge"/>
          <c:yMode val="edge"/>
          <c:x val="0.19242723933314501"/>
          <c:y val="0.269593785156444"/>
          <c:w val="0.32372790841867799"/>
          <c:h val="0.53398884544101599"/>
        </c:manualLayout>
      </c:layout>
      <c:pieChart>
        <c:varyColors val="1"/>
        <c:ser>
          <c:idx val="0"/>
          <c:order val="0"/>
          <c:tx>
            <c:strRef>
              <c:f>Sheet1!$A$2</c:f>
              <c:strCache>
                <c:ptCount val="1"/>
              </c:strCache>
            </c:strRef>
          </c:tx>
          <c:spPr>
            <a:solidFill>
              <a:srgbClr val="9999FF"/>
            </a:solidFill>
            <a:ln w="9507">
              <a:solidFill>
                <a:srgbClr val="000000"/>
              </a:solidFill>
              <a:prstDash val="solid"/>
            </a:ln>
          </c:spPr>
          <c:dPt>
            <c:idx val="0"/>
            <c:bubble3D val="0"/>
          </c:dPt>
          <c:dPt>
            <c:idx val="1"/>
            <c:bubble3D val="0"/>
            <c:spPr>
              <a:solidFill>
                <a:srgbClr val="993366"/>
              </a:solidFill>
              <a:ln w="9507">
                <a:solidFill>
                  <a:srgbClr val="000000"/>
                </a:solidFill>
                <a:prstDash val="solid"/>
              </a:ln>
            </c:spPr>
          </c:dPt>
          <c:dPt>
            <c:idx val="2"/>
            <c:bubble3D val="0"/>
            <c:spPr>
              <a:solidFill>
                <a:srgbClr val="FFFFCC"/>
              </a:solidFill>
              <a:ln w="9507">
                <a:solidFill>
                  <a:srgbClr val="000000"/>
                </a:solidFill>
                <a:prstDash val="solid"/>
              </a:ln>
            </c:spPr>
          </c:dPt>
          <c:dPt>
            <c:idx val="3"/>
            <c:bubble3D val="0"/>
            <c:spPr>
              <a:solidFill>
                <a:srgbClr val="CCFFFF"/>
              </a:solidFill>
              <a:ln w="9507">
                <a:solidFill>
                  <a:srgbClr val="000000"/>
                </a:solidFill>
                <a:prstDash val="solid"/>
              </a:ln>
            </c:spPr>
          </c:dPt>
          <c:dLbls>
            <c:numFmt formatCode="0%" sourceLinked="0"/>
            <c:spPr>
              <a:noFill/>
              <a:ln w="19014">
                <a:noFill/>
              </a:ln>
              <a:effectLst/>
            </c:spPr>
            <c:txPr>
              <a:bodyPr rot="0" spcFirstLastPara="0" vertOverflow="ellipsis" vert="horz" wrap="square" lIns="38100" tIns="19050" rIns="38100" bIns="19050" anchor="ctr" anchorCtr="1">
                <a:spAutoFit/>
              </a:bodyPr>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bestFit"/>
            <c:showLegendKey val="0"/>
            <c:showVal val="1"/>
            <c:showCatName val="0"/>
            <c:showSerName val="0"/>
            <c:showPercent val="1"/>
            <c:showBubbleSize val="0"/>
            <c:showLeaderLines val="1"/>
            <c:extLst>
              <c:ext xmlns:c15="http://schemas.microsoft.com/office/drawing/2012/chart" uri="{CE6537A1-D6FC-4f65-9D91-7224C49458BB}"/>
            </c:extLst>
          </c:dLbls>
          <c:cat>
            <c:strRef>
              <c:f>Sheet1!$B$1:$E$1</c:f>
              <c:strCache>
                <c:ptCount val="4"/>
                <c:pt idx="0">
                  <c:v>一般公共服务（类）支出</c:v>
                </c:pt>
                <c:pt idx="1">
                  <c:v>社会保障和就业（类）支出</c:v>
                </c:pt>
                <c:pt idx="2">
                  <c:v>住房保障支出</c:v>
                </c:pt>
                <c:pt idx="3">
                  <c:v>城乡社区支出</c:v>
                </c:pt>
              </c:strCache>
            </c:strRef>
          </c:cat>
          <c:val>
            <c:numRef>
              <c:f>Sheet1!$B$2:$E$2</c:f>
              <c:numCache>
                <c:formatCode>General</c:formatCode>
                <c:ptCount val="4"/>
                <c:pt idx="0">
                  <c:v>3880.46</c:v>
                </c:pt>
                <c:pt idx="1">
                  <c:v>370.03</c:v>
                </c:pt>
                <c:pt idx="2">
                  <c:v>187.84</c:v>
                </c:pt>
                <c:pt idx="3">
                  <c:v>708.91</c:v>
                </c:pt>
              </c:numCache>
            </c:numRef>
          </c:val>
        </c:ser>
        <c:dLbls>
          <c:showLegendKey val="0"/>
          <c:showVal val="1"/>
          <c:showCatName val="0"/>
          <c:showSerName val="0"/>
          <c:showPercent val="1"/>
          <c:showBubbleSize val="0"/>
          <c:showLeaderLines val="1"/>
        </c:dLbls>
        <c:firstSliceAng val="0"/>
      </c:pieChart>
      <c:spPr>
        <a:solidFill>
          <a:srgbClr val="C0C0C0"/>
        </a:solidFill>
        <a:ln w="9507">
          <a:solidFill>
            <a:srgbClr val="808080"/>
          </a:solidFill>
          <a:prstDash val="solid"/>
        </a:ln>
      </c:spPr>
    </c:plotArea>
    <c:legend>
      <c:legendPos val="r"/>
      <c:legendEntry>
        <c:idx val="0"/>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Entry>
      <c:legendEntry>
        <c:idx val="1"/>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Entry>
      <c:legendEntry>
        <c:idx val="2"/>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Entry>
      <c:legendEntry>
        <c:idx val="3"/>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Entry>
      <c:layout>
        <c:manualLayout>
          <c:xMode val="edge"/>
          <c:yMode val="edge"/>
          <c:x val="0.60773140304943896"/>
          <c:y val="0.26993865030674802"/>
          <c:w val="0.38564608039427201"/>
          <c:h val="0.53432661408121496"/>
        </c:manualLayout>
      </c:layout>
      <c:overlay val="0"/>
      <c:spPr>
        <a:noFill/>
        <a:ln w="2377">
          <a:solidFill>
            <a:srgbClr val="000000"/>
          </a:solidFill>
          <a:prstDash val="solid"/>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zero"/>
    <c:showDLblsOverMax val="0"/>
  </c:chart>
  <c:spPr>
    <a:noFill/>
    <a:ln w="6350" cap="flat" cmpd="sng" algn="ctr">
      <a:noFill/>
      <a:prstDash val="solid"/>
      <a:round/>
    </a:ln>
  </c:spPr>
  <c:txPr>
    <a:bodyPr/>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12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“三公”经费财政拨款支出结构图</a:t>
            </a:r>
          </a:p>
        </c:rich>
      </c:tx>
      <c:layout>
        <c:manualLayout>
          <c:xMode val="edge"/>
          <c:yMode val="edge"/>
          <c:x val="0.31394750656168002"/>
          <c:y val="5.5278314541395403E-2"/>
        </c:manualLayout>
      </c:layout>
      <c:overlay val="0"/>
      <c:spPr>
        <a:noFill/>
        <a:ln w="18990">
          <a:noFill/>
        </a:ln>
      </c:spPr>
    </c:title>
    <c:autoTitleDeleted val="0"/>
    <c:plotArea>
      <c:layout>
        <c:manualLayout>
          <c:layoutTarget val="inner"/>
          <c:xMode val="edge"/>
          <c:yMode val="edge"/>
          <c:x val="0.38677726181663202"/>
          <c:y val="0.286118980169973"/>
          <c:w val="0.22158983332211701"/>
          <c:h val="0.59791591002639199"/>
        </c:manualLayout>
      </c:layout>
      <c:pieChart>
        <c:varyColors val="1"/>
        <c:ser>
          <c:idx val="0"/>
          <c:order val="0"/>
          <c:tx>
            <c:strRef>
              <c:f>Sheet1!$A$2</c:f>
              <c:strCache>
                <c:ptCount val="1"/>
              </c:strCache>
            </c:strRef>
          </c:tx>
          <c:spPr>
            <a:solidFill>
              <a:srgbClr val="9999FF"/>
            </a:solidFill>
            <a:ln w="9495">
              <a:solidFill>
                <a:srgbClr val="000000"/>
              </a:solidFill>
              <a:prstDash val="solid"/>
            </a:ln>
          </c:spPr>
          <c:dPt>
            <c:idx val="0"/>
            <c:bubble3D val="0"/>
          </c:dPt>
          <c:dPt>
            <c:idx val="1"/>
            <c:bubble3D val="0"/>
            <c:spPr>
              <a:solidFill>
                <a:srgbClr val="993366"/>
              </a:solidFill>
              <a:ln w="9495">
                <a:solidFill>
                  <a:srgbClr val="000000"/>
                </a:solidFill>
                <a:prstDash val="solid"/>
              </a:ln>
            </c:spPr>
          </c:dPt>
          <c:dLbls>
            <c:dLbl>
              <c:idx val="0"/>
              <c:layout>
                <c:manualLayout>
                  <c:x val="-0.24241305364218199"/>
                  <c:y val="-0.12641643059490101"/>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34711286089238802"/>
                      <c:h val="0.25070821529745002"/>
                    </c:manualLayout>
                  </c15:layout>
                </c:ext>
              </c:extLst>
            </c:dLbl>
            <c:dLbl>
              <c:idx val="1"/>
              <c:layout>
                <c:manualLayout>
                  <c:x val="-0.220250989189477"/>
                  <c:y val="8.8942772016489702E-2"/>
                </c:manualLayout>
              </c:layout>
              <c:dLblPos val="bestFit"/>
              <c:showLegendKey val="0"/>
              <c:showVal val="1"/>
              <c:showCatName val="1"/>
              <c:showSerName val="0"/>
              <c:showPercent val="1"/>
              <c:showBubbleSize val="0"/>
              <c:extLst>
                <c:ext xmlns:c15="http://schemas.microsoft.com/office/drawing/2012/chart" uri="{CE6537A1-D6FC-4f65-9D91-7224C49458BB}"/>
              </c:extLst>
            </c:dLbl>
            <c:numFmt formatCode="0%" sourceLinked="0"/>
            <c:spPr>
              <a:noFill/>
              <a:ln w="18990">
                <a:noFill/>
              </a:ln>
              <a:effectLst/>
            </c:spPr>
            <c:txPr>
              <a:bodyPr rot="0" spcFirstLastPara="0" vertOverflow="ellipsis" vert="horz" wrap="square" lIns="38100" tIns="19050" rIns="38100" bIns="19050" anchor="ctr" anchorCtr="1">
                <a:spAutoFit/>
              </a:bodyPr>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bestFit"/>
            <c:showLegendKey val="0"/>
            <c:showVal val="1"/>
            <c:showCatName val="1"/>
            <c:showSerName val="0"/>
            <c:showPercent val="1"/>
            <c:showBubbleSize val="0"/>
            <c:showLeaderLines val="1"/>
            <c:extLst>
              <c:ext xmlns:c15="http://schemas.microsoft.com/office/drawing/2012/chart" uri="{CE6537A1-D6FC-4f65-9D91-7224C49458BB}"/>
            </c:extLst>
          </c:dLbls>
          <c:cat>
            <c:strRef>
              <c:f>Sheet1!$B$1:$C$1</c:f>
              <c:strCache>
                <c:ptCount val="2"/>
                <c:pt idx="0">
                  <c:v>公务用车购置及运行维护费支出决算</c:v>
                </c:pt>
                <c:pt idx="1">
                  <c:v>公务接待费支出决算</c:v>
                </c:pt>
              </c:strCache>
            </c:strRef>
          </c:cat>
          <c:val>
            <c:numRef>
              <c:f>Sheet1!$B$2:$C$2</c:f>
              <c:numCache>
                <c:formatCode>General</c:formatCode>
                <c:ptCount val="2"/>
                <c:pt idx="0">
                  <c:v>21</c:v>
                </c:pt>
                <c:pt idx="1">
                  <c:v>1.89</c:v>
                </c:pt>
              </c:numCache>
            </c:numRef>
          </c:val>
        </c:ser>
        <c:dLbls>
          <c:showLegendKey val="0"/>
          <c:showVal val="1"/>
          <c:showCatName val="1"/>
          <c:showSerName val="0"/>
          <c:showPercent val="1"/>
          <c:showBubbleSize val="0"/>
          <c:showLeaderLines val="1"/>
        </c:dLbls>
        <c:firstSliceAng val="0"/>
      </c:pieChart>
      <c:spPr>
        <a:solidFill>
          <a:srgbClr val="C0C0C0"/>
        </a:solidFill>
        <a:ln w="9495">
          <a:solidFill>
            <a:srgbClr val="808080"/>
          </a:solidFill>
          <a:prstDash val="solid"/>
        </a:ln>
      </c:spPr>
    </c:plotArea>
    <c:legend>
      <c:legendPos val="r"/>
      <c:legendEntry>
        <c:idx val="0"/>
        <c:txPr>
          <a:bodyPr rot="0" spcFirstLastPara="0" vertOverflow="ellipsis" vert="horz" wrap="square"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Entry>
      <c:legendEntry>
        <c:idx val="1"/>
        <c:txPr>
          <a:bodyPr rot="0" spcFirstLastPara="0" vertOverflow="ellipsis" vert="horz" wrap="square"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Entry>
      <c:layout>
        <c:manualLayout>
          <c:xMode val="edge"/>
          <c:yMode val="edge"/>
          <c:x val="0.68600000000000005"/>
          <c:y val="0.35761589403973498"/>
          <c:w val="0.30599999999999999"/>
          <c:h val="0.31788079470198799"/>
        </c:manualLayout>
      </c:layout>
      <c:overlay val="0"/>
      <c:spPr>
        <a:noFill/>
        <a:ln w="2374">
          <a:solidFill>
            <a:srgbClr val="000000"/>
          </a:solidFill>
          <a:prstDash val="solid"/>
        </a:ln>
      </c:spPr>
      <c:txPr>
        <a:bodyPr rot="0" spcFirstLastPara="0" vertOverflow="ellipsis" vert="horz" wrap="square"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zero"/>
    <c:showDLblsOverMax val="0"/>
  </c:chart>
  <c:spPr>
    <a:noFill/>
    <a:ln w="6350" cap="flat" cmpd="sng" algn="ctr">
      <a:noFill/>
      <a:prstDash val="solid"/>
      <a:round/>
    </a:ln>
  </c:spPr>
  <c:txPr>
    <a:bodyPr/>
    <a:lstStyle/>
    <a:p>
      <a:pPr>
        <a:defRPr lang="zh-CN" sz="112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31</Pages>
  <Words>2548</Words>
  <Characters>14529</Characters>
  <Application>Microsoft Office Word</Application>
  <DocSecurity>0</DocSecurity>
  <Lines>121</Lines>
  <Paragraphs>34</Paragraphs>
  <ScaleCrop>false</ScaleCrop>
  <Company>四川省财政厅</Company>
  <LinksUpToDate>false</LinksUpToDate>
  <CharactersWithSpaces>17043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赵艳梅</cp:lastModifiedBy>
  <cp:revision>6</cp:revision>
  <cp:lastPrinted>2022-08-06T02:23:00Z</cp:lastPrinted>
  <dcterms:created xsi:type="dcterms:W3CDTF">2023-08-03T03:27:00Z</dcterms:created>
  <dcterms:modified xsi:type="dcterms:W3CDTF">2023-10-12T03:28:00Z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1FC4E041840D47AD9B29289BDE61C70B</vt:lpwstr>
  </property>
</Properties>
</file>