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D9" w:rsidRDefault="002934D9">
      <w:pPr>
        <w:spacing w:line="600" w:lineRule="exact"/>
        <w:jc w:val="left"/>
        <w:outlineLvl w:val="0"/>
        <w:rPr>
          <w:rFonts w:ascii="方正小标宋简体" w:eastAsia="方正小标宋简体" w:hAnsi="宋体"/>
          <w:szCs w:val="21"/>
        </w:rPr>
      </w:pPr>
      <w:bookmarkStart w:id="0" w:name="_Toc15306267"/>
    </w:p>
    <w:p w:rsidR="002934D9" w:rsidRDefault="002934D9">
      <w:pPr>
        <w:spacing w:line="600" w:lineRule="exact"/>
        <w:jc w:val="center"/>
        <w:outlineLvl w:val="0"/>
        <w:rPr>
          <w:rFonts w:ascii="方正小标宋简体" w:eastAsia="方正小标宋简体" w:hAnsi="宋体"/>
          <w:sz w:val="72"/>
          <w:szCs w:val="72"/>
        </w:rPr>
      </w:pPr>
    </w:p>
    <w:p w:rsidR="002934D9" w:rsidRDefault="002934D9">
      <w:pPr>
        <w:spacing w:line="600" w:lineRule="exact"/>
        <w:jc w:val="center"/>
        <w:outlineLvl w:val="0"/>
        <w:rPr>
          <w:rFonts w:ascii="方正小标宋简体" w:eastAsia="方正小标宋简体" w:hAnsi="宋体"/>
          <w:sz w:val="72"/>
          <w:szCs w:val="72"/>
        </w:rPr>
      </w:pPr>
    </w:p>
    <w:p w:rsidR="002934D9" w:rsidRDefault="0036555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96475"/>
      <w:bookmarkStart w:id="3" w:name="_Toc15378441"/>
      <w:bookmarkStart w:id="4" w:name="_Toc15377425"/>
      <w:bookmarkStart w:id="5" w:name="_Toc15396597"/>
      <w:r>
        <w:rPr>
          <w:rFonts w:ascii="方正小标宋简体" w:eastAsia="方正小标宋简体" w:hAnsi="方正小标宋简体" w:cs="方正小标宋简体" w:hint="eastAsia"/>
          <w:sz w:val="72"/>
          <w:szCs w:val="72"/>
        </w:rPr>
        <w:t>2022年度</w:t>
      </w:r>
      <w:bookmarkEnd w:id="1"/>
      <w:bookmarkEnd w:id="2"/>
      <w:bookmarkEnd w:id="3"/>
      <w:bookmarkEnd w:id="4"/>
      <w:bookmarkEnd w:id="5"/>
    </w:p>
    <w:p w:rsidR="002934D9" w:rsidRDefault="0036555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426"/>
      <w:bookmarkStart w:id="7" w:name="_Toc15396598"/>
      <w:bookmarkStart w:id="8" w:name="_Toc15396476"/>
      <w:bookmarkStart w:id="9" w:name="_Toc15378442"/>
      <w:bookmarkStart w:id="10" w:name="_Toc15377194"/>
      <w:bookmarkStart w:id="11" w:name="_Toc15306268"/>
      <w:bookmarkEnd w:id="0"/>
      <w:r>
        <w:rPr>
          <w:rFonts w:ascii="方正小标宋简体" w:eastAsia="方正小标宋简体" w:hAnsi="方正小标宋简体" w:cs="方正小标宋简体" w:hint="eastAsia"/>
          <w:sz w:val="72"/>
          <w:szCs w:val="72"/>
        </w:rPr>
        <w:t>攀西钒钛检验检测院</w:t>
      </w:r>
    </w:p>
    <w:p w:rsidR="002934D9" w:rsidRDefault="0036555A">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单位决算</w:t>
      </w:r>
      <w:bookmarkEnd w:id="6"/>
      <w:bookmarkEnd w:id="7"/>
      <w:bookmarkEnd w:id="8"/>
      <w:bookmarkEnd w:id="9"/>
      <w:bookmarkEnd w:id="10"/>
      <w:bookmarkEnd w:id="11"/>
    </w:p>
    <w:p w:rsidR="002934D9" w:rsidRDefault="0036555A">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2934D9" w:rsidRDefault="002934D9">
      <w:pPr>
        <w:widowControl/>
        <w:jc w:val="center"/>
        <w:rPr>
          <w:rFonts w:ascii="黑体" w:eastAsia="黑体" w:hAnsi="黑体" w:cstheme="minorBidi"/>
          <w:sz w:val="28"/>
          <w:szCs w:val="28"/>
        </w:rPr>
      </w:pPr>
    </w:p>
    <w:p w:rsidR="002934D9" w:rsidRPr="00ED126B" w:rsidRDefault="0036555A">
      <w:pPr>
        <w:pStyle w:val="10"/>
        <w:rPr>
          <w:rFonts w:cs="仿宋_GB2312"/>
        </w:rPr>
      </w:pPr>
      <w:r w:rsidRPr="00ED126B">
        <w:rPr>
          <w:rFonts w:cs="仿宋_GB2312" w:hint="eastAsia"/>
        </w:rPr>
        <w:t>公开时间：2023年9月</w:t>
      </w:r>
      <w:r w:rsidR="001E3E35">
        <w:rPr>
          <w:rFonts w:cs="仿宋_GB2312"/>
        </w:rPr>
        <w:t>1</w:t>
      </w:r>
      <w:r w:rsidR="00C47DBE">
        <w:rPr>
          <w:rFonts w:cs="仿宋_GB2312"/>
        </w:rPr>
        <w:t>3</w:t>
      </w:r>
      <w:r w:rsidRPr="00ED126B">
        <w:rPr>
          <w:rFonts w:cs="仿宋_GB2312" w:hint="eastAsia"/>
        </w:rPr>
        <w:t>日</w:t>
      </w:r>
      <w:bookmarkStart w:id="12" w:name="_GoBack"/>
      <w:bookmarkEnd w:id="12"/>
    </w:p>
    <w:p w:rsidR="002934D9" w:rsidRDefault="002934D9">
      <w:pPr>
        <w:rPr>
          <w:rFonts w:ascii="仿宋_GB2312" w:eastAsia="仿宋_GB2312" w:hAnsi="仿宋_GB2312" w:cs="仿宋_GB2312"/>
          <w:sz w:val="32"/>
          <w:szCs w:val="32"/>
        </w:rPr>
      </w:pPr>
    </w:p>
    <w:p w:rsidR="002934D9" w:rsidRPr="003A6521" w:rsidRDefault="0036555A">
      <w:pPr>
        <w:pStyle w:val="10"/>
        <w:adjustRightInd w:val="0"/>
        <w:snapToGrid w:val="0"/>
        <w:spacing w:before="0" w:line="440" w:lineRule="exact"/>
        <w:jc w:val="left"/>
        <w:rPr>
          <w:rFonts w:asciiTheme="minorEastAsia" w:eastAsiaTheme="minorEastAsia" w:hAnsiTheme="minorEastAsia" w:cs="仿宋_GB2312"/>
          <w:sz w:val="24"/>
          <w:szCs w:val="24"/>
        </w:rPr>
      </w:pPr>
      <w:r w:rsidRPr="003A6521">
        <w:rPr>
          <w:rFonts w:cs="仿宋_GB2312" w:hint="eastAsia"/>
          <w:sz w:val="24"/>
          <w:szCs w:val="24"/>
        </w:rPr>
        <w:t>第一部分 单位概况</w:t>
      </w:r>
      <w:r w:rsidRPr="003A6521">
        <w:rPr>
          <w:rFonts w:asciiTheme="minorEastAsia" w:eastAsiaTheme="minorEastAsia" w:hAnsiTheme="minorEastAsia" w:cs="仿宋_GB2312" w:hint="eastAsia"/>
          <w:sz w:val="24"/>
          <w:szCs w:val="24"/>
        </w:rPr>
        <w:tab/>
        <w:t>4</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一、主要职责</w:t>
      </w:r>
      <w:r w:rsidRPr="003A6521">
        <w:rPr>
          <w:rFonts w:asciiTheme="minorEastAsia" w:eastAsiaTheme="minorEastAsia" w:hAnsiTheme="minorEastAsia" w:cs="仿宋_GB2312" w:hint="eastAsia"/>
          <w:sz w:val="24"/>
        </w:rPr>
        <w:tab/>
        <w:t>4</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二、机构设置</w:t>
      </w:r>
      <w:r w:rsidRPr="003A6521">
        <w:rPr>
          <w:rFonts w:asciiTheme="minorEastAsia" w:eastAsiaTheme="minorEastAsia" w:hAnsiTheme="minorEastAsia" w:cs="仿宋_GB2312" w:hint="eastAsia"/>
          <w:sz w:val="24"/>
        </w:rPr>
        <w:tab/>
        <w:t>5</w:t>
      </w:r>
    </w:p>
    <w:p w:rsidR="002934D9" w:rsidRPr="003A6521" w:rsidRDefault="0036555A">
      <w:pPr>
        <w:pStyle w:val="10"/>
        <w:adjustRightInd w:val="0"/>
        <w:snapToGrid w:val="0"/>
        <w:spacing w:before="0" w:line="440" w:lineRule="exact"/>
        <w:jc w:val="left"/>
        <w:rPr>
          <w:rFonts w:asciiTheme="minorEastAsia" w:eastAsiaTheme="minorEastAsia" w:hAnsiTheme="minorEastAsia" w:cs="仿宋_GB2312"/>
          <w:sz w:val="24"/>
          <w:szCs w:val="24"/>
        </w:rPr>
      </w:pPr>
      <w:r w:rsidRPr="003A6521">
        <w:rPr>
          <w:rFonts w:cs="仿宋_GB2312" w:hint="eastAsia"/>
          <w:sz w:val="24"/>
          <w:szCs w:val="24"/>
        </w:rPr>
        <w:t>第二部分 2022年度单位决算情况说明</w:t>
      </w:r>
      <w:r w:rsidRPr="003A6521">
        <w:rPr>
          <w:rFonts w:asciiTheme="minorEastAsia" w:eastAsiaTheme="minorEastAsia" w:hAnsiTheme="minorEastAsia" w:cs="仿宋_GB2312" w:hint="eastAsia"/>
          <w:sz w:val="24"/>
          <w:szCs w:val="24"/>
        </w:rPr>
        <w:tab/>
        <w:t>6</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一、收入支出决算总体情况说明</w:t>
      </w:r>
      <w:r w:rsidRPr="003A6521">
        <w:rPr>
          <w:rFonts w:asciiTheme="minorEastAsia" w:eastAsiaTheme="minorEastAsia" w:hAnsiTheme="minorEastAsia" w:cs="仿宋_GB2312" w:hint="eastAsia"/>
          <w:sz w:val="24"/>
        </w:rPr>
        <w:tab/>
        <w:t>6</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二、收入决算情况说明</w:t>
      </w:r>
      <w:r w:rsidRPr="003A6521">
        <w:rPr>
          <w:rFonts w:asciiTheme="minorEastAsia" w:eastAsiaTheme="minorEastAsia" w:hAnsiTheme="minorEastAsia" w:cs="仿宋_GB2312" w:hint="eastAsia"/>
          <w:sz w:val="24"/>
        </w:rPr>
        <w:tab/>
        <w:t>6</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三、支出决算情况说明</w:t>
      </w:r>
      <w:r w:rsidRPr="003A6521">
        <w:rPr>
          <w:rFonts w:asciiTheme="minorEastAsia" w:eastAsiaTheme="minorEastAsia" w:hAnsiTheme="minorEastAsia" w:cs="仿宋_GB2312" w:hint="eastAsia"/>
          <w:sz w:val="24"/>
        </w:rPr>
        <w:tab/>
        <w:t>7</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四、财政拨款收入支出决算总体情况说明</w:t>
      </w:r>
      <w:r w:rsidRPr="003A6521">
        <w:rPr>
          <w:rFonts w:asciiTheme="minorEastAsia" w:eastAsiaTheme="minorEastAsia" w:hAnsiTheme="minorEastAsia" w:cs="仿宋_GB2312" w:hint="eastAsia"/>
          <w:sz w:val="24"/>
        </w:rPr>
        <w:tab/>
        <w:t>8</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五、一般公共预算财政拨款支出决算情况说明</w:t>
      </w:r>
      <w:r w:rsidRPr="003A6521">
        <w:rPr>
          <w:rFonts w:asciiTheme="minorEastAsia" w:eastAsiaTheme="minorEastAsia" w:hAnsiTheme="minorEastAsia" w:cs="仿宋_GB2312" w:hint="eastAsia"/>
          <w:sz w:val="24"/>
        </w:rPr>
        <w:tab/>
        <w:t>8</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六、一般公共预算财政拨款基本支出决算情况说明</w:t>
      </w:r>
      <w:r w:rsidRPr="003A6521">
        <w:rPr>
          <w:rFonts w:asciiTheme="minorEastAsia" w:eastAsiaTheme="minorEastAsia" w:hAnsiTheme="minorEastAsia" w:cs="仿宋_GB2312" w:hint="eastAsia"/>
          <w:sz w:val="24"/>
        </w:rPr>
        <w:tab/>
        <w:t>1</w:t>
      </w:r>
      <w:r w:rsidR="00134B7A">
        <w:rPr>
          <w:rFonts w:asciiTheme="minorEastAsia" w:eastAsiaTheme="minorEastAsia" w:hAnsiTheme="minorEastAsia" w:cs="仿宋_GB2312"/>
          <w:sz w:val="24"/>
        </w:rPr>
        <w:t>1</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七、财政拨款“三公”经费支出决算情况说明</w:t>
      </w:r>
      <w:r w:rsidRPr="003A6521">
        <w:rPr>
          <w:rFonts w:asciiTheme="minorEastAsia" w:eastAsiaTheme="minorEastAsia" w:hAnsiTheme="minorEastAsia" w:cs="仿宋_GB2312" w:hint="eastAsia"/>
          <w:sz w:val="24"/>
        </w:rPr>
        <w:tab/>
        <w:t>1</w:t>
      </w:r>
      <w:r w:rsidR="00134B7A">
        <w:rPr>
          <w:rFonts w:asciiTheme="minorEastAsia" w:eastAsiaTheme="minorEastAsia" w:hAnsiTheme="minorEastAsia" w:cs="仿宋_GB2312"/>
          <w:sz w:val="24"/>
        </w:rPr>
        <w:t>2</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八、政府性基金预算支出决算情况说明</w:t>
      </w:r>
      <w:r w:rsidRPr="003A6521">
        <w:rPr>
          <w:rFonts w:asciiTheme="minorEastAsia" w:eastAsiaTheme="minorEastAsia" w:hAnsiTheme="minorEastAsia" w:cs="仿宋_GB2312" w:hint="eastAsia"/>
          <w:sz w:val="24"/>
        </w:rPr>
        <w:tab/>
        <w:t>1</w:t>
      </w:r>
      <w:r w:rsidR="00313BC8">
        <w:rPr>
          <w:rFonts w:asciiTheme="minorEastAsia" w:eastAsiaTheme="minorEastAsia" w:hAnsiTheme="minorEastAsia" w:cs="仿宋_GB2312"/>
          <w:sz w:val="24"/>
        </w:rPr>
        <w:t>3</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九、国有资本经营预算支出决算情况说明</w:t>
      </w:r>
      <w:r w:rsidRPr="003A6521">
        <w:rPr>
          <w:rFonts w:asciiTheme="minorEastAsia" w:eastAsiaTheme="minorEastAsia" w:hAnsiTheme="minorEastAsia" w:cs="仿宋_GB2312" w:hint="eastAsia"/>
          <w:sz w:val="24"/>
        </w:rPr>
        <w:tab/>
        <w:t>1</w:t>
      </w:r>
      <w:r w:rsidR="00134B7A">
        <w:rPr>
          <w:rFonts w:asciiTheme="minorEastAsia" w:eastAsiaTheme="minorEastAsia" w:hAnsiTheme="minorEastAsia" w:cs="仿宋_GB2312"/>
          <w:sz w:val="24"/>
        </w:rPr>
        <w:t>4</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十、其他重要事项的情况说明</w:t>
      </w:r>
      <w:r w:rsidRPr="003A6521">
        <w:rPr>
          <w:rFonts w:asciiTheme="minorEastAsia" w:eastAsiaTheme="minorEastAsia" w:hAnsiTheme="minorEastAsia" w:cs="仿宋_GB2312" w:hint="eastAsia"/>
          <w:sz w:val="24"/>
        </w:rPr>
        <w:tab/>
        <w:t>1</w:t>
      </w:r>
      <w:r w:rsidR="00134B7A">
        <w:rPr>
          <w:rFonts w:asciiTheme="minorEastAsia" w:eastAsiaTheme="minorEastAsia" w:hAnsiTheme="minorEastAsia" w:cs="仿宋_GB2312"/>
          <w:sz w:val="24"/>
        </w:rPr>
        <w:t>4</w:t>
      </w:r>
    </w:p>
    <w:p w:rsidR="002934D9" w:rsidRPr="003A6521" w:rsidRDefault="0036555A">
      <w:pPr>
        <w:pStyle w:val="10"/>
        <w:adjustRightInd w:val="0"/>
        <w:snapToGrid w:val="0"/>
        <w:spacing w:before="0" w:line="440" w:lineRule="exact"/>
        <w:jc w:val="left"/>
        <w:rPr>
          <w:rFonts w:cs="仿宋_GB2312"/>
          <w:sz w:val="24"/>
          <w:szCs w:val="24"/>
        </w:rPr>
      </w:pPr>
      <w:r w:rsidRPr="003A6521">
        <w:rPr>
          <w:rFonts w:cs="仿宋_GB2312" w:hint="eastAsia"/>
          <w:sz w:val="24"/>
          <w:szCs w:val="24"/>
        </w:rPr>
        <w:t>第三部分 名词解释</w:t>
      </w:r>
      <w:r w:rsidRPr="003A6521">
        <w:rPr>
          <w:rFonts w:cs="仿宋_GB2312" w:hint="eastAsia"/>
          <w:sz w:val="24"/>
          <w:szCs w:val="24"/>
        </w:rPr>
        <w:tab/>
        <w:t>1</w:t>
      </w:r>
      <w:r w:rsidR="00134B7A">
        <w:rPr>
          <w:rFonts w:cs="仿宋_GB2312"/>
          <w:sz w:val="24"/>
          <w:szCs w:val="24"/>
        </w:rPr>
        <w:t>6</w:t>
      </w:r>
    </w:p>
    <w:p w:rsidR="002934D9" w:rsidRPr="003A6521" w:rsidRDefault="0036555A">
      <w:pPr>
        <w:pStyle w:val="10"/>
        <w:adjustRightInd w:val="0"/>
        <w:snapToGrid w:val="0"/>
        <w:spacing w:before="0" w:line="440" w:lineRule="exact"/>
        <w:jc w:val="left"/>
        <w:rPr>
          <w:rFonts w:cs="仿宋_GB2312"/>
          <w:sz w:val="24"/>
          <w:szCs w:val="24"/>
        </w:rPr>
      </w:pPr>
      <w:r w:rsidRPr="003A6521">
        <w:rPr>
          <w:rFonts w:cs="仿宋_GB2312" w:hint="eastAsia"/>
          <w:sz w:val="24"/>
          <w:szCs w:val="24"/>
        </w:rPr>
        <w:t>第四部分 附件</w:t>
      </w:r>
      <w:r w:rsidRPr="003A6521">
        <w:rPr>
          <w:rFonts w:cs="仿宋_GB2312" w:hint="eastAsia"/>
          <w:sz w:val="24"/>
          <w:szCs w:val="24"/>
        </w:rPr>
        <w:tab/>
        <w:t>1</w:t>
      </w:r>
      <w:r w:rsidR="00134B7A">
        <w:rPr>
          <w:rFonts w:cs="仿宋_GB2312"/>
          <w:sz w:val="24"/>
          <w:szCs w:val="24"/>
        </w:rPr>
        <w:t>9</w:t>
      </w:r>
    </w:p>
    <w:p w:rsidR="002934D9" w:rsidRPr="003A6521" w:rsidRDefault="0036555A">
      <w:pPr>
        <w:pStyle w:val="10"/>
        <w:adjustRightInd w:val="0"/>
        <w:snapToGrid w:val="0"/>
        <w:spacing w:before="0" w:line="440" w:lineRule="exact"/>
        <w:jc w:val="left"/>
        <w:rPr>
          <w:rFonts w:asciiTheme="minorEastAsia" w:eastAsiaTheme="minorEastAsia" w:hAnsiTheme="minorEastAsia" w:cs="仿宋_GB2312"/>
          <w:sz w:val="24"/>
          <w:szCs w:val="24"/>
        </w:rPr>
      </w:pPr>
      <w:r w:rsidRPr="003A6521">
        <w:rPr>
          <w:rFonts w:cs="仿宋_GB2312" w:hint="eastAsia"/>
          <w:sz w:val="24"/>
          <w:szCs w:val="24"/>
        </w:rPr>
        <w:t>第五部分 附表</w:t>
      </w:r>
      <w:r w:rsidRPr="003A6521">
        <w:rPr>
          <w:rFonts w:asciiTheme="minorEastAsia" w:eastAsiaTheme="minorEastAsia" w:hAnsiTheme="minorEastAsia" w:cs="仿宋_GB2312" w:hint="eastAsia"/>
          <w:sz w:val="24"/>
          <w:szCs w:val="24"/>
        </w:rPr>
        <w:tab/>
      </w:r>
      <w:r w:rsidR="00134B7A">
        <w:rPr>
          <w:rFonts w:asciiTheme="minorEastAsia" w:eastAsiaTheme="minorEastAsia" w:hAnsiTheme="minorEastAsia" w:cs="仿宋_GB2312"/>
          <w:sz w:val="24"/>
          <w:szCs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一、收入支出决算总表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二、收入决算表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三、支出决算表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四、财政拨款收入支出决算总表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五、财政拨款支出决算明细表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六、一般公共预算财政拨款支出决算表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七、一般公共预算财政拨款支出决算明细表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八、一般公共预算财政拨款基本支出决算明细表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lastRenderedPageBreak/>
        <w:t>九、一般公共预算财政拨款项目支出决算表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十、政府性基金预算财政拨款收入支出决算表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十一、国有资本经营预算财政拨款收入支出决算表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十二、国有资本经营预算财政拨款支出决算表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Pr="003A6521" w:rsidRDefault="0036555A">
      <w:pPr>
        <w:pStyle w:val="20"/>
        <w:adjustRightInd w:val="0"/>
        <w:snapToGrid w:val="0"/>
        <w:spacing w:line="440" w:lineRule="exact"/>
        <w:jc w:val="left"/>
        <w:rPr>
          <w:rFonts w:asciiTheme="minorEastAsia" w:eastAsiaTheme="minorEastAsia" w:hAnsiTheme="minorEastAsia" w:cs="仿宋_GB2312"/>
          <w:sz w:val="24"/>
        </w:rPr>
      </w:pPr>
      <w:r w:rsidRPr="003A6521">
        <w:rPr>
          <w:rFonts w:asciiTheme="minorEastAsia" w:eastAsiaTheme="minorEastAsia" w:hAnsiTheme="minorEastAsia" w:cs="仿宋_GB2312" w:hint="eastAsia"/>
          <w:sz w:val="24"/>
        </w:rPr>
        <w:t>十三、财政拨款“三公”经费支出决算表</w:t>
      </w:r>
      <w:r w:rsidRPr="003A6521">
        <w:rPr>
          <w:rFonts w:asciiTheme="minorEastAsia" w:eastAsiaTheme="minorEastAsia" w:hAnsiTheme="minorEastAsia" w:cs="仿宋_GB2312" w:hint="eastAsia"/>
          <w:sz w:val="24"/>
        </w:rPr>
        <w:tab/>
      </w:r>
      <w:r w:rsidR="00134B7A">
        <w:rPr>
          <w:rFonts w:asciiTheme="minorEastAsia" w:eastAsiaTheme="minorEastAsia" w:hAnsiTheme="minorEastAsia" w:cs="仿宋_GB2312"/>
          <w:sz w:val="24"/>
        </w:rPr>
        <w:t>20</w:t>
      </w:r>
    </w:p>
    <w:p w:rsidR="002934D9" w:rsidRDefault="0036555A">
      <w:pPr>
        <w:widowControl/>
        <w:spacing w:line="440" w:lineRule="exact"/>
        <w:jc w:val="left"/>
        <w:rPr>
          <w:rFonts w:ascii="仿宋_GB2312" w:eastAsia="仿宋_GB2312" w:hAnsi="仿宋_GB2312" w:cs="仿宋_GB2312"/>
          <w:bCs/>
          <w:kern w:val="44"/>
          <w:sz w:val="32"/>
          <w:szCs w:val="32"/>
        </w:rPr>
      </w:pPr>
      <w:bookmarkStart w:id="13" w:name="_Toc15396599"/>
      <w:bookmarkStart w:id="14" w:name="_Toc15377196"/>
      <w:r>
        <w:rPr>
          <w:rFonts w:ascii="仿宋_GB2312" w:eastAsia="仿宋_GB2312" w:hAnsi="仿宋_GB2312" w:cs="仿宋_GB2312" w:hint="eastAsia"/>
          <w:b/>
          <w:sz w:val="32"/>
          <w:szCs w:val="32"/>
        </w:rPr>
        <w:br w:type="page"/>
      </w:r>
    </w:p>
    <w:p w:rsidR="002934D9" w:rsidRDefault="0036555A">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3"/>
      <w:bookmarkEnd w:id="14"/>
    </w:p>
    <w:p w:rsidR="002934D9" w:rsidRDefault="002934D9">
      <w:pPr>
        <w:widowControl/>
        <w:jc w:val="left"/>
        <w:rPr>
          <w:rFonts w:ascii="黑体" w:eastAsia="黑体"/>
          <w:sz w:val="32"/>
          <w:szCs w:val="32"/>
        </w:rPr>
      </w:pPr>
    </w:p>
    <w:p w:rsidR="002934D9" w:rsidRDefault="0036555A" w:rsidP="00921048">
      <w:pPr>
        <w:pStyle w:val="2"/>
        <w:numPr>
          <w:ilvl w:val="0"/>
          <w:numId w:val="5"/>
        </w:numPr>
        <w:spacing w:line="326" w:lineRule="auto"/>
        <w:rPr>
          <w:rStyle w:val="2Char"/>
          <w:rFonts w:ascii="黑体" w:eastAsia="黑体" w:hAnsi="黑体"/>
        </w:rPr>
      </w:pPr>
      <w:bookmarkStart w:id="15" w:name="_Toc15396600"/>
      <w:bookmarkStart w:id="16" w:name="_Toc15377197"/>
      <w:r>
        <w:rPr>
          <w:rStyle w:val="2Char"/>
          <w:rFonts w:ascii="黑体" w:eastAsia="黑体" w:hAnsi="黑体" w:hint="eastAsia"/>
        </w:rPr>
        <w:t>主要职责</w:t>
      </w:r>
    </w:p>
    <w:p w:rsidR="002934D9" w:rsidRDefault="0036555A" w:rsidP="00921048">
      <w:pPr>
        <w:spacing w:line="32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攀西院主要职责：承担钒钛制品、工业产（商）品等质量安全监督检验，受理第三方申请的委托检验和仲裁检验；提供社会公正计量服务；承担特种设备安全检验检测及咨询服务；承担2个标委会（全国钒钛磁铁矿综合利用标准化技术委员会（SAC/TC579）、中国材料与试验标准化委员会钒钛综合利用标准化领域委员会（CSTM/FC20））秘书处日常工作，组织和制（修）</w:t>
      </w:r>
      <w:proofErr w:type="gramStart"/>
      <w:r>
        <w:rPr>
          <w:rFonts w:ascii="仿宋_GB2312" w:eastAsia="仿宋_GB2312" w:hAnsi="仿宋_GB2312" w:cs="仿宋_GB2312" w:hint="eastAsia"/>
          <w:sz w:val="32"/>
          <w:szCs w:val="32"/>
        </w:rPr>
        <w:t>订相关</w:t>
      </w:r>
      <w:proofErr w:type="gramEnd"/>
      <w:r>
        <w:rPr>
          <w:rFonts w:ascii="仿宋_GB2312" w:eastAsia="仿宋_GB2312" w:hAnsi="仿宋_GB2312" w:cs="仿宋_GB2312" w:hint="eastAsia"/>
          <w:sz w:val="32"/>
          <w:szCs w:val="32"/>
        </w:rPr>
        <w:t>标准；组织钒钛领域学术交流、标准宣贯，开展钒钛领域检测方法研究和仪器设备研发；负责研究建立、保存社会公用计量标准，进行量值传递，执行强制和法律规定的其他检定测试任务，为实施计量监督提供技术保证，承办有关法制计量工作；承担能效测试、计量仲裁检定工作。承担全市药品、医疗器械、药品包装材料、消费环节食品、保健食品、化妆品等相关的检验检测工作；承担全市药品不良反应检测和药物质量研究工作。开展钒钛钢铁领域招商引资、项目建设推进等工作；组织、参与钒钛钢铁领域重大商贸活动。</w:t>
      </w:r>
    </w:p>
    <w:p w:rsidR="002934D9" w:rsidRDefault="002934D9" w:rsidP="00921048">
      <w:pPr>
        <w:spacing w:line="326" w:lineRule="auto"/>
      </w:pPr>
    </w:p>
    <w:p w:rsidR="002934D9" w:rsidRDefault="0036555A" w:rsidP="001E3E35">
      <w:pPr>
        <w:pStyle w:val="2"/>
        <w:numPr>
          <w:ilvl w:val="0"/>
          <w:numId w:val="5"/>
        </w:numPr>
        <w:spacing w:line="326" w:lineRule="auto"/>
        <w:rPr>
          <w:rFonts w:ascii="黑体" w:eastAsia="黑体" w:hAnsi="黑体"/>
          <w:b w:val="0"/>
        </w:rPr>
      </w:pPr>
      <w:r>
        <w:rPr>
          <w:rFonts w:ascii="黑体" w:eastAsia="黑体" w:hAnsi="黑体" w:hint="eastAsia"/>
          <w:b w:val="0"/>
        </w:rPr>
        <w:lastRenderedPageBreak/>
        <w:t>机构设置</w:t>
      </w:r>
    </w:p>
    <w:p w:rsidR="002934D9" w:rsidRDefault="0036555A" w:rsidP="00921048">
      <w:pPr>
        <w:spacing w:line="32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攀西院由原市食品药品检验所、市计量测试研究所、市产品质量监督检验所、市特种设备监督检验所于2019年8月正式整合组建，为市市场监督管理局所属副县级公益二类事业单位，是目前攀西地区最大的、攀枝花市唯一的综合性检验检测机构，为保障我市“四大安全”、民生计量服务等提供了强有力的专业技术支撑。内设部门11个，核定编制145人。</w:t>
      </w:r>
    </w:p>
    <w:bookmarkEnd w:id="15"/>
    <w:bookmarkEnd w:id="16"/>
    <w:p w:rsidR="002934D9" w:rsidRDefault="0036555A" w:rsidP="00921048">
      <w:pPr>
        <w:widowControl/>
        <w:spacing w:line="326" w:lineRule="auto"/>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br w:type="page"/>
      </w:r>
    </w:p>
    <w:p w:rsidR="002934D9" w:rsidRDefault="0036555A">
      <w:pPr>
        <w:pStyle w:val="1"/>
        <w:ind w:right="440"/>
        <w:jc w:val="center"/>
        <w:rPr>
          <w:rStyle w:val="1Char"/>
          <w:rFonts w:ascii="黑体" w:eastAsia="黑体" w:hAnsi="黑体"/>
          <w:bCs/>
        </w:rPr>
      </w:pPr>
      <w:bookmarkStart w:id="17" w:name="_Toc15396602"/>
      <w:bookmarkStart w:id="18" w:name="_Toc15377204"/>
      <w:r>
        <w:rPr>
          <w:rFonts w:ascii="黑体" w:eastAsia="黑体" w:hAnsi="黑体" w:hint="eastAsia"/>
          <w:b w:val="0"/>
        </w:rPr>
        <w:lastRenderedPageBreak/>
        <w:t>第二部分 2022年度</w:t>
      </w:r>
      <w:r>
        <w:rPr>
          <w:rStyle w:val="1Char"/>
          <w:rFonts w:ascii="黑体" w:eastAsia="黑体" w:hAnsi="黑体" w:hint="eastAsia"/>
          <w:bCs/>
        </w:rPr>
        <w:t>单位决算情况说明</w:t>
      </w:r>
      <w:bookmarkEnd w:id="17"/>
      <w:bookmarkEnd w:id="18"/>
    </w:p>
    <w:p w:rsidR="002934D9" w:rsidRDefault="002934D9"/>
    <w:p w:rsidR="002934D9" w:rsidRDefault="0036555A">
      <w:pPr>
        <w:pStyle w:val="a9"/>
        <w:numPr>
          <w:ilvl w:val="0"/>
          <w:numId w:val="2"/>
        </w:numPr>
        <w:spacing w:line="600" w:lineRule="exact"/>
        <w:ind w:firstLineChars="0"/>
        <w:outlineLvl w:val="1"/>
        <w:rPr>
          <w:rStyle w:val="2Char"/>
          <w:rFonts w:ascii="黑体" w:eastAsia="黑体" w:hAnsi="黑体"/>
          <w:b w:val="0"/>
        </w:rPr>
      </w:pPr>
      <w:bookmarkStart w:id="19" w:name="_Toc15377205"/>
      <w:bookmarkStart w:id="20"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2934D9" w:rsidRDefault="0036555A">
      <w:pPr>
        <w:spacing w:line="600" w:lineRule="exact"/>
        <w:ind w:firstLineChars="200" w:firstLine="640"/>
      </w:pPr>
      <w:r>
        <w:rPr>
          <w:rFonts w:ascii="仿宋_GB2312" w:eastAsia="仿宋_GB2312" w:hAnsi="仿宋_GB2312" w:cs="仿宋_GB2312" w:hint="eastAsia"/>
          <w:sz w:val="32"/>
          <w:szCs w:val="32"/>
        </w:rPr>
        <w:t>2022年度收、支总计5044.65万元。与2021年相比，收、支总计各减少121.32万元，下降2%。主要变动原因是专用设备购置费减少。</w:t>
      </w:r>
    </w:p>
    <w:p w:rsidR="002934D9" w:rsidRDefault="003655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（图1：收、支决算总计变动情况图）（柱状图）</w:t>
      </w:r>
    </w:p>
    <w:p w:rsidR="002934D9" w:rsidRDefault="0036555A">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宋体" w:cs="仿宋_GB2312"/>
          <w:noProof/>
          <w:color w:val="000000"/>
          <w:kern w:val="0"/>
          <w:sz w:val="32"/>
          <w:szCs w:val="32"/>
        </w:rPr>
        <w:drawing>
          <wp:anchor distT="0" distB="0" distL="0" distR="0" simplePos="0" relativeHeight="251659264" behindDoc="0" locked="0" layoutInCell="1" allowOverlap="1">
            <wp:simplePos x="0" y="0"/>
            <wp:positionH relativeFrom="column">
              <wp:posOffset>61595</wp:posOffset>
            </wp:positionH>
            <wp:positionV relativeFrom="paragraph">
              <wp:posOffset>123825</wp:posOffset>
            </wp:positionV>
            <wp:extent cx="5215255" cy="1697990"/>
            <wp:effectExtent l="0" t="0" r="0" b="0"/>
            <wp:wrapSquare wrapText="bothSides"/>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2934D9" w:rsidRDefault="0036555A">
      <w:pPr>
        <w:pStyle w:val="a9"/>
        <w:numPr>
          <w:ilvl w:val="0"/>
          <w:numId w:val="2"/>
        </w:numPr>
        <w:spacing w:line="600" w:lineRule="exact"/>
        <w:ind w:firstLineChars="0"/>
        <w:outlineLvl w:val="1"/>
        <w:rPr>
          <w:rStyle w:val="2Char"/>
          <w:rFonts w:ascii="黑体" w:eastAsia="黑体" w:hAnsi="黑体"/>
          <w:b w:val="0"/>
        </w:rPr>
      </w:pPr>
      <w:bookmarkStart w:id="21" w:name="_Toc15377206"/>
      <w:bookmarkStart w:id="22"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AC2296" w:rsidRPr="002F6B90" w:rsidRDefault="0036555A" w:rsidP="002F6B90">
      <w:pPr>
        <w:spacing w:line="600" w:lineRule="exact"/>
        <w:ind w:firstLineChars="200" w:firstLine="640"/>
        <w:outlineLvl w:val="1"/>
        <w:rPr>
          <w:rFonts w:ascii="仿宋" w:eastAsia="仿宋" w:hAnsi="仿宋"/>
          <w:color w:val="FF0000"/>
          <w:sz w:val="32"/>
          <w:szCs w:val="32"/>
        </w:rPr>
      </w:pPr>
      <w:r>
        <w:rPr>
          <w:rFonts w:ascii="仿宋_GB2312" w:eastAsia="仿宋_GB2312" w:hAnsi="仿宋_GB2312" w:cs="仿宋_GB2312" w:hint="eastAsia"/>
          <w:sz w:val="32"/>
          <w:szCs w:val="32"/>
        </w:rPr>
        <w:t>2022年本年收入合计3541.93万元，其中：一般公共预算财政拨款收入3541.93万元，占100%；政府性基金预算财政拨款收入0万元，占0%；国有资本经营预算财政拨款收入0万元，占0%；上级补助收入0万元，占0%；事业收入0万元，占0%；经营收入0万元，占0%；附属单位上缴收入0万元，占0%；其他收入0万元，占0%。</w:t>
      </w:r>
    </w:p>
    <w:p w:rsidR="002934D9" w:rsidRDefault="0036555A">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2934D9" w:rsidRDefault="002934D9">
      <w:pPr>
        <w:spacing w:line="600" w:lineRule="exact"/>
        <w:ind w:firstLineChars="200" w:firstLine="640"/>
        <w:rPr>
          <w:rFonts w:ascii="仿宋_GB2312" w:eastAsia="仿宋_GB2312"/>
          <w:sz w:val="32"/>
          <w:szCs w:val="32"/>
        </w:rPr>
      </w:pPr>
    </w:p>
    <w:p w:rsidR="00AC2296" w:rsidRPr="00AC2296" w:rsidRDefault="00AC2296" w:rsidP="00AC2296">
      <w:pPr>
        <w:pStyle w:val="a9"/>
        <w:spacing w:line="600" w:lineRule="exact"/>
        <w:ind w:left="1360" w:firstLineChars="0" w:firstLine="0"/>
        <w:outlineLvl w:val="1"/>
        <w:rPr>
          <w:rFonts w:ascii="黑体" w:eastAsia="黑体" w:hAnsi="黑体" w:cstheme="majorBidi"/>
          <w:bCs/>
          <w:sz w:val="32"/>
          <w:szCs w:val="32"/>
        </w:rPr>
      </w:pPr>
      <w:bookmarkStart w:id="23" w:name="_Toc15396605"/>
      <w:bookmarkStart w:id="24" w:name="_Toc15377207"/>
    </w:p>
    <w:p w:rsidR="002934D9" w:rsidRDefault="00CE0B3D">
      <w:pPr>
        <w:pStyle w:val="a9"/>
        <w:numPr>
          <w:ilvl w:val="0"/>
          <w:numId w:val="2"/>
        </w:numPr>
        <w:spacing w:line="600" w:lineRule="exact"/>
        <w:ind w:firstLineChars="0"/>
        <w:outlineLvl w:val="1"/>
        <w:rPr>
          <w:rStyle w:val="2Char"/>
          <w:rFonts w:ascii="黑体" w:eastAsia="黑体" w:hAnsi="黑体"/>
          <w:b w:val="0"/>
        </w:rPr>
      </w:pPr>
      <w:r>
        <w:rPr>
          <w:rFonts w:ascii="仿宋" w:eastAsia="仿宋" w:hAnsi="仿宋"/>
          <w:noProof/>
          <w:color w:val="000000"/>
          <w:sz w:val="32"/>
          <w:szCs w:val="32"/>
        </w:rPr>
        <w:lastRenderedPageBreak/>
        <w:drawing>
          <wp:anchor distT="0" distB="0" distL="0" distR="0" simplePos="0" relativeHeight="251660288" behindDoc="0" locked="0" layoutInCell="1" allowOverlap="1" wp14:anchorId="76FB9F29" wp14:editId="2E15E0E8">
            <wp:simplePos x="0" y="0"/>
            <wp:positionH relativeFrom="column">
              <wp:posOffset>1085850</wp:posOffset>
            </wp:positionH>
            <wp:positionV relativeFrom="paragraph">
              <wp:posOffset>1223010</wp:posOffset>
            </wp:positionV>
            <wp:extent cx="4518660" cy="2171700"/>
            <wp:effectExtent l="0" t="0" r="0" b="0"/>
            <wp:wrapTopAndBottom/>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6555A">
        <w:rPr>
          <w:rFonts w:ascii="黑体" w:eastAsia="黑体" w:hAnsi="黑体" w:hint="eastAsia"/>
          <w:sz w:val="32"/>
          <w:szCs w:val="32"/>
        </w:rPr>
        <w:t>支</w:t>
      </w:r>
      <w:r w:rsidR="0036555A">
        <w:rPr>
          <w:rStyle w:val="2Char"/>
          <w:rFonts w:ascii="黑体" w:eastAsia="黑体" w:hAnsi="黑体" w:hint="eastAsia"/>
          <w:b w:val="0"/>
        </w:rPr>
        <w:t>出决算情况说明</w:t>
      </w:r>
      <w:bookmarkEnd w:id="23"/>
      <w:bookmarkEnd w:id="24"/>
    </w:p>
    <w:p w:rsidR="00CE0B3D" w:rsidRDefault="00CE0B3D">
      <w:pPr>
        <w:spacing w:line="600" w:lineRule="exact"/>
        <w:ind w:firstLineChars="200" w:firstLine="640"/>
        <w:outlineLvl w:val="1"/>
        <w:rPr>
          <w:rFonts w:ascii="仿宋_GB2312" w:eastAsia="仿宋_GB2312" w:hAnsi="仿宋_GB2312" w:cs="仿宋_GB2312"/>
          <w:sz w:val="32"/>
          <w:szCs w:val="32"/>
        </w:rPr>
      </w:pPr>
    </w:p>
    <w:p w:rsidR="002934D9" w:rsidRDefault="0036555A">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2022年本年支出合计5040.64万元，其中：基本支出3012.59万元，占60%；项目支出2028.05万元，占40%；上缴上级支出0万元，占0%；经营支出0万元，占0%；对附属单位补助支出0万元，占0%。</w:t>
      </w:r>
    </w:p>
    <w:p w:rsidR="00707D85" w:rsidRDefault="00707D85" w:rsidP="00707D85">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707D85" w:rsidRPr="00707D85" w:rsidRDefault="00707D85" w:rsidP="00707D85">
      <w:pPr>
        <w:pStyle w:val="a0"/>
        <w:spacing w:before="93"/>
      </w:pPr>
    </w:p>
    <w:p w:rsidR="00707D85" w:rsidRPr="00707D85" w:rsidRDefault="00707D85" w:rsidP="00707D85">
      <w:pPr>
        <w:pStyle w:val="a0"/>
        <w:spacing w:before="93"/>
      </w:pPr>
      <w:r>
        <w:rPr>
          <w:rFonts w:ascii="仿宋" w:eastAsia="仿宋" w:hAnsi="仿宋"/>
          <w:b/>
          <w:noProof/>
          <w:color w:val="FF0000"/>
          <w:sz w:val="32"/>
          <w:szCs w:val="32"/>
        </w:rPr>
        <w:drawing>
          <wp:inline distT="0" distB="0" distL="0" distR="0" wp14:anchorId="3424AA5E" wp14:editId="7DA8B668">
            <wp:extent cx="5207000" cy="2274570"/>
            <wp:effectExtent l="0" t="0" r="0" b="0"/>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34D9" w:rsidRDefault="002934D9">
      <w:pPr>
        <w:pStyle w:val="a0"/>
        <w:spacing w:before="93"/>
        <w:rPr>
          <w:rFonts w:hAnsi="仿宋_GB2312" w:cs="仿宋_GB2312"/>
          <w:sz w:val="32"/>
          <w:szCs w:val="32"/>
        </w:rPr>
      </w:pPr>
    </w:p>
    <w:p w:rsidR="002934D9" w:rsidRDefault="002934D9">
      <w:pPr>
        <w:spacing w:line="600" w:lineRule="exact"/>
        <w:ind w:firstLineChars="200" w:firstLine="640"/>
        <w:rPr>
          <w:rFonts w:ascii="仿宋_GB2312" w:eastAsia="仿宋_GB2312"/>
          <w:sz w:val="32"/>
          <w:szCs w:val="32"/>
        </w:rPr>
      </w:pPr>
    </w:p>
    <w:p w:rsidR="002934D9" w:rsidRDefault="0036555A">
      <w:pPr>
        <w:spacing w:line="600" w:lineRule="exact"/>
        <w:ind w:firstLineChars="200" w:firstLine="640"/>
        <w:outlineLvl w:val="1"/>
        <w:rPr>
          <w:rStyle w:val="2Char"/>
          <w:rFonts w:ascii="黑体" w:eastAsia="黑体" w:hAnsi="黑体"/>
          <w:b w:val="0"/>
        </w:rPr>
      </w:pPr>
      <w:bookmarkStart w:id="25" w:name="_Toc15396606"/>
      <w:bookmarkStart w:id="26" w:name="_Toc15377208"/>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25"/>
      <w:bookmarkEnd w:id="26"/>
    </w:p>
    <w:p w:rsidR="002934D9" w:rsidRDefault="0036555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2022年财政拨款收、支总计5040.64万元。与2021年相比，财政拨款收、支总计各减少106.60万元，下降2%。主要变动原因是专用设备购置费减少。</w:t>
      </w:r>
    </w:p>
    <w:p w:rsidR="00CD6706" w:rsidRPr="00CD6706" w:rsidRDefault="00CD6706" w:rsidP="00CD6706">
      <w:pPr>
        <w:pStyle w:val="a0"/>
        <w:spacing w:before="93"/>
      </w:pPr>
      <w:r>
        <w:rPr>
          <w:rFonts w:ascii="仿宋" w:eastAsia="仿宋" w:hAnsi="仿宋" w:hint="eastAsia"/>
          <w:sz w:val="32"/>
          <w:szCs w:val="32"/>
        </w:rPr>
        <w:t>（图4：财政拨款收、支决算总计变动情况）（柱状图）</w:t>
      </w:r>
    </w:p>
    <w:p w:rsidR="00CD6706" w:rsidRPr="00CD6706" w:rsidRDefault="00CD6706" w:rsidP="00CD6706">
      <w:pPr>
        <w:pStyle w:val="a0"/>
        <w:spacing w:before="93"/>
      </w:pPr>
    </w:p>
    <w:p w:rsidR="002934D9" w:rsidRDefault="0036555A">
      <w:pPr>
        <w:pStyle w:val="a0"/>
        <w:spacing w:before="93"/>
      </w:pPr>
      <w:r>
        <w:rPr>
          <w:rFonts w:ascii="仿宋" w:eastAsia="仿宋" w:hAnsi="仿宋"/>
          <w:noProof/>
          <w:color w:val="000000"/>
          <w:sz w:val="32"/>
          <w:szCs w:val="32"/>
        </w:rPr>
        <w:drawing>
          <wp:inline distT="0" distB="0" distL="0" distR="0">
            <wp:extent cx="4798695" cy="2023110"/>
            <wp:effectExtent l="0" t="0" r="0" b="0"/>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34D9" w:rsidRDefault="002934D9" w:rsidP="00305054">
      <w:pPr>
        <w:spacing w:line="600" w:lineRule="exact"/>
        <w:rPr>
          <w:rFonts w:ascii="仿宋" w:eastAsia="仿宋" w:hAnsi="仿宋"/>
          <w:b/>
          <w:sz w:val="32"/>
          <w:szCs w:val="32"/>
        </w:rPr>
      </w:pPr>
    </w:p>
    <w:p w:rsidR="002934D9" w:rsidRDefault="0036555A">
      <w:pPr>
        <w:spacing w:line="600" w:lineRule="exact"/>
        <w:ind w:firstLineChars="200" w:firstLine="640"/>
        <w:outlineLvl w:val="1"/>
        <w:rPr>
          <w:rStyle w:val="2Char"/>
          <w:rFonts w:ascii="黑体" w:eastAsia="黑体" w:hAnsi="黑体"/>
          <w:b w:val="0"/>
        </w:rPr>
      </w:pPr>
      <w:bookmarkStart w:id="27" w:name="_Toc15396607"/>
      <w:bookmarkStart w:id="28"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2934D9" w:rsidRPr="00723F35" w:rsidRDefault="0036555A">
      <w:pPr>
        <w:spacing w:line="600" w:lineRule="exact"/>
        <w:ind w:firstLineChars="200" w:firstLine="640"/>
        <w:outlineLvl w:val="2"/>
        <w:rPr>
          <w:rFonts w:ascii="楷体" w:eastAsia="楷体" w:hAnsi="楷体"/>
          <w:sz w:val="32"/>
          <w:szCs w:val="32"/>
        </w:rPr>
      </w:pPr>
      <w:bookmarkStart w:id="29" w:name="_Toc15377210"/>
      <w:r w:rsidRPr="00723F35">
        <w:rPr>
          <w:rFonts w:ascii="楷体" w:eastAsia="楷体" w:hAnsi="楷体" w:hint="eastAsia"/>
          <w:sz w:val="32"/>
          <w:szCs w:val="32"/>
        </w:rPr>
        <w:t>（一）一般公共预算财政拨款支出决算总体情况</w:t>
      </w:r>
      <w:bookmarkEnd w:id="29"/>
    </w:p>
    <w:p w:rsidR="00A925B9" w:rsidRPr="00A925B9" w:rsidRDefault="0036555A" w:rsidP="00A925B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2022年一般公共预算财政拨款支出5040.64万元，占本年支出合计的100%。与2021年相比，一般公共预算财政拨款支出减少106.60万元，下降2%。主要变动原因是专用设备购置费减少。</w:t>
      </w:r>
    </w:p>
    <w:p w:rsidR="002934D9" w:rsidRDefault="0036555A" w:rsidP="002F6B90">
      <w:pPr>
        <w:spacing w:line="600" w:lineRule="exact"/>
        <w:ind w:firstLineChars="200" w:firstLine="640"/>
        <w:rPr>
          <w:rFonts w:ascii="仿宋" w:eastAsia="仿宋" w:hAnsi="仿宋"/>
          <w:sz w:val="32"/>
          <w:szCs w:val="32"/>
        </w:rPr>
      </w:pPr>
      <w:r>
        <w:rPr>
          <w:rFonts w:ascii="仿宋" w:eastAsia="仿宋" w:hAnsi="仿宋"/>
          <w:noProof/>
          <w:sz w:val="32"/>
          <w:szCs w:val="32"/>
        </w:rPr>
        <w:lastRenderedPageBreak/>
        <w:drawing>
          <wp:anchor distT="0" distB="0" distL="0" distR="0" simplePos="0" relativeHeight="251663360" behindDoc="0" locked="0" layoutInCell="1" allowOverlap="1">
            <wp:simplePos x="0" y="0"/>
            <wp:positionH relativeFrom="column">
              <wp:posOffset>1051560</wp:posOffset>
            </wp:positionH>
            <wp:positionV relativeFrom="paragraph">
              <wp:posOffset>800100</wp:posOffset>
            </wp:positionV>
            <wp:extent cx="3938270" cy="1794510"/>
            <wp:effectExtent l="0" t="0" r="5080" b="0"/>
            <wp:wrapTopAndBottom/>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仿宋" w:eastAsia="仿宋" w:hAnsi="仿宋" w:hint="eastAsia"/>
          <w:sz w:val="32"/>
          <w:szCs w:val="32"/>
        </w:rPr>
        <w:t>（图5：一般公共预算财政拨款支出决算变动情况）（柱状图）</w:t>
      </w:r>
    </w:p>
    <w:p w:rsidR="00CE0B3D" w:rsidRDefault="00CE0B3D" w:rsidP="00723F35">
      <w:pPr>
        <w:spacing w:line="600" w:lineRule="exact"/>
        <w:ind w:firstLineChars="200" w:firstLine="640"/>
        <w:outlineLvl w:val="2"/>
        <w:rPr>
          <w:rFonts w:ascii="楷体" w:eastAsia="楷体" w:hAnsi="楷体"/>
          <w:sz w:val="32"/>
          <w:szCs w:val="32"/>
        </w:rPr>
      </w:pPr>
      <w:bookmarkStart w:id="30" w:name="_Toc15377211"/>
    </w:p>
    <w:p w:rsidR="002934D9" w:rsidRPr="00723F35" w:rsidRDefault="0036555A" w:rsidP="00723F35">
      <w:pPr>
        <w:spacing w:line="600" w:lineRule="exact"/>
        <w:ind w:firstLineChars="200" w:firstLine="640"/>
        <w:outlineLvl w:val="2"/>
        <w:rPr>
          <w:rFonts w:ascii="楷体" w:eastAsia="楷体" w:hAnsi="楷体"/>
          <w:sz w:val="32"/>
          <w:szCs w:val="32"/>
        </w:rPr>
      </w:pPr>
      <w:r w:rsidRPr="00723F35">
        <w:rPr>
          <w:rFonts w:ascii="楷体" w:eastAsia="楷体" w:hAnsi="楷体" w:hint="eastAsia"/>
          <w:sz w:val="32"/>
          <w:szCs w:val="32"/>
        </w:rPr>
        <w:t>（二）一般公共预算财政拨款支出决算结构情况</w:t>
      </w:r>
      <w:bookmarkEnd w:id="30"/>
    </w:p>
    <w:p w:rsidR="002934D9" w:rsidRDefault="0036555A">
      <w:pPr>
        <w:spacing w:line="600" w:lineRule="exact"/>
        <w:ind w:firstLine="640"/>
        <w:rPr>
          <w:rFonts w:ascii="仿宋_GB2312" w:eastAsia="仿宋_GB2312" w:hAnsi="宋体" w:cs="仿宋_GB2312"/>
          <w:color w:val="000000"/>
          <w:kern w:val="0"/>
          <w:sz w:val="32"/>
          <w:szCs w:val="32"/>
        </w:rPr>
      </w:pPr>
      <w:r>
        <w:rPr>
          <w:rFonts w:ascii="仿宋_GB2312" w:eastAsia="仿宋_GB2312" w:hAnsi="仿宋_GB2312" w:cs="仿宋_GB2312" w:hint="eastAsia"/>
          <w:sz w:val="32"/>
          <w:szCs w:val="32"/>
        </w:rPr>
        <w:t>2022年一般公共预算财政拨款支出5040.64万元，主要用于以下方面:</w:t>
      </w:r>
      <w:r>
        <w:rPr>
          <w:rFonts w:ascii="仿宋_GB2312" w:eastAsia="仿宋_GB2312" w:hAnsi="宋体" w:cs="仿宋_GB2312" w:hint="eastAsia"/>
          <w:color w:val="000000"/>
          <w:kern w:val="0"/>
          <w:sz w:val="32"/>
          <w:szCs w:val="32"/>
        </w:rPr>
        <w:t>一般公共服务（类）支出3248.84万元，占65</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；社会保障和就业（类）支出423.63万元，占8</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；城乡社区支出1126.42万元，占22</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；住房保障支出241.75万元，占5</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p>
    <w:p w:rsidR="002934D9" w:rsidRDefault="0036555A">
      <w:pPr>
        <w:spacing w:line="600" w:lineRule="exact"/>
        <w:ind w:firstLineChars="200" w:firstLine="643"/>
        <w:rPr>
          <w:rFonts w:ascii="仿宋" w:eastAsia="仿宋" w:hAnsi="仿宋"/>
          <w:sz w:val="32"/>
          <w:szCs w:val="32"/>
        </w:rPr>
      </w:pPr>
      <w:r>
        <w:rPr>
          <w:rFonts w:ascii="仿宋" w:eastAsia="仿宋" w:hAnsi="仿宋"/>
          <w:b/>
          <w:noProof/>
          <w:sz w:val="32"/>
          <w:szCs w:val="32"/>
        </w:rPr>
        <w:drawing>
          <wp:anchor distT="0" distB="0" distL="0" distR="0" simplePos="0" relativeHeight="251661312" behindDoc="0" locked="0" layoutInCell="1" allowOverlap="1">
            <wp:simplePos x="0" y="0"/>
            <wp:positionH relativeFrom="column">
              <wp:posOffset>308610</wp:posOffset>
            </wp:positionH>
            <wp:positionV relativeFrom="paragraph">
              <wp:posOffset>910590</wp:posOffset>
            </wp:positionV>
            <wp:extent cx="4875530" cy="2160270"/>
            <wp:effectExtent l="0" t="0" r="1270" b="0"/>
            <wp:wrapTopAndBottom/>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Pr>
          <w:rFonts w:ascii="仿宋" w:eastAsia="仿宋" w:hAnsi="仿宋" w:hint="eastAsia"/>
          <w:sz w:val="32"/>
          <w:szCs w:val="32"/>
        </w:rPr>
        <w:t>（图6：一般公共预算财政拨款支出决算结构）（饼状图）</w:t>
      </w:r>
    </w:p>
    <w:p w:rsidR="002934D9" w:rsidRDefault="002934D9">
      <w:pPr>
        <w:spacing w:line="600" w:lineRule="exact"/>
        <w:ind w:firstLineChars="200" w:firstLine="640"/>
        <w:rPr>
          <w:rFonts w:ascii="仿宋" w:eastAsia="仿宋" w:hAnsi="仿宋"/>
          <w:sz w:val="32"/>
          <w:szCs w:val="32"/>
        </w:rPr>
      </w:pPr>
    </w:p>
    <w:p w:rsidR="002934D9" w:rsidRPr="00723F35" w:rsidRDefault="0036555A" w:rsidP="00723F35">
      <w:pPr>
        <w:spacing w:line="600" w:lineRule="exact"/>
        <w:ind w:firstLineChars="200" w:firstLine="640"/>
        <w:outlineLvl w:val="2"/>
        <w:rPr>
          <w:rFonts w:ascii="楷体" w:eastAsia="楷体" w:hAnsi="楷体"/>
          <w:sz w:val="32"/>
          <w:szCs w:val="32"/>
        </w:rPr>
      </w:pPr>
      <w:bookmarkStart w:id="31" w:name="_Toc15377212"/>
      <w:r w:rsidRPr="00723F35">
        <w:rPr>
          <w:rFonts w:ascii="楷体" w:eastAsia="楷体" w:hAnsi="楷体" w:hint="eastAsia"/>
          <w:sz w:val="32"/>
          <w:szCs w:val="32"/>
        </w:rPr>
        <w:lastRenderedPageBreak/>
        <w:t>（三）一般公共预算财政拨款支出决算具体情况</w:t>
      </w:r>
      <w:bookmarkEnd w:id="31"/>
    </w:p>
    <w:p w:rsidR="002934D9" w:rsidRDefault="0036555A">
      <w:pPr>
        <w:spacing w:line="600" w:lineRule="exact"/>
        <w:ind w:firstLineChars="200" w:firstLine="640"/>
        <w:outlineLvl w:val="2"/>
        <w:rPr>
          <w:rFonts w:ascii="仿宋" w:eastAsia="仿宋" w:hAnsi="仿宋"/>
          <w:bCs/>
          <w:sz w:val="32"/>
          <w:szCs w:val="32"/>
        </w:rPr>
      </w:pPr>
      <w:bookmarkStart w:id="32" w:name="_Toc15377444"/>
      <w:bookmarkStart w:id="33" w:name="_Toc15377213"/>
      <w:bookmarkStart w:id="34" w:name="_Toc15378460"/>
      <w:r>
        <w:rPr>
          <w:rFonts w:ascii="仿宋_GB2312" w:eastAsia="仿宋_GB2312" w:hAnsi="仿宋_GB2312" w:cs="仿宋_GB2312" w:hint="eastAsia"/>
          <w:bCs/>
          <w:sz w:val="32"/>
          <w:szCs w:val="32"/>
        </w:rPr>
        <w:t>2022年一般公共预算支出决算数为5040.64万元，</w:t>
      </w:r>
      <w:r>
        <w:rPr>
          <w:rStyle w:val="a7"/>
          <w:rFonts w:ascii="仿宋_GB2312" w:eastAsia="仿宋_GB2312" w:hAnsi="仿宋_GB2312" w:cs="仿宋_GB2312" w:hint="eastAsia"/>
          <w:b w:val="0"/>
          <w:bCs/>
          <w:sz w:val="32"/>
          <w:szCs w:val="32"/>
        </w:rPr>
        <w:t>完成预算100%。其中</w:t>
      </w:r>
      <w:r>
        <w:rPr>
          <w:rStyle w:val="a7"/>
          <w:rFonts w:ascii="仿宋" w:eastAsia="仿宋" w:hAnsi="仿宋" w:hint="eastAsia"/>
          <w:b w:val="0"/>
          <w:bCs/>
          <w:sz w:val="32"/>
          <w:szCs w:val="32"/>
        </w:rPr>
        <w:t>：</w:t>
      </w:r>
      <w:bookmarkEnd w:id="32"/>
      <w:bookmarkEnd w:id="33"/>
      <w:bookmarkEnd w:id="34"/>
    </w:p>
    <w:p w:rsidR="002934D9" w:rsidRPr="00A925B9" w:rsidRDefault="0036555A">
      <w:pPr>
        <w:spacing w:line="326" w:lineRule="auto"/>
        <w:ind w:firstLineChars="200" w:firstLine="640"/>
        <w:jc w:val="left"/>
        <w:rPr>
          <w:rStyle w:val="a7"/>
          <w:rFonts w:ascii="仿宋_GB2312" w:eastAsia="仿宋_GB2312"/>
          <w:b w:val="0"/>
          <w:color w:val="000000"/>
          <w:sz w:val="32"/>
          <w:szCs w:val="32"/>
        </w:rPr>
      </w:pPr>
      <w:r w:rsidRPr="00A925B9">
        <w:rPr>
          <w:rStyle w:val="a7"/>
          <w:rFonts w:ascii="仿宋_GB2312" w:eastAsia="仿宋_GB2312" w:hint="eastAsia"/>
          <w:b w:val="0"/>
          <w:color w:val="000000"/>
          <w:sz w:val="32"/>
          <w:szCs w:val="32"/>
        </w:rPr>
        <w:t>1.一般公共服务支出（类）组织事务（款）  其他组织事务支出（项）:支出决算为2.22万元，完成预算100%。</w:t>
      </w:r>
    </w:p>
    <w:p w:rsidR="002934D9" w:rsidRPr="00A925B9" w:rsidRDefault="0036555A">
      <w:pPr>
        <w:spacing w:line="326" w:lineRule="auto"/>
        <w:ind w:firstLineChars="200" w:firstLine="640"/>
        <w:jc w:val="left"/>
        <w:rPr>
          <w:rStyle w:val="a7"/>
          <w:rFonts w:ascii="仿宋_GB2312" w:eastAsia="仿宋_GB2312"/>
          <w:b w:val="0"/>
          <w:bCs/>
          <w:color w:val="000000"/>
          <w:sz w:val="32"/>
          <w:szCs w:val="32"/>
        </w:rPr>
      </w:pPr>
      <w:r w:rsidRPr="00A925B9">
        <w:rPr>
          <w:rStyle w:val="a7"/>
          <w:rFonts w:ascii="仿宋_GB2312" w:eastAsia="仿宋_GB2312" w:hint="eastAsia"/>
          <w:b w:val="0"/>
          <w:color w:val="000000"/>
          <w:sz w:val="32"/>
          <w:szCs w:val="32"/>
        </w:rPr>
        <w:t>2.一般公共服务支出（类）市场监督管理事务（款）一般行政管理事务（项）:支出决算为83.77万元，完成预算100%。</w:t>
      </w:r>
    </w:p>
    <w:p w:rsidR="002934D9" w:rsidRPr="00A925B9" w:rsidRDefault="0036555A">
      <w:pPr>
        <w:spacing w:line="326" w:lineRule="auto"/>
        <w:ind w:firstLineChars="200" w:firstLine="640"/>
        <w:jc w:val="left"/>
        <w:rPr>
          <w:rStyle w:val="a7"/>
          <w:rFonts w:ascii="仿宋_GB2312" w:eastAsia="仿宋_GB2312"/>
          <w:b w:val="0"/>
          <w:bCs/>
          <w:color w:val="000000"/>
          <w:sz w:val="32"/>
          <w:szCs w:val="32"/>
        </w:rPr>
      </w:pPr>
      <w:r w:rsidRPr="00A925B9">
        <w:rPr>
          <w:rStyle w:val="a7"/>
          <w:rFonts w:ascii="仿宋_GB2312" w:eastAsia="仿宋_GB2312" w:hint="eastAsia"/>
          <w:b w:val="0"/>
          <w:color w:val="000000"/>
          <w:sz w:val="32"/>
          <w:szCs w:val="32"/>
        </w:rPr>
        <w:t>3.一般公共服务支出（类）市场监督管理事务（款）  食品安全监管（项）:支出决算为60.21万元，完成预算100%。</w:t>
      </w:r>
    </w:p>
    <w:p w:rsidR="002934D9" w:rsidRPr="00A925B9" w:rsidRDefault="0036555A">
      <w:pPr>
        <w:spacing w:line="326" w:lineRule="auto"/>
        <w:ind w:firstLineChars="196" w:firstLine="627"/>
        <w:jc w:val="left"/>
        <w:rPr>
          <w:rStyle w:val="a7"/>
          <w:rFonts w:ascii="仿宋_GB2312" w:eastAsia="仿宋_GB2312"/>
          <w:b w:val="0"/>
          <w:bCs/>
          <w:color w:val="000000"/>
          <w:sz w:val="32"/>
          <w:szCs w:val="32"/>
        </w:rPr>
      </w:pPr>
      <w:r w:rsidRPr="00A925B9">
        <w:rPr>
          <w:rStyle w:val="a7"/>
          <w:rFonts w:ascii="仿宋_GB2312" w:eastAsia="仿宋_GB2312" w:hint="eastAsia"/>
          <w:b w:val="0"/>
          <w:color w:val="000000"/>
          <w:sz w:val="32"/>
          <w:szCs w:val="32"/>
        </w:rPr>
        <w:t>4.一般公共服务支出（类）市场监督管理事务（款）事业运行（项）:支出决算为2347.21万元，完成预算100%。</w:t>
      </w:r>
    </w:p>
    <w:p w:rsidR="002934D9" w:rsidRPr="00A925B9" w:rsidRDefault="0036555A">
      <w:pPr>
        <w:spacing w:line="326" w:lineRule="auto"/>
        <w:ind w:firstLineChars="200" w:firstLine="640"/>
        <w:jc w:val="left"/>
        <w:rPr>
          <w:rStyle w:val="a7"/>
          <w:rFonts w:ascii="仿宋_GB2312" w:eastAsia="仿宋_GB2312"/>
          <w:b w:val="0"/>
          <w:bCs/>
          <w:color w:val="000000"/>
          <w:sz w:val="32"/>
          <w:szCs w:val="32"/>
        </w:rPr>
      </w:pPr>
      <w:r w:rsidRPr="00A925B9">
        <w:rPr>
          <w:rStyle w:val="a7"/>
          <w:rFonts w:ascii="仿宋_GB2312" w:eastAsia="仿宋_GB2312" w:hint="eastAsia"/>
          <w:b w:val="0"/>
          <w:color w:val="000000"/>
          <w:sz w:val="32"/>
          <w:szCs w:val="32"/>
        </w:rPr>
        <w:t>5.一般公共服务支出（类）市场监督管理事务（款）其他市场监督管理事务（项）:支出决算为755.43万元，完成预算100%。</w:t>
      </w:r>
    </w:p>
    <w:p w:rsidR="002934D9" w:rsidRPr="00A925B9" w:rsidRDefault="0036555A">
      <w:pPr>
        <w:spacing w:line="326" w:lineRule="auto"/>
        <w:ind w:firstLineChars="200" w:firstLine="640"/>
        <w:jc w:val="left"/>
        <w:rPr>
          <w:rStyle w:val="a7"/>
          <w:rFonts w:ascii="仿宋_GB2312" w:eastAsia="仿宋_GB2312"/>
          <w:b w:val="0"/>
          <w:bCs/>
          <w:color w:val="000000"/>
          <w:sz w:val="32"/>
          <w:szCs w:val="32"/>
        </w:rPr>
      </w:pPr>
      <w:r w:rsidRPr="00A925B9">
        <w:rPr>
          <w:rStyle w:val="a7"/>
          <w:rFonts w:ascii="仿宋_GB2312" w:eastAsia="仿宋_GB2312" w:hint="eastAsia"/>
          <w:b w:val="0"/>
          <w:color w:val="000000"/>
          <w:sz w:val="32"/>
          <w:szCs w:val="32"/>
        </w:rPr>
        <w:t>6.社会保障和就业支出（类）行政事业单位离退休（款）事业单位离退休（项）:支出决算为205.12万元，完成预算100%。</w:t>
      </w:r>
    </w:p>
    <w:p w:rsidR="002934D9" w:rsidRPr="00A925B9" w:rsidRDefault="0036555A">
      <w:pPr>
        <w:spacing w:line="326" w:lineRule="auto"/>
        <w:ind w:firstLineChars="200" w:firstLine="640"/>
        <w:jc w:val="left"/>
        <w:rPr>
          <w:rStyle w:val="a7"/>
          <w:rFonts w:ascii="仿宋_GB2312" w:eastAsia="仿宋_GB2312"/>
          <w:b w:val="0"/>
          <w:bCs/>
          <w:color w:val="000000"/>
          <w:sz w:val="32"/>
          <w:szCs w:val="32"/>
        </w:rPr>
      </w:pPr>
      <w:r w:rsidRPr="00A925B9">
        <w:rPr>
          <w:rStyle w:val="a7"/>
          <w:rFonts w:ascii="仿宋_GB2312" w:eastAsia="仿宋_GB2312" w:hint="eastAsia"/>
          <w:b w:val="0"/>
          <w:color w:val="000000"/>
          <w:sz w:val="32"/>
          <w:szCs w:val="32"/>
        </w:rPr>
        <w:t>7.社会保障和就业支出（类）行政事业单位离退休</w:t>
      </w:r>
      <w:r w:rsidRPr="00A925B9">
        <w:rPr>
          <w:rStyle w:val="a7"/>
          <w:rFonts w:ascii="仿宋_GB2312" w:eastAsia="仿宋_GB2312" w:hint="eastAsia"/>
          <w:b w:val="0"/>
          <w:color w:val="000000"/>
          <w:sz w:val="32"/>
          <w:szCs w:val="32"/>
        </w:rPr>
        <w:lastRenderedPageBreak/>
        <w:t>（款）机关事业单位基本养老保险缴费支出（项）:支出决算为213.56万元，完成预算100%。</w:t>
      </w:r>
    </w:p>
    <w:p w:rsidR="002934D9" w:rsidRPr="00A925B9" w:rsidRDefault="0036555A">
      <w:pPr>
        <w:spacing w:line="326" w:lineRule="auto"/>
        <w:ind w:firstLineChars="200" w:firstLine="640"/>
        <w:jc w:val="left"/>
        <w:rPr>
          <w:rStyle w:val="a7"/>
          <w:rFonts w:ascii="仿宋_GB2312" w:eastAsia="仿宋_GB2312"/>
          <w:b w:val="0"/>
          <w:bCs/>
          <w:color w:val="000000"/>
          <w:sz w:val="32"/>
          <w:szCs w:val="32"/>
        </w:rPr>
      </w:pPr>
      <w:r w:rsidRPr="00A925B9">
        <w:rPr>
          <w:rStyle w:val="a7"/>
          <w:rFonts w:ascii="仿宋_GB2312" w:eastAsia="仿宋_GB2312" w:hint="eastAsia"/>
          <w:b w:val="0"/>
          <w:color w:val="000000"/>
          <w:sz w:val="32"/>
          <w:szCs w:val="32"/>
        </w:rPr>
        <w:t>8. 社会保障和就业支出（类）抚恤（款）死亡抚恤（项）:支出决算为4.95万元，完成预算100%。</w:t>
      </w:r>
    </w:p>
    <w:p w:rsidR="002934D9" w:rsidRPr="00A925B9" w:rsidRDefault="0036555A">
      <w:pPr>
        <w:spacing w:line="326" w:lineRule="auto"/>
        <w:ind w:firstLineChars="200" w:firstLine="640"/>
        <w:jc w:val="left"/>
        <w:rPr>
          <w:rStyle w:val="a7"/>
          <w:rFonts w:ascii="仿宋_GB2312" w:eastAsia="仿宋_GB2312"/>
          <w:b w:val="0"/>
          <w:color w:val="000000"/>
          <w:sz w:val="32"/>
          <w:szCs w:val="32"/>
        </w:rPr>
      </w:pPr>
      <w:r w:rsidRPr="00A925B9">
        <w:rPr>
          <w:rFonts w:ascii="仿宋_GB2312" w:eastAsia="仿宋_GB2312" w:hint="eastAsia"/>
          <w:color w:val="000000"/>
          <w:sz w:val="32"/>
          <w:szCs w:val="32"/>
        </w:rPr>
        <w:t>9.</w:t>
      </w:r>
      <w:r w:rsidRPr="00A925B9">
        <w:rPr>
          <w:rFonts w:ascii="仿宋_GB2312" w:eastAsia="仿宋_GB2312" w:hint="eastAsia"/>
          <w:bCs/>
          <w:color w:val="000000"/>
          <w:sz w:val="32"/>
          <w:szCs w:val="32"/>
        </w:rPr>
        <w:t>住房保障</w:t>
      </w:r>
      <w:r w:rsidRPr="00A925B9">
        <w:rPr>
          <w:rStyle w:val="a7"/>
          <w:rFonts w:ascii="仿宋_GB2312" w:eastAsia="仿宋_GB2312" w:hint="eastAsia"/>
          <w:b w:val="0"/>
          <w:color w:val="000000"/>
          <w:sz w:val="32"/>
          <w:szCs w:val="32"/>
        </w:rPr>
        <w:t>（类）住房改革支出（款）住房公积金（项）:支出决算为241.75万元，完成预算100%。</w:t>
      </w:r>
    </w:p>
    <w:p w:rsidR="002934D9" w:rsidRDefault="0036555A">
      <w:pPr>
        <w:spacing w:line="326" w:lineRule="auto"/>
        <w:ind w:firstLineChars="200" w:firstLine="640"/>
        <w:jc w:val="left"/>
        <w:rPr>
          <w:rStyle w:val="a7"/>
          <w:rFonts w:ascii="仿宋_GB2312" w:eastAsia="仿宋_GB2312"/>
          <w:b w:val="0"/>
          <w:color w:val="000000"/>
          <w:sz w:val="32"/>
          <w:szCs w:val="32"/>
        </w:rPr>
      </w:pPr>
      <w:r w:rsidRPr="00A925B9">
        <w:rPr>
          <w:rFonts w:ascii="仿宋_GB2312" w:eastAsia="仿宋_GB2312" w:hint="eastAsia"/>
          <w:color w:val="000000"/>
          <w:sz w:val="32"/>
          <w:szCs w:val="32"/>
        </w:rPr>
        <w:t>10.</w:t>
      </w:r>
      <w:r w:rsidRPr="00A925B9">
        <w:rPr>
          <w:rFonts w:ascii="仿宋_GB2312" w:eastAsia="仿宋_GB2312" w:hint="eastAsia"/>
          <w:bCs/>
          <w:color w:val="000000"/>
          <w:sz w:val="32"/>
          <w:szCs w:val="32"/>
        </w:rPr>
        <w:t>城乡社区支出</w:t>
      </w:r>
      <w:r w:rsidRPr="00A925B9">
        <w:rPr>
          <w:rStyle w:val="a7"/>
          <w:rFonts w:ascii="仿宋_GB2312" w:eastAsia="仿宋_GB2312" w:hint="eastAsia"/>
          <w:b w:val="0"/>
          <w:color w:val="000000"/>
          <w:sz w:val="32"/>
          <w:szCs w:val="32"/>
        </w:rPr>
        <w:t>（类）城乡社区公共设施（款）  其他城乡社区公共设施支出（项）:支出决算为1126.42万元，完成预算100%。</w:t>
      </w:r>
    </w:p>
    <w:p w:rsidR="002934D9" w:rsidRDefault="0036555A">
      <w:pPr>
        <w:tabs>
          <w:tab w:val="right" w:pos="8306"/>
        </w:tabs>
        <w:spacing w:line="600" w:lineRule="exact"/>
        <w:ind w:firstLineChars="200" w:firstLine="640"/>
        <w:outlineLvl w:val="1"/>
        <w:rPr>
          <w:rStyle w:val="2Char"/>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FE595F" w:rsidRDefault="0036555A">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2022年一般公共预算财政拨款基本支出3012.59万元，其中：</w:t>
      </w:r>
    </w:p>
    <w:p w:rsidR="002934D9" w:rsidRDefault="0036555A">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人员经费2755.47万元，主要包括：</w:t>
      </w:r>
      <w:r>
        <w:rPr>
          <w:rFonts w:ascii="仿宋_GB2312" w:eastAsia="仿宋_GB2312" w:hAnsi="仿宋_GB2312" w:cs="仿宋_GB2312" w:hint="eastAsia"/>
          <w:color w:val="000000"/>
          <w:sz w:val="32"/>
          <w:szCs w:val="32"/>
        </w:rPr>
        <w:t>基本工资、津贴补贴、绩效工资、机关事业单位基本养老保险缴费、公务员医疗补助、其他社会保障缴费、其他工资福利支出、生活补助、抚恤金、住房公积金、其他对个人和家庭的补助等。</w:t>
      </w:r>
    </w:p>
    <w:p w:rsidR="002934D9" w:rsidRDefault="0036555A">
      <w:pPr>
        <w:spacing w:line="600" w:lineRule="exact"/>
        <w:ind w:firstLine="645"/>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公用经费257.12万元，主要包括：</w:t>
      </w:r>
      <w:r>
        <w:rPr>
          <w:rFonts w:ascii="仿宋_GB2312" w:eastAsia="仿宋_GB2312" w:hAnsi="仿宋_GB2312" w:cs="仿宋_GB2312" w:hint="eastAsia"/>
          <w:color w:val="000000"/>
          <w:sz w:val="32"/>
          <w:szCs w:val="32"/>
        </w:rPr>
        <w:t>办公费、印刷费、手续费、水费、电费、邮电费、物业管理费、差旅费、维修（护）费、租赁费、会议费、培训费、公务接待费、劳务费、委托业务费、工会经费、福利费、公务用车运行维护费、其他交通费、其他商品和服务支出、办公设备购置、专用设备购置等。</w:t>
      </w:r>
    </w:p>
    <w:p w:rsidR="002934D9" w:rsidRDefault="0036555A">
      <w:pPr>
        <w:spacing w:line="600" w:lineRule="exact"/>
        <w:ind w:firstLineChars="200" w:firstLine="640"/>
        <w:outlineLvl w:val="1"/>
        <w:rPr>
          <w:rStyle w:val="2Char"/>
          <w:rFonts w:ascii="黑体" w:eastAsia="黑体" w:hAnsi="黑体"/>
          <w:b w:val="0"/>
        </w:rPr>
      </w:pPr>
      <w:bookmarkStart w:id="37" w:name="_Toc15377215"/>
      <w:bookmarkStart w:id="38" w:name="_Toc15396609"/>
      <w:r>
        <w:rPr>
          <w:rFonts w:ascii="黑体" w:eastAsia="黑体" w:hint="eastAsia"/>
          <w:sz w:val="32"/>
          <w:szCs w:val="32"/>
        </w:rPr>
        <w:lastRenderedPageBreak/>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37"/>
      <w:bookmarkEnd w:id="38"/>
    </w:p>
    <w:p w:rsidR="002934D9" w:rsidRPr="00723F35" w:rsidRDefault="0036555A" w:rsidP="00723F35">
      <w:pPr>
        <w:spacing w:line="600" w:lineRule="exact"/>
        <w:ind w:firstLineChars="200" w:firstLine="640"/>
        <w:outlineLvl w:val="2"/>
        <w:rPr>
          <w:rFonts w:ascii="楷体" w:eastAsia="楷体" w:hAnsi="楷体"/>
          <w:sz w:val="32"/>
          <w:szCs w:val="32"/>
        </w:rPr>
      </w:pPr>
      <w:bookmarkStart w:id="39" w:name="_Toc15377216"/>
      <w:r w:rsidRPr="00723F35">
        <w:rPr>
          <w:rFonts w:ascii="楷体" w:eastAsia="楷体" w:hAnsi="楷体" w:hint="eastAsia"/>
          <w:sz w:val="32"/>
          <w:szCs w:val="32"/>
        </w:rPr>
        <w:t>（一）“三公”经费财政拨款支出决算总体情况说明</w:t>
      </w:r>
      <w:bookmarkEnd w:id="39"/>
    </w:p>
    <w:p w:rsidR="002934D9" w:rsidRDefault="0036555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2022年“三公”经费财政拨款支出决算为31.26万元，完成预算85%，较上年增加8.41万元，增长37%。决算数小于预算数的主要原因是按财政要求压缩</w:t>
      </w:r>
      <w:r w:rsidR="00F83D9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三公</w:t>
      </w:r>
      <w:r w:rsidR="00A923A1">
        <w:rPr>
          <w:rFonts w:ascii="仿宋_GB2312" w:eastAsia="仿宋_GB2312" w:hAnsi="仿宋_GB2312" w:cs="仿宋_GB2312"/>
          <w:sz w:val="32"/>
          <w:szCs w:val="32"/>
        </w:rPr>
        <w:t>”</w:t>
      </w:r>
      <w:r>
        <w:rPr>
          <w:rFonts w:ascii="仿宋_GB2312" w:eastAsia="仿宋_GB2312" w:hAnsi="仿宋_GB2312" w:cs="仿宋_GB2312" w:hint="eastAsia"/>
          <w:sz w:val="32"/>
          <w:szCs w:val="32"/>
        </w:rPr>
        <w:t>经费支出。</w:t>
      </w:r>
    </w:p>
    <w:p w:rsidR="002934D9" w:rsidRPr="00723F35" w:rsidRDefault="0036555A" w:rsidP="00723F35">
      <w:pPr>
        <w:spacing w:line="600" w:lineRule="exact"/>
        <w:ind w:firstLineChars="200" w:firstLine="640"/>
        <w:outlineLvl w:val="2"/>
        <w:rPr>
          <w:rFonts w:ascii="楷体" w:eastAsia="楷体" w:hAnsi="楷体"/>
          <w:sz w:val="32"/>
          <w:szCs w:val="32"/>
        </w:rPr>
      </w:pPr>
      <w:bookmarkStart w:id="40" w:name="_Toc15377217"/>
      <w:r w:rsidRPr="00723F35">
        <w:rPr>
          <w:rFonts w:ascii="楷体" w:eastAsia="楷体" w:hAnsi="楷体" w:hint="eastAsia"/>
          <w:sz w:val="32"/>
          <w:szCs w:val="32"/>
        </w:rPr>
        <w:t>（二）“三公”经费财政拨款支出决算具体情况说明</w:t>
      </w:r>
      <w:bookmarkEnd w:id="40"/>
    </w:p>
    <w:p w:rsidR="002934D9" w:rsidRDefault="0036555A">
      <w:pPr>
        <w:spacing w:line="600" w:lineRule="exact"/>
        <w:ind w:firstLine="640"/>
      </w:pPr>
      <w:r>
        <w:rPr>
          <w:rFonts w:ascii="仿宋_GB2312" w:eastAsia="仿宋_GB2312" w:hAnsi="仿宋_GB2312" w:cs="仿宋_GB2312" w:hint="eastAsia"/>
          <w:sz w:val="32"/>
          <w:szCs w:val="32"/>
        </w:rPr>
        <w:t>2022年“三公”经费财政拨款支出决算中，因公出国（境）费支出决算0万元，占0%；公务用车购置及运行维护费支出决算30.55万元，占98%；公务接待费支出决算0.71万元，占2%。具体情况如下：</w:t>
      </w:r>
    </w:p>
    <w:p w:rsidR="002934D9" w:rsidRDefault="00313BC8">
      <w:pPr>
        <w:spacing w:line="600" w:lineRule="exact"/>
        <w:ind w:firstLine="640"/>
        <w:rPr>
          <w:rFonts w:ascii="仿宋_GB2312" w:eastAsia="仿宋_GB2312" w:hAnsi="仿宋_GB2312" w:cs="仿宋_GB2312"/>
          <w:sz w:val="32"/>
          <w:szCs w:val="32"/>
        </w:rPr>
      </w:pPr>
      <w:r>
        <w:rPr>
          <w:rFonts w:ascii="仿宋" w:eastAsia="仿宋" w:hAnsi="仿宋"/>
          <w:noProof/>
          <w:color w:val="000000"/>
          <w:sz w:val="32"/>
          <w:szCs w:val="32"/>
        </w:rPr>
        <w:drawing>
          <wp:anchor distT="0" distB="0" distL="114300" distR="114300" simplePos="0" relativeHeight="251662336" behindDoc="0" locked="0" layoutInCell="1" allowOverlap="1" wp14:anchorId="7084F2B9" wp14:editId="37609B51">
            <wp:simplePos x="0" y="0"/>
            <wp:positionH relativeFrom="column">
              <wp:posOffset>228600</wp:posOffset>
            </wp:positionH>
            <wp:positionV relativeFrom="paragraph">
              <wp:posOffset>590550</wp:posOffset>
            </wp:positionV>
            <wp:extent cx="4838700" cy="2023110"/>
            <wp:effectExtent l="0" t="0" r="0" b="0"/>
            <wp:wrapSquare wrapText="right"/>
            <wp:docPr id="8"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36555A">
        <w:rPr>
          <w:rFonts w:ascii="仿宋_GB2312" w:eastAsia="仿宋_GB2312" w:hAnsi="仿宋_GB2312" w:cs="仿宋_GB2312" w:hint="eastAsia"/>
          <w:sz w:val="32"/>
          <w:szCs w:val="32"/>
        </w:rPr>
        <w:t>（图7：“三公”经费财政拨款支出结构）（饼状图）</w:t>
      </w:r>
    </w:p>
    <w:p w:rsidR="002934D9" w:rsidRDefault="002934D9">
      <w:pPr>
        <w:spacing w:line="600" w:lineRule="exact"/>
        <w:ind w:firstLine="640"/>
        <w:rPr>
          <w:rFonts w:ascii="仿宋_GB2312" w:eastAsia="仿宋_GB2312" w:hAnsi="仿宋_GB2312" w:cs="仿宋_GB2312"/>
          <w:b/>
          <w:sz w:val="32"/>
          <w:szCs w:val="32"/>
        </w:rPr>
      </w:pPr>
    </w:p>
    <w:p w:rsidR="002934D9" w:rsidRDefault="0036555A">
      <w:pPr>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1.因公出国（境）经费支出0万元</w:t>
      </w:r>
      <w:r w:rsidR="005811E7" w:rsidRPr="00C24757">
        <w:rPr>
          <w:rFonts w:ascii="仿宋_GB2312" w:eastAsia="仿宋_GB2312" w:hint="eastAsia"/>
          <w:sz w:val="32"/>
          <w:szCs w:val="32"/>
        </w:rPr>
        <w:t>，</w:t>
      </w:r>
      <w:r w:rsidR="005811E7" w:rsidRPr="00C24757">
        <w:rPr>
          <w:rStyle w:val="a7"/>
          <w:rFonts w:ascii="仿宋_GB2312" w:eastAsia="仿宋_GB2312" w:hAnsi="仿宋" w:hint="eastAsia"/>
          <w:b w:val="0"/>
          <w:bCs/>
          <w:sz w:val="32"/>
          <w:szCs w:val="32"/>
        </w:rPr>
        <w:t>完成预算0%。</w:t>
      </w:r>
      <w:r w:rsidR="005811E7" w:rsidRPr="00C24757">
        <w:rPr>
          <w:rFonts w:ascii="仿宋_GB2312" w:eastAsia="仿宋_GB2312" w:hint="eastAsia"/>
          <w:sz w:val="32"/>
          <w:szCs w:val="32"/>
        </w:rPr>
        <w:t>全年安排因公出国（境）团组0次，出国（境）0人。</w:t>
      </w:r>
    </w:p>
    <w:p w:rsidR="002934D9" w:rsidRDefault="0036555A">
      <w:pPr>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2.公务用车购置及运行维护费支出30.55万元,</w:t>
      </w:r>
      <w:r>
        <w:rPr>
          <w:rStyle w:val="a7"/>
          <w:rFonts w:ascii="仿宋_GB2312" w:eastAsia="仿宋_GB2312" w:hAnsi="仿宋_GB2312" w:cs="仿宋_GB2312" w:hint="eastAsia"/>
          <w:b w:val="0"/>
          <w:bCs/>
          <w:sz w:val="32"/>
          <w:szCs w:val="32"/>
        </w:rPr>
        <w:t>完成预算90%。</w:t>
      </w:r>
      <w:r>
        <w:rPr>
          <w:rFonts w:ascii="仿宋_GB2312" w:eastAsia="仿宋_GB2312" w:hAnsi="仿宋_GB2312" w:cs="仿宋_GB2312" w:hint="eastAsia"/>
          <w:bCs/>
          <w:sz w:val="32"/>
          <w:szCs w:val="32"/>
        </w:rPr>
        <w:t>公务用车购置及运行维护费支出决算比2021年增加9.55万元，增长45%。主要原因是业务量增加，用车需求增</w:t>
      </w:r>
      <w:r>
        <w:rPr>
          <w:rFonts w:ascii="仿宋_GB2312" w:eastAsia="仿宋_GB2312" w:hAnsi="仿宋_GB2312" w:cs="仿宋_GB2312" w:hint="eastAsia"/>
          <w:bCs/>
          <w:sz w:val="32"/>
          <w:szCs w:val="32"/>
        </w:rPr>
        <w:lastRenderedPageBreak/>
        <w:t>加。</w:t>
      </w:r>
    </w:p>
    <w:p w:rsidR="002934D9" w:rsidRDefault="0036555A">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其中：公务用车购置支出0万元。截至2022年12月底，单位共有公务用车16辆，其中：轿车4辆、越野车5辆、载客汽车5辆，其他车型2辆。</w:t>
      </w:r>
    </w:p>
    <w:p w:rsidR="002934D9" w:rsidRDefault="0036555A">
      <w:pPr>
        <w:spacing w:line="600" w:lineRule="exact"/>
        <w:ind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公务用车运行维护费支出30.55万元。</w:t>
      </w:r>
      <w:r>
        <w:rPr>
          <w:rFonts w:ascii="仿宋_GB2312" w:eastAsia="仿宋_GB2312" w:hAnsi="仿宋_GB2312" w:cs="仿宋_GB2312" w:hint="eastAsia"/>
          <w:bCs/>
          <w:color w:val="000000"/>
          <w:sz w:val="32"/>
          <w:szCs w:val="32"/>
        </w:rPr>
        <w:t>主要用于</w:t>
      </w:r>
      <w:r>
        <w:rPr>
          <w:rFonts w:ascii="仿宋_GB2312" w:eastAsia="仿宋_GB2312" w:hAnsi="仿宋_GB2312" w:cs="仿宋_GB2312" w:hint="eastAsia"/>
          <w:bCs/>
          <w:color w:val="000000"/>
          <w:kern w:val="0"/>
          <w:sz w:val="32"/>
          <w:szCs w:val="32"/>
        </w:rPr>
        <w:t>钒钛制品、工业产（商）品等质量安全监督检验；特种设备安全检验检测；全市药品、医疗器械、药品包装材料、消费环节食品、保健食品、化妆品等相关的检验检测工作；社会公用计量标准进行量值传递，开展能效测试，执行强制和法律规定的其他检定测试任务</w:t>
      </w:r>
      <w:r>
        <w:rPr>
          <w:rFonts w:ascii="仿宋_GB2312" w:eastAsia="仿宋_GB2312" w:hAnsi="仿宋_GB2312" w:cs="仿宋_GB2312" w:hint="eastAsia"/>
          <w:bCs/>
          <w:color w:val="000000"/>
          <w:sz w:val="32"/>
          <w:szCs w:val="32"/>
        </w:rPr>
        <w:t>等所需的公务用车燃料费、维修费、过路过桥费、保险费等支出。</w:t>
      </w:r>
    </w:p>
    <w:p w:rsidR="002934D9" w:rsidRDefault="0036555A">
      <w:pPr>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3.公务接待费支出0.71万元，</w:t>
      </w:r>
      <w:r>
        <w:rPr>
          <w:rStyle w:val="a7"/>
          <w:rFonts w:ascii="仿宋_GB2312" w:eastAsia="仿宋_GB2312" w:hAnsi="仿宋_GB2312" w:cs="仿宋_GB2312" w:hint="eastAsia"/>
          <w:b w:val="0"/>
          <w:bCs/>
          <w:sz w:val="32"/>
          <w:szCs w:val="32"/>
        </w:rPr>
        <w:t>完成预算28%。</w:t>
      </w:r>
      <w:r>
        <w:rPr>
          <w:rFonts w:ascii="仿宋_GB2312" w:eastAsia="仿宋_GB2312" w:hAnsi="仿宋_GB2312" w:cs="仿宋_GB2312" w:hint="eastAsia"/>
          <w:bCs/>
          <w:sz w:val="32"/>
          <w:szCs w:val="32"/>
        </w:rPr>
        <w:t>公务接待费支出决算比2021年减少1.14万元，下降61%。主要原因是按规定压缩公务接待费。其中：</w:t>
      </w:r>
    </w:p>
    <w:p w:rsidR="002934D9" w:rsidRDefault="0036555A">
      <w:pPr>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国内公务接待支出0.71万元，</w:t>
      </w:r>
      <w:r>
        <w:rPr>
          <w:rFonts w:ascii="仿宋_GB2312" w:eastAsia="仿宋_GB2312" w:hAnsi="仿宋_GB2312" w:cs="仿宋_GB2312" w:hint="eastAsia"/>
          <w:bCs/>
          <w:color w:val="000000"/>
          <w:sz w:val="32"/>
          <w:szCs w:val="32"/>
        </w:rPr>
        <w:t>主要用于执行公务、开展业务活动开支的交通费、住宿费、用餐费等</w:t>
      </w:r>
      <w:r>
        <w:rPr>
          <w:rFonts w:ascii="仿宋_GB2312" w:eastAsia="仿宋_GB2312" w:hAnsi="仿宋_GB2312" w:cs="仿宋_GB2312" w:hint="eastAsia"/>
          <w:bCs/>
          <w:sz w:val="32"/>
          <w:szCs w:val="32"/>
        </w:rPr>
        <w:t>。国内公务接待6批次，28人次（不包括陪同人员），共计支出0.71万元，具体内容包括：接待计量监督检查专家、标委会专家0.22万元、钒鈦钢铁产业协会接待费0.23万元、雅安质检中心接待费0.14万元、绩效目标专项检查接待费用0.12万元。</w:t>
      </w:r>
    </w:p>
    <w:p w:rsidR="002934D9" w:rsidRDefault="0036555A">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外事接待支出0万元。</w:t>
      </w:r>
    </w:p>
    <w:p w:rsidR="002934D9" w:rsidRDefault="0036555A">
      <w:pPr>
        <w:spacing w:line="600" w:lineRule="exact"/>
        <w:ind w:firstLineChars="200" w:firstLine="640"/>
        <w:outlineLvl w:val="1"/>
        <w:rPr>
          <w:rStyle w:val="2Char"/>
          <w:rFonts w:ascii="黑体" w:eastAsia="黑体" w:hAnsi="黑体"/>
        </w:rPr>
      </w:pPr>
      <w:bookmarkStart w:id="41" w:name="_Toc15377218"/>
      <w:bookmarkStart w:id="42" w:name="_Toc15396610"/>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2934D9" w:rsidRDefault="0036555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22年政府性基金预算财政拨款支出0万元。</w:t>
      </w:r>
    </w:p>
    <w:p w:rsidR="002934D9" w:rsidRDefault="0036555A">
      <w:pPr>
        <w:numPr>
          <w:ilvl w:val="0"/>
          <w:numId w:val="3"/>
        </w:numPr>
        <w:spacing w:line="600" w:lineRule="exact"/>
        <w:ind w:firstLine="640"/>
        <w:outlineLvl w:val="1"/>
        <w:rPr>
          <w:rStyle w:val="2Char"/>
          <w:rFonts w:ascii="黑体" w:eastAsia="黑体" w:hAnsi="黑体"/>
          <w:b w:val="0"/>
        </w:rPr>
      </w:pPr>
      <w:bookmarkStart w:id="43" w:name="_Toc15396611"/>
      <w:bookmarkStart w:id="44" w:name="_Toc15377219"/>
      <w:r>
        <w:rPr>
          <w:rStyle w:val="2Char"/>
          <w:rFonts w:ascii="黑体" w:eastAsia="黑体" w:hAnsi="黑体" w:hint="eastAsia"/>
          <w:b w:val="0"/>
        </w:rPr>
        <w:lastRenderedPageBreak/>
        <w:t>国有资本经营预算支出决算情况说明</w:t>
      </w:r>
      <w:bookmarkEnd w:id="43"/>
      <w:bookmarkEnd w:id="44"/>
    </w:p>
    <w:p w:rsidR="002934D9" w:rsidRDefault="0036555A">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22年国有资本经营预算财政拨款支出0万元。</w:t>
      </w:r>
    </w:p>
    <w:p w:rsidR="002934D9" w:rsidRDefault="0036555A">
      <w:pPr>
        <w:numPr>
          <w:ilvl w:val="0"/>
          <w:numId w:val="3"/>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2934D9" w:rsidRPr="00723F35" w:rsidRDefault="0036555A" w:rsidP="00723F35">
      <w:pPr>
        <w:spacing w:line="600" w:lineRule="exact"/>
        <w:ind w:firstLineChars="200" w:firstLine="640"/>
        <w:outlineLvl w:val="2"/>
        <w:rPr>
          <w:rFonts w:ascii="楷体" w:eastAsia="楷体" w:hAnsi="楷体"/>
          <w:sz w:val="32"/>
          <w:szCs w:val="32"/>
        </w:rPr>
      </w:pPr>
      <w:bookmarkStart w:id="47" w:name="_Toc15377222"/>
      <w:r w:rsidRPr="00723F35">
        <w:rPr>
          <w:rFonts w:ascii="楷体" w:eastAsia="楷体" w:hAnsi="楷体" w:hint="eastAsia"/>
          <w:sz w:val="32"/>
          <w:szCs w:val="32"/>
        </w:rPr>
        <w:t>（一）机关运行经费支出情况</w:t>
      </w:r>
      <w:bookmarkEnd w:id="47"/>
    </w:p>
    <w:p w:rsidR="002934D9" w:rsidRDefault="0036555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22年攀西院机关运行经费支出0万元。</w:t>
      </w:r>
      <w:r w:rsidR="00A8715C">
        <w:rPr>
          <w:rFonts w:ascii="仿宋_GB2312" w:eastAsia="仿宋_GB2312" w:hint="eastAsia"/>
          <w:sz w:val="32"/>
          <w:szCs w:val="32"/>
        </w:rPr>
        <w:t>攀西院</w:t>
      </w:r>
      <w:r w:rsidR="00E07ED3">
        <w:rPr>
          <w:rFonts w:ascii="仿宋_GB2312" w:eastAsia="仿宋_GB2312" w:hint="eastAsia"/>
          <w:sz w:val="32"/>
          <w:szCs w:val="32"/>
        </w:rPr>
        <w:t>是</w:t>
      </w:r>
      <w:r w:rsidR="00A8715C">
        <w:rPr>
          <w:rFonts w:ascii="仿宋_GB2312" w:eastAsia="仿宋_GB2312"/>
          <w:sz w:val="32"/>
          <w:szCs w:val="32"/>
        </w:rPr>
        <w:t>事业单位，</w:t>
      </w:r>
      <w:proofErr w:type="gramStart"/>
      <w:r w:rsidR="00A8715C">
        <w:rPr>
          <w:rFonts w:ascii="仿宋_GB2312" w:eastAsia="仿宋_GB2312"/>
          <w:sz w:val="32"/>
          <w:szCs w:val="32"/>
        </w:rPr>
        <w:t>无机关</w:t>
      </w:r>
      <w:proofErr w:type="gramEnd"/>
      <w:r w:rsidR="00A8715C">
        <w:rPr>
          <w:rFonts w:ascii="仿宋_GB2312" w:eastAsia="仿宋_GB2312"/>
          <w:sz w:val="32"/>
          <w:szCs w:val="32"/>
        </w:rPr>
        <w:t>运行经费支出。</w:t>
      </w:r>
    </w:p>
    <w:p w:rsidR="002934D9" w:rsidRPr="00723F35" w:rsidRDefault="0036555A" w:rsidP="00723F35">
      <w:pPr>
        <w:spacing w:line="600" w:lineRule="exact"/>
        <w:ind w:firstLineChars="200" w:firstLine="640"/>
        <w:outlineLvl w:val="2"/>
        <w:rPr>
          <w:rFonts w:ascii="楷体" w:eastAsia="楷体" w:hAnsi="楷体"/>
          <w:sz w:val="32"/>
          <w:szCs w:val="32"/>
        </w:rPr>
      </w:pPr>
      <w:bookmarkStart w:id="48" w:name="_Toc15377223"/>
      <w:r w:rsidRPr="00723F35">
        <w:rPr>
          <w:rFonts w:ascii="楷体" w:eastAsia="楷体" w:hAnsi="楷体" w:hint="eastAsia"/>
          <w:sz w:val="32"/>
          <w:szCs w:val="32"/>
        </w:rPr>
        <w:t>（二）政府采购支出情况</w:t>
      </w:r>
      <w:bookmarkEnd w:id="48"/>
    </w:p>
    <w:p w:rsidR="002934D9" w:rsidRDefault="0036555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22年，攀西</w:t>
      </w:r>
      <w:proofErr w:type="gramStart"/>
      <w:r>
        <w:rPr>
          <w:rFonts w:ascii="仿宋_GB2312" w:eastAsia="仿宋_GB2312" w:hint="eastAsia"/>
          <w:sz w:val="32"/>
          <w:szCs w:val="32"/>
        </w:rPr>
        <w:t>院政府</w:t>
      </w:r>
      <w:proofErr w:type="gramEnd"/>
      <w:r>
        <w:rPr>
          <w:rFonts w:ascii="仿宋_GB2312" w:eastAsia="仿宋_GB2312" w:hint="eastAsia"/>
          <w:sz w:val="32"/>
          <w:szCs w:val="32"/>
        </w:rPr>
        <w:t>采购支出总额12.19万元，其中：政府采购货物支出12.19万元、政府采购工程支出0万元、政府采购服务支出0万元。主要用于</w:t>
      </w:r>
      <w:r>
        <w:rPr>
          <w:rFonts w:ascii="仿宋_GB2312" w:eastAsia="仿宋_GB2312" w:hint="eastAsia"/>
          <w:color w:val="000000"/>
          <w:sz w:val="32"/>
          <w:szCs w:val="32"/>
        </w:rPr>
        <w:t>购置产品质检、食品药品检验、特种设备检测等专用设备，有利于业务开展。</w:t>
      </w:r>
      <w:r>
        <w:rPr>
          <w:rFonts w:ascii="仿宋_GB2312" w:eastAsia="仿宋_GB2312" w:hint="eastAsia"/>
          <w:sz w:val="32"/>
          <w:szCs w:val="32"/>
        </w:rPr>
        <w:t>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w:t>
      </w:r>
      <w:r>
        <w:rPr>
          <w:rFonts w:ascii="仿宋_GB2312" w:eastAsia="仿宋_GB2312"/>
          <w:sz w:val="32"/>
          <w:szCs w:val="32"/>
        </w:rPr>
        <w:t>%</w:t>
      </w:r>
      <w:r>
        <w:rPr>
          <w:rFonts w:ascii="仿宋_GB2312" w:eastAsia="仿宋_GB2312" w:hint="eastAsia"/>
          <w:sz w:val="32"/>
          <w:szCs w:val="32"/>
        </w:rPr>
        <w:t>。</w:t>
      </w:r>
    </w:p>
    <w:p w:rsidR="002934D9" w:rsidRPr="00723F35" w:rsidRDefault="0036555A" w:rsidP="00723F35">
      <w:pPr>
        <w:spacing w:line="600" w:lineRule="exact"/>
        <w:ind w:firstLineChars="200" w:firstLine="640"/>
        <w:outlineLvl w:val="2"/>
        <w:rPr>
          <w:rFonts w:ascii="楷体" w:eastAsia="楷体" w:hAnsi="楷体"/>
          <w:sz w:val="32"/>
          <w:szCs w:val="32"/>
        </w:rPr>
      </w:pPr>
      <w:bookmarkStart w:id="49" w:name="_Toc15377224"/>
      <w:r w:rsidRPr="00723F35">
        <w:rPr>
          <w:rFonts w:ascii="楷体" w:eastAsia="楷体" w:hAnsi="楷体" w:hint="eastAsia"/>
          <w:sz w:val="32"/>
          <w:szCs w:val="32"/>
        </w:rPr>
        <w:t>（三）国有资产占有使用情况</w:t>
      </w:r>
      <w:bookmarkEnd w:id="49"/>
    </w:p>
    <w:p w:rsidR="002934D9" w:rsidRDefault="0036555A">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日，攀西院共有车辆16辆，其中：主要领导干部用车0辆、机要通信用车0辆、应急保障用车0辆、其他用车16辆，其他用车主要是用于</w:t>
      </w:r>
      <w:r>
        <w:rPr>
          <w:rFonts w:ascii="仿宋_GB2312" w:eastAsia="仿宋_GB2312" w:hint="eastAsia"/>
          <w:color w:val="000000"/>
          <w:sz w:val="32"/>
          <w:szCs w:val="32"/>
        </w:rPr>
        <w:t>开展检验检测工作。</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万元以上专用设备15台（套）。</w:t>
      </w:r>
    </w:p>
    <w:p w:rsidR="002934D9" w:rsidRPr="00723F35" w:rsidRDefault="0036555A" w:rsidP="00723F35">
      <w:pPr>
        <w:spacing w:line="600" w:lineRule="exact"/>
        <w:ind w:firstLineChars="200" w:firstLine="640"/>
        <w:outlineLvl w:val="2"/>
        <w:rPr>
          <w:rFonts w:ascii="楷体" w:eastAsia="楷体" w:hAnsi="楷体"/>
          <w:sz w:val="32"/>
          <w:szCs w:val="32"/>
        </w:rPr>
      </w:pPr>
      <w:r w:rsidRPr="00723F35">
        <w:rPr>
          <w:rFonts w:ascii="楷体" w:eastAsia="楷体" w:hAnsi="楷体" w:hint="eastAsia"/>
          <w:sz w:val="32"/>
          <w:szCs w:val="32"/>
        </w:rPr>
        <w:t>（四）预算绩效管理情况</w:t>
      </w:r>
    </w:p>
    <w:p w:rsidR="002934D9" w:rsidRDefault="0036555A">
      <w:pPr>
        <w:pStyle w:val="a0"/>
        <w:spacing w:before="93"/>
        <w:ind w:firstLineChars="200" w:firstLine="640"/>
        <w:rPr>
          <w:highlight w:val="yellow"/>
        </w:rPr>
      </w:pPr>
      <w:r>
        <w:rPr>
          <w:rFonts w:hAnsi="仿宋_GB2312" w:cs="仿宋_GB2312" w:hint="eastAsia"/>
          <w:sz w:val="32"/>
          <w:szCs w:val="32"/>
        </w:rPr>
        <w:t>根据预算绩效管理要求，本单位在2022年度预算编制阶段，组织对“攀枝花市国家食品安全示范城市创建工作</w:t>
      </w:r>
      <w:r>
        <w:rPr>
          <w:rFonts w:hAnsi="仿宋_GB2312" w:cs="仿宋_GB2312" w:hint="eastAsia"/>
          <w:sz w:val="32"/>
          <w:szCs w:val="32"/>
        </w:rPr>
        <w:br/>
        <w:t>前期启动项目”1个项目开展了预算事前绩效评估，对“中央和省级药品监管项目”等6个项目编制了绩效目标，预算</w:t>
      </w:r>
      <w:r>
        <w:rPr>
          <w:rFonts w:hAnsi="仿宋_GB2312" w:cs="仿宋_GB2312" w:hint="eastAsia"/>
          <w:sz w:val="32"/>
          <w:szCs w:val="32"/>
        </w:rPr>
        <w:lastRenderedPageBreak/>
        <w:t>执行过程中，选取“食品药品二期建设项目资金”1个项目开展绩效监控，组织对30个项目开展绩效自评，绩效自评表详见第四部分附件。</w:t>
      </w:r>
    </w:p>
    <w:p w:rsidR="002934D9" w:rsidRDefault="0036555A">
      <w:pPr>
        <w:widowControl/>
        <w:jc w:val="left"/>
        <w:rPr>
          <w:rFonts w:ascii="仿宋_GB2312" w:eastAsia="仿宋_GB2312"/>
          <w:b/>
          <w:sz w:val="32"/>
          <w:szCs w:val="32"/>
        </w:rPr>
      </w:pPr>
      <w:r>
        <w:rPr>
          <w:rFonts w:ascii="仿宋_GB2312" w:eastAsia="仿宋_GB2312"/>
          <w:b/>
          <w:sz w:val="32"/>
          <w:szCs w:val="32"/>
        </w:rPr>
        <w:br w:type="page"/>
      </w:r>
    </w:p>
    <w:p w:rsidR="002934D9" w:rsidRDefault="0036555A">
      <w:pPr>
        <w:numPr>
          <w:ilvl w:val="0"/>
          <w:numId w:val="4"/>
        </w:numPr>
        <w:spacing w:line="600" w:lineRule="exact"/>
        <w:ind w:firstLineChars="150" w:firstLine="660"/>
        <w:jc w:val="center"/>
        <w:outlineLvl w:val="0"/>
        <w:rPr>
          <w:rStyle w:val="1Char"/>
          <w:rFonts w:ascii="黑体" w:eastAsia="黑体" w:hAnsi="黑体"/>
          <w:b w:val="0"/>
        </w:rPr>
      </w:pPr>
      <w:bookmarkStart w:id="50" w:name="_Toc15396613"/>
      <w:bookmarkStart w:id="51"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2934D9" w:rsidRDefault="002934D9">
      <w:pPr>
        <w:spacing w:line="600" w:lineRule="exact"/>
        <w:jc w:val="left"/>
        <w:rPr>
          <w:rFonts w:ascii="宋体"/>
          <w:b/>
          <w:sz w:val="44"/>
          <w:szCs w:val="44"/>
        </w:rPr>
      </w:pPr>
    </w:p>
    <w:p w:rsidR="002934D9" w:rsidRDefault="0036555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2934D9" w:rsidRDefault="0036555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2934D9" w:rsidRDefault="0036555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2934D9" w:rsidRDefault="0036555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4.年末结转和结余：指单位按有关规定结转到下年或以后年度继续使用的资金。</w:t>
      </w:r>
    </w:p>
    <w:p w:rsidR="002934D9" w:rsidRDefault="0036555A">
      <w:pPr>
        <w:pStyle w:val="Default"/>
        <w:spacing w:line="326" w:lineRule="auto"/>
        <w:ind w:firstLineChars="200" w:firstLine="640"/>
        <w:rPr>
          <w:rFonts w:ascii="仿宋_GB2312" w:eastAsia="仿宋_GB2312"/>
          <w:sz w:val="32"/>
          <w:szCs w:val="32"/>
        </w:rPr>
      </w:pPr>
      <w:r>
        <w:rPr>
          <w:rFonts w:ascii="仿宋_GB2312" w:eastAsia="仿宋_GB2312" w:hint="eastAsia"/>
          <w:sz w:val="32"/>
          <w:szCs w:val="32"/>
        </w:rPr>
        <w:t>5.一般公共服务（类）人力资源事务（款）其他人力资源事务支出（项）:反映其他人力资源事务方面的支出。</w:t>
      </w:r>
    </w:p>
    <w:p w:rsidR="002934D9" w:rsidRDefault="0036555A">
      <w:pPr>
        <w:pStyle w:val="Default"/>
        <w:spacing w:line="326" w:lineRule="auto"/>
        <w:ind w:firstLineChars="200" w:firstLine="640"/>
        <w:rPr>
          <w:rStyle w:val="a7"/>
          <w:rFonts w:ascii="仿宋_GB2312" w:eastAsia="仿宋_GB2312"/>
          <w:b w:val="0"/>
          <w:bCs/>
          <w:sz w:val="32"/>
          <w:szCs w:val="32"/>
        </w:rPr>
      </w:pPr>
      <w:r>
        <w:rPr>
          <w:rFonts w:ascii="仿宋_GB2312" w:eastAsia="仿宋_GB2312" w:hint="eastAsia"/>
          <w:sz w:val="32"/>
          <w:szCs w:val="32"/>
        </w:rPr>
        <w:t>6.</w:t>
      </w:r>
      <w:r>
        <w:rPr>
          <w:rStyle w:val="a7"/>
          <w:rFonts w:ascii="仿宋_GB2312" w:eastAsia="仿宋_GB2312" w:hint="eastAsia"/>
          <w:b w:val="0"/>
          <w:sz w:val="32"/>
          <w:szCs w:val="32"/>
        </w:rPr>
        <w:t>一般公共服务支出（类）组织事务（款）  其他组织事务支出（项）</w:t>
      </w:r>
      <w:r>
        <w:rPr>
          <w:rStyle w:val="a7"/>
          <w:rFonts w:ascii="仿宋_GB2312" w:eastAsia="仿宋_GB2312" w:hint="eastAsia"/>
          <w:b w:val="0"/>
          <w:bCs/>
          <w:sz w:val="32"/>
          <w:szCs w:val="32"/>
        </w:rPr>
        <w:t>:其他用于中国共产党组织部门的事务支出。</w:t>
      </w:r>
    </w:p>
    <w:p w:rsidR="002934D9" w:rsidRDefault="0036555A">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 xml:space="preserve">7.一般公共服务（类）市场监督管理事务（款）一般行政管理事务（项）: </w:t>
      </w:r>
      <w:r>
        <w:rPr>
          <w:rFonts w:ascii="仿宋_GB2312" w:eastAsia="仿宋_GB2312" w:hint="eastAsia"/>
          <w:sz w:val="32"/>
          <w:szCs w:val="32"/>
        </w:rPr>
        <w:t>指行政单位（包括公务员管理的事业单位）未单独设置项级科目的其他项目支出。</w:t>
      </w:r>
    </w:p>
    <w:p w:rsidR="002934D9" w:rsidRDefault="0036555A">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8.</w:t>
      </w:r>
      <w:r>
        <w:rPr>
          <w:rStyle w:val="a7"/>
          <w:rFonts w:ascii="仿宋_GB2312" w:eastAsia="仿宋_GB2312" w:hint="eastAsia"/>
          <w:b w:val="0"/>
          <w:color w:val="000000"/>
          <w:sz w:val="32"/>
          <w:szCs w:val="32"/>
        </w:rPr>
        <w:t>一般公共服务支出（类）市场监督管理事务（款）  食品安全监管（项）</w:t>
      </w:r>
      <w:r>
        <w:rPr>
          <w:rStyle w:val="a7"/>
          <w:rFonts w:ascii="仿宋_GB2312" w:eastAsia="仿宋_GB2312" w:hint="eastAsia"/>
          <w:b w:val="0"/>
          <w:bCs/>
          <w:color w:val="000000"/>
          <w:sz w:val="32"/>
          <w:szCs w:val="32"/>
        </w:rPr>
        <w:t>:反映用于食品监督管理方面的支出。</w:t>
      </w:r>
    </w:p>
    <w:p w:rsidR="002934D9" w:rsidRDefault="0036555A">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 xml:space="preserve">9.一般公共服务（类）市场监督管理事务（款）事业运行（项）: </w:t>
      </w:r>
      <w:r>
        <w:rPr>
          <w:rFonts w:ascii="仿宋_GB2312" w:eastAsia="仿宋_GB2312" w:hint="eastAsia"/>
          <w:sz w:val="32"/>
          <w:szCs w:val="32"/>
        </w:rPr>
        <w:t>指用于事业单位的基本支出。</w:t>
      </w:r>
    </w:p>
    <w:p w:rsidR="002934D9" w:rsidRDefault="0036555A">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10.一般公共服务（类）市场监督管理事务（款）其他</w:t>
      </w:r>
      <w:r>
        <w:rPr>
          <w:rStyle w:val="a7"/>
          <w:rFonts w:ascii="仿宋_GB2312" w:eastAsia="仿宋_GB2312" w:hint="eastAsia"/>
          <w:b w:val="0"/>
          <w:bCs/>
          <w:color w:val="000000"/>
          <w:sz w:val="32"/>
          <w:szCs w:val="32"/>
        </w:rPr>
        <w:lastRenderedPageBreak/>
        <w:t xml:space="preserve">市场监督管理事务（项）: </w:t>
      </w:r>
      <w:r>
        <w:rPr>
          <w:rStyle w:val="a7"/>
          <w:rFonts w:ascii="仿宋_GB2312" w:eastAsia="仿宋_GB2312" w:hint="eastAsia"/>
          <w:b w:val="0"/>
          <w:bCs/>
          <w:sz w:val="32"/>
          <w:szCs w:val="32"/>
        </w:rPr>
        <w:t>指反映用于除上述项目以外其他市场监督管理事务方面的支出。</w:t>
      </w:r>
    </w:p>
    <w:p w:rsidR="002934D9" w:rsidRDefault="0036555A">
      <w:pPr>
        <w:pStyle w:val="Default"/>
        <w:spacing w:line="326" w:lineRule="auto"/>
        <w:rPr>
          <w:rStyle w:val="a7"/>
          <w:rFonts w:ascii="仿宋_GB2312" w:eastAsia="仿宋_GB2312"/>
          <w:b w:val="0"/>
          <w:bCs/>
          <w:sz w:val="32"/>
          <w:szCs w:val="32"/>
        </w:rPr>
      </w:pPr>
      <w:r>
        <w:rPr>
          <w:rStyle w:val="a7"/>
          <w:rFonts w:ascii="仿宋_GB2312" w:eastAsia="仿宋_GB2312" w:hint="eastAsia"/>
          <w:b w:val="0"/>
          <w:bCs/>
          <w:sz w:val="32"/>
          <w:szCs w:val="32"/>
        </w:rPr>
        <w:t xml:space="preserve">    11</w:t>
      </w:r>
      <w:r>
        <w:rPr>
          <w:rStyle w:val="a7"/>
          <w:rFonts w:ascii="仿宋_GB2312" w:eastAsia="仿宋_GB2312" w:hAnsi="Times New Roman" w:hint="eastAsia"/>
          <w:b w:val="0"/>
          <w:bCs/>
          <w:sz w:val="32"/>
          <w:szCs w:val="32"/>
        </w:rPr>
        <w:t>.社会保障和就业（类）</w:t>
      </w:r>
      <w:r>
        <w:rPr>
          <w:rStyle w:val="a7"/>
          <w:rFonts w:ascii="仿宋_GB2312" w:eastAsia="仿宋_GB2312" w:hint="eastAsia"/>
          <w:b w:val="0"/>
          <w:bCs/>
          <w:sz w:val="32"/>
          <w:szCs w:val="32"/>
        </w:rPr>
        <w:t>行政事业单位离退休</w:t>
      </w:r>
      <w:r>
        <w:rPr>
          <w:rStyle w:val="a7"/>
          <w:rFonts w:ascii="仿宋_GB2312" w:eastAsia="仿宋_GB2312" w:hAnsi="Times New Roman" w:hint="eastAsia"/>
          <w:b w:val="0"/>
          <w:bCs/>
          <w:sz w:val="32"/>
          <w:szCs w:val="32"/>
        </w:rPr>
        <w:t>（款）</w:t>
      </w:r>
      <w:r>
        <w:rPr>
          <w:rStyle w:val="a7"/>
          <w:rFonts w:ascii="仿宋_GB2312" w:eastAsia="仿宋_GB2312" w:hint="eastAsia"/>
          <w:b w:val="0"/>
          <w:bCs/>
          <w:sz w:val="32"/>
          <w:szCs w:val="32"/>
        </w:rPr>
        <w:t>事业单位离退休</w:t>
      </w:r>
      <w:r>
        <w:rPr>
          <w:rStyle w:val="a7"/>
          <w:rFonts w:ascii="仿宋_GB2312" w:eastAsia="仿宋_GB2312" w:hAnsi="Times New Roman" w:hint="eastAsia"/>
          <w:b w:val="0"/>
          <w:bCs/>
          <w:sz w:val="32"/>
          <w:szCs w:val="32"/>
        </w:rPr>
        <w:t>（项）:</w:t>
      </w:r>
      <w:r>
        <w:rPr>
          <w:rFonts w:ascii="仿宋_GB2312" w:eastAsia="仿宋_GB2312" w:hint="eastAsia"/>
          <w:sz w:val="32"/>
          <w:szCs w:val="32"/>
        </w:rPr>
        <w:t>指事业单位开支的离退休支出。</w:t>
      </w:r>
    </w:p>
    <w:p w:rsidR="002934D9" w:rsidRDefault="0036555A">
      <w:pPr>
        <w:pStyle w:val="Default"/>
        <w:spacing w:line="326" w:lineRule="auto"/>
        <w:ind w:firstLineChars="200" w:firstLine="640"/>
        <w:rPr>
          <w:rStyle w:val="a7"/>
          <w:rFonts w:ascii="仿宋_GB2312" w:eastAsia="仿宋_GB2312"/>
          <w:b w:val="0"/>
          <w:bCs/>
          <w:sz w:val="32"/>
          <w:szCs w:val="32"/>
        </w:rPr>
      </w:pPr>
      <w:r>
        <w:rPr>
          <w:rStyle w:val="a7"/>
          <w:rFonts w:ascii="仿宋_GB2312" w:eastAsia="仿宋_GB2312" w:hint="eastAsia"/>
          <w:b w:val="0"/>
          <w:bCs/>
          <w:sz w:val="32"/>
          <w:szCs w:val="32"/>
        </w:rPr>
        <w:t xml:space="preserve">12.社会保障和就业（类）行政事业单位离退休（款）机关事业单位基本养老保险缴费支出（项）: </w:t>
      </w:r>
      <w:r>
        <w:rPr>
          <w:rFonts w:ascii="仿宋_GB2312" w:eastAsia="仿宋_GB2312" w:hint="eastAsia"/>
          <w:sz w:val="32"/>
          <w:szCs w:val="32"/>
        </w:rPr>
        <w:t>指机关事业单位实施养老保险制度由单位缴纳的基本养老保险支出。</w:t>
      </w:r>
    </w:p>
    <w:p w:rsidR="002934D9" w:rsidRDefault="0036555A">
      <w:pPr>
        <w:pStyle w:val="Default"/>
        <w:spacing w:line="326" w:lineRule="auto"/>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bCs/>
          <w:sz w:val="32"/>
          <w:szCs w:val="32"/>
        </w:rPr>
        <w:t>住房保障</w:t>
      </w:r>
      <w:r>
        <w:rPr>
          <w:rStyle w:val="a7"/>
          <w:rFonts w:ascii="仿宋_GB2312" w:eastAsia="仿宋_GB2312" w:hint="eastAsia"/>
          <w:b w:val="0"/>
          <w:bCs/>
          <w:sz w:val="32"/>
          <w:szCs w:val="32"/>
        </w:rPr>
        <w:t>（类）住房改革支出（款）住房公积金（项）:</w:t>
      </w:r>
      <w:r>
        <w:rPr>
          <w:rFonts w:ascii="仿宋_GB2312" w:eastAsia="仿宋_GB2312" w:hint="eastAsia"/>
          <w:sz w:val="32"/>
          <w:szCs w:val="32"/>
        </w:rPr>
        <w:t>指行政事业单位按人力资源和社会保障部、财政部规定的基本工资和津贴补贴以及按规定比例为职工缴纳的住房公积金。</w:t>
      </w:r>
    </w:p>
    <w:p w:rsidR="002934D9" w:rsidRDefault="0036555A">
      <w:pPr>
        <w:pStyle w:val="Default"/>
        <w:spacing w:line="326" w:lineRule="auto"/>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hint="eastAsia"/>
          <w:bCs/>
          <w:sz w:val="32"/>
          <w:szCs w:val="32"/>
        </w:rPr>
        <w:t>城乡社区支出</w:t>
      </w:r>
      <w:r>
        <w:rPr>
          <w:rStyle w:val="a7"/>
          <w:rFonts w:ascii="仿宋_GB2312" w:eastAsia="仿宋_GB2312" w:hint="eastAsia"/>
          <w:b w:val="0"/>
          <w:sz w:val="32"/>
          <w:szCs w:val="32"/>
        </w:rPr>
        <w:t>（类）城乡社区公共设施（款）  其他城乡社区公共设施支出（项）:反应其他用于城乡社区公共设施方面的支出。</w:t>
      </w:r>
    </w:p>
    <w:p w:rsidR="002934D9" w:rsidRDefault="0036555A">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2934D9" w:rsidRDefault="0036555A">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2934D9" w:rsidRDefault="0036555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17</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w:t>
      </w:r>
      <w:r>
        <w:rPr>
          <w:rFonts w:ascii="仿宋_GB2312" w:eastAsia="仿宋_GB2312" w:hint="eastAsia"/>
          <w:color w:val="auto"/>
          <w:sz w:val="32"/>
          <w:szCs w:val="32"/>
        </w:rPr>
        <w:lastRenderedPageBreak/>
        <w:t>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rsidR="002934D9" w:rsidRDefault="002934D9">
      <w:pPr>
        <w:pStyle w:val="Default"/>
        <w:spacing w:line="560" w:lineRule="exact"/>
        <w:ind w:firstLineChars="200" w:firstLine="640"/>
        <w:rPr>
          <w:rFonts w:ascii="仿宋_GB2312" w:eastAsia="仿宋_GB2312" w:cs="黑体"/>
          <w:color w:val="auto"/>
          <w:sz w:val="32"/>
          <w:szCs w:val="32"/>
        </w:rPr>
      </w:pPr>
    </w:p>
    <w:p w:rsidR="002934D9" w:rsidRDefault="0036555A">
      <w:pPr>
        <w:spacing w:line="600" w:lineRule="exact"/>
        <w:jc w:val="center"/>
        <w:outlineLvl w:val="0"/>
        <w:rPr>
          <w:rStyle w:val="1Char"/>
          <w:rFonts w:ascii="黑体" w:eastAsia="黑体" w:hAnsi="黑体"/>
          <w:b w:val="0"/>
        </w:rPr>
      </w:pPr>
      <w:bookmarkStart w:id="52" w:name="_Toc15377226"/>
      <w:r>
        <w:rPr>
          <w:rFonts w:ascii="仿宋_GB2312" w:eastAsia="仿宋_GB2312" w:hAnsi="仿宋_GB2312" w:cs="仿宋_GB2312" w:hint="eastAsia"/>
          <w:b/>
          <w:sz w:val="44"/>
          <w:szCs w:val="44"/>
        </w:rPr>
        <w:br w:type="page"/>
      </w:r>
      <w:bookmarkStart w:id="53"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3"/>
    </w:p>
    <w:p w:rsidR="002934D9" w:rsidRDefault="002934D9">
      <w:pPr>
        <w:spacing w:line="572" w:lineRule="exact"/>
        <w:jc w:val="left"/>
        <w:outlineLvl w:val="0"/>
        <w:rPr>
          <w:rFonts w:ascii="仿宋_GB2312" w:eastAsia="仿宋_GB2312" w:hAnsi="仿宋_GB2312" w:cs="仿宋_GB2312"/>
          <w:sz w:val="32"/>
          <w:szCs w:val="32"/>
        </w:rPr>
      </w:pPr>
    </w:p>
    <w:p w:rsidR="002934D9" w:rsidRDefault="0036555A">
      <w:pPr>
        <w:spacing w:line="600" w:lineRule="exact"/>
        <w:jc w:val="center"/>
        <w:outlineLvl w:val="0"/>
        <w:rPr>
          <w:rFonts w:ascii="仿宋_GB2312" w:eastAsia="仿宋_GB2312" w:hAnsi="仿宋_GB2312" w:cs="仿宋_GB2312"/>
          <w:kern w:val="0"/>
          <w:sz w:val="32"/>
          <w:szCs w:val="32"/>
        </w:rPr>
      </w:pPr>
      <w:bookmarkStart w:id="54" w:name="_Toc15396618"/>
      <w:r>
        <w:rPr>
          <w:rFonts w:ascii="仿宋_GB2312" w:eastAsia="仿宋_GB2312" w:hAnsi="仿宋_GB2312" w:cs="仿宋_GB2312" w:hint="eastAsia"/>
          <w:kern w:val="0"/>
          <w:sz w:val="32"/>
          <w:szCs w:val="32"/>
        </w:rPr>
        <w:t>部门预算项目支出绩效自评表（2022年度）见附件</w:t>
      </w:r>
      <w:r w:rsidR="00F40AF3">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w:t>
      </w:r>
    </w:p>
    <w:p w:rsidR="002934D9" w:rsidRDefault="002934D9">
      <w:pPr>
        <w:spacing w:line="600" w:lineRule="exact"/>
        <w:jc w:val="left"/>
        <w:outlineLvl w:val="0"/>
        <w:rPr>
          <w:rFonts w:ascii="仿宋_GB2312" w:eastAsia="仿宋_GB2312" w:hAnsi="仿宋_GB2312" w:cs="仿宋_GB2312"/>
          <w:kern w:val="0"/>
          <w:sz w:val="32"/>
          <w:szCs w:val="32"/>
        </w:rPr>
      </w:pPr>
    </w:p>
    <w:p w:rsidR="002934D9" w:rsidRDefault="002934D9">
      <w:pPr>
        <w:pStyle w:val="a0"/>
        <w:spacing w:before="93"/>
        <w:rPr>
          <w:rFonts w:hAnsi="Calibri" w:cs="仿宋"/>
          <w:sz w:val="32"/>
          <w:szCs w:val="32"/>
        </w:rPr>
      </w:pPr>
    </w:p>
    <w:p w:rsidR="002934D9" w:rsidRDefault="002934D9">
      <w:pPr>
        <w:pStyle w:val="a0"/>
        <w:spacing w:before="93"/>
        <w:rPr>
          <w:rFonts w:hAnsi="Calibri" w:cs="仿宋"/>
          <w:sz w:val="32"/>
          <w:szCs w:val="32"/>
        </w:rPr>
      </w:pPr>
    </w:p>
    <w:p w:rsidR="002934D9" w:rsidRDefault="002934D9">
      <w:pPr>
        <w:pStyle w:val="a0"/>
        <w:spacing w:before="93"/>
        <w:rPr>
          <w:rFonts w:hAnsi="Calibri" w:cs="仿宋"/>
          <w:sz w:val="32"/>
          <w:szCs w:val="32"/>
        </w:rPr>
      </w:pPr>
    </w:p>
    <w:p w:rsidR="002934D9" w:rsidRDefault="002934D9">
      <w:pPr>
        <w:pStyle w:val="a0"/>
        <w:spacing w:before="93"/>
        <w:rPr>
          <w:rFonts w:hAnsi="Calibri" w:cs="仿宋"/>
          <w:sz w:val="32"/>
          <w:szCs w:val="32"/>
        </w:rPr>
      </w:pPr>
    </w:p>
    <w:p w:rsidR="002934D9" w:rsidRDefault="002934D9">
      <w:pPr>
        <w:pStyle w:val="a0"/>
        <w:spacing w:before="93"/>
        <w:rPr>
          <w:rFonts w:hAnsi="Calibri" w:cs="仿宋"/>
          <w:sz w:val="32"/>
          <w:szCs w:val="32"/>
        </w:rPr>
      </w:pPr>
    </w:p>
    <w:p w:rsidR="002934D9" w:rsidRDefault="002934D9">
      <w:pPr>
        <w:pStyle w:val="a0"/>
        <w:spacing w:before="93"/>
        <w:rPr>
          <w:rFonts w:hAnsi="Calibri" w:cs="仿宋"/>
          <w:sz w:val="32"/>
          <w:szCs w:val="32"/>
        </w:rPr>
      </w:pPr>
    </w:p>
    <w:p w:rsidR="002934D9" w:rsidRDefault="002934D9">
      <w:pPr>
        <w:pStyle w:val="a0"/>
        <w:spacing w:before="93"/>
        <w:rPr>
          <w:rFonts w:hAnsi="Calibri" w:cs="仿宋"/>
          <w:sz w:val="32"/>
          <w:szCs w:val="32"/>
        </w:rPr>
      </w:pPr>
    </w:p>
    <w:p w:rsidR="002934D9" w:rsidRDefault="002934D9">
      <w:pPr>
        <w:pStyle w:val="a0"/>
        <w:spacing w:before="93"/>
        <w:rPr>
          <w:rFonts w:hAnsi="Calibri" w:cs="仿宋"/>
          <w:sz w:val="32"/>
          <w:szCs w:val="32"/>
        </w:rPr>
      </w:pPr>
    </w:p>
    <w:p w:rsidR="002934D9" w:rsidRDefault="002934D9">
      <w:pPr>
        <w:pStyle w:val="a0"/>
        <w:spacing w:before="93"/>
        <w:rPr>
          <w:rFonts w:hAnsi="Calibri" w:cs="仿宋"/>
          <w:sz w:val="32"/>
          <w:szCs w:val="32"/>
        </w:rPr>
      </w:pPr>
    </w:p>
    <w:p w:rsidR="002934D9" w:rsidRDefault="002934D9">
      <w:pPr>
        <w:pStyle w:val="a0"/>
        <w:spacing w:before="93"/>
        <w:rPr>
          <w:rFonts w:hAnsi="Calibri" w:cs="仿宋"/>
          <w:sz w:val="32"/>
          <w:szCs w:val="32"/>
        </w:rPr>
      </w:pPr>
    </w:p>
    <w:p w:rsidR="002934D9" w:rsidRDefault="002934D9">
      <w:pPr>
        <w:pStyle w:val="a0"/>
        <w:spacing w:before="93"/>
        <w:rPr>
          <w:rFonts w:hAnsi="Calibri" w:cs="仿宋"/>
          <w:sz w:val="32"/>
          <w:szCs w:val="32"/>
        </w:rPr>
      </w:pPr>
    </w:p>
    <w:p w:rsidR="002934D9" w:rsidRDefault="002934D9">
      <w:pPr>
        <w:spacing w:line="600" w:lineRule="exact"/>
        <w:jc w:val="center"/>
        <w:outlineLvl w:val="0"/>
        <w:rPr>
          <w:rFonts w:ascii="黑体" w:eastAsia="黑体" w:hAnsi="黑体"/>
          <w:sz w:val="44"/>
          <w:szCs w:val="44"/>
        </w:rPr>
      </w:pPr>
    </w:p>
    <w:p w:rsidR="002934D9" w:rsidRDefault="002934D9">
      <w:pPr>
        <w:spacing w:line="600" w:lineRule="exact"/>
        <w:jc w:val="center"/>
        <w:outlineLvl w:val="0"/>
        <w:rPr>
          <w:rFonts w:ascii="黑体" w:eastAsia="黑体" w:hAnsi="黑体"/>
          <w:sz w:val="44"/>
          <w:szCs w:val="44"/>
        </w:rPr>
      </w:pPr>
    </w:p>
    <w:p w:rsidR="002934D9" w:rsidRDefault="002934D9">
      <w:pPr>
        <w:spacing w:line="600" w:lineRule="exact"/>
        <w:jc w:val="center"/>
        <w:outlineLvl w:val="0"/>
        <w:rPr>
          <w:rFonts w:ascii="黑体" w:eastAsia="黑体" w:hAnsi="黑体"/>
          <w:sz w:val="44"/>
          <w:szCs w:val="44"/>
        </w:rPr>
      </w:pPr>
    </w:p>
    <w:p w:rsidR="002934D9" w:rsidRDefault="002934D9">
      <w:pPr>
        <w:spacing w:line="600" w:lineRule="exact"/>
        <w:jc w:val="center"/>
        <w:outlineLvl w:val="0"/>
        <w:rPr>
          <w:rFonts w:ascii="黑体" w:eastAsia="黑体" w:hAnsi="黑体"/>
          <w:sz w:val="44"/>
          <w:szCs w:val="44"/>
        </w:rPr>
      </w:pPr>
    </w:p>
    <w:p w:rsidR="002934D9" w:rsidRDefault="002934D9">
      <w:pPr>
        <w:spacing w:line="600" w:lineRule="exact"/>
        <w:jc w:val="center"/>
        <w:outlineLvl w:val="0"/>
        <w:rPr>
          <w:rFonts w:ascii="黑体" w:eastAsia="黑体" w:hAnsi="黑体"/>
          <w:sz w:val="44"/>
          <w:szCs w:val="44"/>
        </w:rPr>
      </w:pPr>
    </w:p>
    <w:p w:rsidR="002934D9" w:rsidRDefault="002934D9">
      <w:pPr>
        <w:spacing w:line="600" w:lineRule="exact"/>
        <w:jc w:val="center"/>
        <w:outlineLvl w:val="0"/>
        <w:rPr>
          <w:rFonts w:ascii="黑体" w:eastAsia="黑体" w:hAnsi="黑体"/>
          <w:sz w:val="44"/>
          <w:szCs w:val="44"/>
        </w:rPr>
      </w:pPr>
    </w:p>
    <w:p w:rsidR="002934D9" w:rsidRDefault="0036555A">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5" w:name="_Toc15396619"/>
      <w:bookmarkEnd w:id="52"/>
      <w:bookmarkEnd w:id="54"/>
    </w:p>
    <w:p w:rsidR="002934D9" w:rsidRDefault="0036555A">
      <w:pPr>
        <w:pStyle w:val="2"/>
        <w:rPr>
          <w:rFonts w:ascii="仿宋_GB2312" w:eastAsia="仿宋_GB2312" w:hAnsi="仿宋_GB2312" w:cs="仿宋_GB2312"/>
        </w:rPr>
      </w:pPr>
      <w:r>
        <w:rPr>
          <w:rFonts w:ascii="仿宋_GB2312" w:eastAsia="仿宋_GB2312" w:hAnsi="仿宋_GB2312" w:cs="仿宋_GB2312" w:hint="eastAsia"/>
          <w:b w:val="0"/>
        </w:rPr>
        <w:t>一、收</w:t>
      </w:r>
      <w:r>
        <w:rPr>
          <w:rStyle w:val="2Char"/>
          <w:rFonts w:ascii="仿宋_GB2312" w:eastAsia="仿宋_GB2312" w:hAnsi="仿宋_GB2312" w:cs="仿宋_GB2312" w:hint="eastAsia"/>
        </w:rPr>
        <w:t>入支出决算总表</w:t>
      </w:r>
      <w:bookmarkEnd w:id="55"/>
    </w:p>
    <w:p w:rsidR="002934D9" w:rsidRDefault="0036555A">
      <w:pPr>
        <w:pStyle w:val="2"/>
        <w:rPr>
          <w:rFonts w:ascii="仿宋_GB2312" w:eastAsia="仿宋_GB2312" w:hAnsi="仿宋_GB2312" w:cs="仿宋_GB2312"/>
        </w:rPr>
      </w:pPr>
      <w:bookmarkStart w:id="56" w:name="_Toc15396620"/>
      <w:r>
        <w:rPr>
          <w:rFonts w:ascii="仿宋_GB2312" w:eastAsia="仿宋_GB2312" w:hAnsi="仿宋_GB2312" w:cs="仿宋_GB2312" w:hint="eastAsia"/>
          <w:b w:val="0"/>
        </w:rPr>
        <w:t>二、收</w:t>
      </w:r>
      <w:r>
        <w:rPr>
          <w:rStyle w:val="2Char"/>
          <w:rFonts w:ascii="仿宋_GB2312" w:eastAsia="仿宋_GB2312" w:hAnsi="仿宋_GB2312" w:cs="仿宋_GB2312" w:hint="eastAsia"/>
        </w:rPr>
        <w:t>入决算表</w:t>
      </w:r>
      <w:bookmarkEnd w:id="56"/>
    </w:p>
    <w:p w:rsidR="002934D9" w:rsidRDefault="0036555A">
      <w:pPr>
        <w:pStyle w:val="2"/>
        <w:rPr>
          <w:rFonts w:ascii="仿宋_GB2312" w:eastAsia="仿宋_GB2312" w:hAnsi="仿宋_GB2312" w:cs="仿宋_GB2312"/>
        </w:rPr>
      </w:pPr>
      <w:bookmarkStart w:id="57" w:name="_Toc15396621"/>
      <w:r>
        <w:rPr>
          <w:rStyle w:val="2Char"/>
          <w:rFonts w:ascii="仿宋_GB2312" w:eastAsia="仿宋_GB2312" w:hAnsi="仿宋_GB2312" w:cs="仿宋_GB2312" w:hint="eastAsia"/>
        </w:rPr>
        <w:t>三、</w:t>
      </w:r>
      <w:r>
        <w:rPr>
          <w:rFonts w:ascii="仿宋_GB2312" w:eastAsia="仿宋_GB2312" w:hAnsi="仿宋_GB2312" w:cs="仿宋_GB2312" w:hint="eastAsia"/>
          <w:b w:val="0"/>
        </w:rPr>
        <w:t>支</w:t>
      </w:r>
      <w:r>
        <w:rPr>
          <w:rStyle w:val="2Char"/>
          <w:rFonts w:ascii="仿宋_GB2312" w:eastAsia="仿宋_GB2312" w:hAnsi="仿宋_GB2312" w:cs="仿宋_GB2312" w:hint="eastAsia"/>
        </w:rPr>
        <w:t>出决算表</w:t>
      </w:r>
      <w:bookmarkEnd w:id="57"/>
    </w:p>
    <w:p w:rsidR="002934D9" w:rsidRDefault="0036555A">
      <w:pPr>
        <w:pStyle w:val="2"/>
        <w:rPr>
          <w:rFonts w:ascii="仿宋_GB2312" w:eastAsia="仿宋_GB2312" w:hAnsi="仿宋_GB2312" w:cs="仿宋_GB2312"/>
          <w:b w:val="0"/>
        </w:rPr>
      </w:pPr>
      <w:bookmarkStart w:id="58" w:name="_Toc15396622"/>
      <w:r>
        <w:rPr>
          <w:rStyle w:val="2Char"/>
          <w:rFonts w:ascii="仿宋_GB2312" w:eastAsia="仿宋_GB2312" w:hAnsi="仿宋_GB2312" w:cs="仿宋_GB2312" w:hint="eastAsia"/>
        </w:rPr>
        <w:t>四、</w:t>
      </w:r>
      <w:r>
        <w:rPr>
          <w:rFonts w:ascii="仿宋_GB2312" w:eastAsia="仿宋_GB2312" w:hAnsi="仿宋_GB2312" w:cs="仿宋_GB2312" w:hint="eastAsia"/>
          <w:b w:val="0"/>
        </w:rPr>
        <w:t>财</w:t>
      </w:r>
      <w:r>
        <w:rPr>
          <w:rStyle w:val="2Char"/>
          <w:rFonts w:ascii="仿宋_GB2312" w:eastAsia="仿宋_GB2312" w:hAnsi="仿宋_GB2312" w:cs="仿宋_GB2312" w:hint="eastAsia"/>
        </w:rPr>
        <w:t>政拨款收入支出决算总表</w:t>
      </w:r>
      <w:bookmarkEnd w:id="58"/>
    </w:p>
    <w:p w:rsidR="002934D9" w:rsidRDefault="0036555A">
      <w:pPr>
        <w:pStyle w:val="2"/>
        <w:rPr>
          <w:rStyle w:val="2Char"/>
          <w:rFonts w:ascii="仿宋_GB2312" w:eastAsia="仿宋_GB2312" w:hAnsi="仿宋_GB2312" w:cs="仿宋_GB2312"/>
        </w:rPr>
      </w:pPr>
      <w:bookmarkStart w:id="59" w:name="_Toc15396623"/>
      <w:r>
        <w:rPr>
          <w:rStyle w:val="2Char"/>
          <w:rFonts w:ascii="仿宋_GB2312" w:eastAsia="仿宋_GB2312" w:hAnsi="仿宋_GB2312" w:cs="仿宋_GB2312" w:hint="eastAsia"/>
        </w:rPr>
        <w:t>五、</w:t>
      </w:r>
      <w:r>
        <w:rPr>
          <w:rFonts w:ascii="仿宋_GB2312" w:eastAsia="仿宋_GB2312" w:hAnsi="仿宋_GB2312" w:cs="仿宋_GB2312" w:hint="eastAsia"/>
          <w:b w:val="0"/>
        </w:rPr>
        <w:t>财</w:t>
      </w:r>
      <w:r>
        <w:rPr>
          <w:rStyle w:val="2Char"/>
          <w:rFonts w:ascii="仿宋_GB2312" w:eastAsia="仿宋_GB2312" w:hAnsi="仿宋_GB2312" w:cs="仿宋_GB2312" w:hint="eastAsia"/>
        </w:rPr>
        <w:t>政拨款支出决算明细表</w:t>
      </w:r>
      <w:bookmarkStart w:id="60" w:name="_Toc15396624"/>
      <w:bookmarkEnd w:id="59"/>
    </w:p>
    <w:p w:rsidR="002934D9" w:rsidRDefault="0036555A">
      <w:pPr>
        <w:pStyle w:val="2"/>
        <w:rPr>
          <w:rFonts w:ascii="仿宋_GB2312" w:eastAsia="仿宋_GB2312" w:hAnsi="仿宋_GB2312" w:cs="仿宋_GB2312"/>
        </w:rPr>
      </w:pPr>
      <w:r>
        <w:rPr>
          <w:rStyle w:val="2Char"/>
          <w:rFonts w:ascii="仿宋_GB2312" w:eastAsia="仿宋_GB2312" w:hAnsi="仿宋_GB2312" w:cs="仿宋_GB2312" w:hint="eastAsia"/>
        </w:rPr>
        <w:t>六、</w:t>
      </w:r>
      <w:r>
        <w:rPr>
          <w:rFonts w:ascii="仿宋_GB2312" w:eastAsia="仿宋_GB2312" w:hAnsi="仿宋_GB2312" w:cs="仿宋_GB2312" w:hint="eastAsia"/>
          <w:b w:val="0"/>
        </w:rPr>
        <w:t>一</w:t>
      </w:r>
      <w:r>
        <w:rPr>
          <w:rStyle w:val="2Char"/>
          <w:rFonts w:ascii="仿宋_GB2312" w:eastAsia="仿宋_GB2312" w:hAnsi="仿宋_GB2312" w:cs="仿宋_GB2312" w:hint="eastAsia"/>
        </w:rPr>
        <w:t>般公共预算财政拨款支出决算表</w:t>
      </w:r>
      <w:bookmarkEnd w:id="60"/>
    </w:p>
    <w:p w:rsidR="002934D9" w:rsidRDefault="0036555A">
      <w:pPr>
        <w:pStyle w:val="2"/>
        <w:rPr>
          <w:rFonts w:ascii="仿宋_GB2312" w:eastAsia="仿宋_GB2312" w:hAnsi="仿宋_GB2312" w:cs="仿宋_GB2312"/>
        </w:rPr>
      </w:pPr>
      <w:bookmarkStart w:id="61" w:name="_Toc15396625"/>
      <w:r>
        <w:rPr>
          <w:rStyle w:val="2Char"/>
          <w:rFonts w:ascii="仿宋_GB2312" w:eastAsia="仿宋_GB2312" w:hAnsi="仿宋_GB2312" w:cs="仿宋_GB2312" w:hint="eastAsia"/>
        </w:rPr>
        <w:t>七、</w:t>
      </w:r>
      <w:r>
        <w:rPr>
          <w:rFonts w:ascii="仿宋_GB2312" w:eastAsia="仿宋_GB2312" w:hAnsi="仿宋_GB2312" w:cs="仿宋_GB2312" w:hint="eastAsia"/>
          <w:b w:val="0"/>
        </w:rPr>
        <w:t>一</w:t>
      </w:r>
      <w:r>
        <w:rPr>
          <w:rStyle w:val="2Char"/>
          <w:rFonts w:ascii="仿宋_GB2312" w:eastAsia="仿宋_GB2312" w:hAnsi="仿宋_GB2312" w:cs="仿宋_GB2312" w:hint="eastAsia"/>
        </w:rPr>
        <w:t>般公共预算财政拨款支出决算明细表</w:t>
      </w:r>
      <w:bookmarkEnd w:id="61"/>
    </w:p>
    <w:p w:rsidR="002934D9" w:rsidRDefault="0036555A">
      <w:pPr>
        <w:pStyle w:val="2"/>
        <w:rPr>
          <w:rFonts w:ascii="仿宋_GB2312" w:eastAsia="仿宋_GB2312" w:hAnsi="仿宋_GB2312" w:cs="仿宋_GB2312"/>
        </w:rPr>
      </w:pPr>
      <w:bookmarkStart w:id="62" w:name="_Toc15396626"/>
      <w:r>
        <w:rPr>
          <w:rStyle w:val="2Char"/>
          <w:rFonts w:ascii="仿宋_GB2312" w:eastAsia="仿宋_GB2312" w:hAnsi="仿宋_GB2312" w:cs="仿宋_GB2312" w:hint="eastAsia"/>
        </w:rPr>
        <w:t>八、</w:t>
      </w:r>
      <w:r>
        <w:rPr>
          <w:rFonts w:ascii="仿宋_GB2312" w:eastAsia="仿宋_GB2312" w:hAnsi="仿宋_GB2312" w:cs="仿宋_GB2312" w:hint="eastAsia"/>
          <w:b w:val="0"/>
        </w:rPr>
        <w:t>一</w:t>
      </w:r>
      <w:r>
        <w:rPr>
          <w:rStyle w:val="2Char"/>
          <w:rFonts w:ascii="仿宋_GB2312" w:eastAsia="仿宋_GB2312" w:hAnsi="仿宋_GB2312" w:cs="仿宋_GB2312" w:hint="eastAsia"/>
        </w:rPr>
        <w:t>般公共预算财政拨款基本支出决算表</w:t>
      </w:r>
      <w:bookmarkEnd w:id="62"/>
    </w:p>
    <w:p w:rsidR="002934D9" w:rsidRDefault="0036555A">
      <w:pPr>
        <w:pStyle w:val="2"/>
        <w:rPr>
          <w:rFonts w:ascii="仿宋_GB2312" w:eastAsia="仿宋_GB2312" w:hAnsi="仿宋_GB2312" w:cs="仿宋_GB2312"/>
        </w:rPr>
      </w:pPr>
      <w:bookmarkStart w:id="63" w:name="_Toc15396627"/>
      <w:r>
        <w:rPr>
          <w:rStyle w:val="2Char"/>
          <w:rFonts w:ascii="仿宋_GB2312" w:eastAsia="仿宋_GB2312" w:hAnsi="仿宋_GB2312" w:cs="仿宋_GB2312" w:hint="eastAsia"/>
        </w:rPr>
        <w:t>九、</w:t>
      </w:r>
      <w:r>
        <w:rPr>
          <w:rFonts w:ascii="仿宋_GB2312" w:eastAsia="仿宋_GB2312" w:hAnsi="仿宋_GB2312" w:cs="仿宋_GB2312" w:hint="eastAsia"/>
          <w:b w:val="0"/>
        </w:rPr>
        <w:t>一</w:t>
      </w:r>
      <w:r>
        <w:rPr>
          <w:rStyle w:val="2Char"/>
          <w:rFonts w:ascii="仿宋_GB2312" w:eastAsia="仿宋_GB2312" w:hAnsi="仿宋_GB2312" w:cs="仿宋_GB2312" w:hint="eastAsia"/>
        </w:rPr>
        <w:t>般公共预算财政拨款项目支出决算表</w:t>
      </w:r>
      <w:bookmarkEnd w:id="63"/>
    </w:p>
    <w:p w:rsidR="002934D9" w:rsidRDefault="0036555A">
      <w:pPr>
        <w:rPr>
          <w:rStyle w:val="a7"/>
          <w:rFonts w:ascii="仿宋_GB2312" w:eastAsia="仿宋_GB2312" w:hAnsi="Calibri" w:cs="仿宋"/>
          <w:b w:val="0"/>
          <w:color w:val="000000"/>
          <w:kern w:val="0"/>
          <w:sz w:val="32"/>
          <w:szCs w:val="32"/>
        </w:rPr>
      </w:pPr>
      <w:bookmarkStart w:id="64" w:name="_Toc15396628"/>
      <w:r>
        <w:rPr>
          <w:rStyle w:val="2Char"/>
          <w:rFonts w:ascii="仿宋_GB2312" w:eastAsia="仿宋_GB2312" w:hAnsi="仿宋_GB2312" w:cs="仿宋_GB2312" w:hint="eastAsia"/>
          <w:b w:val="0"/>
          <w:bCs w:val="0"/>
        </w:rPr>
        <w:t>十、</w:t>
      </w:r>
      <w:bookmarkEnd w:id="64"/>
      <w:r>
        <w:rPr>
          <w:rFonts w:ascii="仿宋_GB2312" w:eastAsia="仿宋_GB2312" w:hAnsi="仿宋_GB2312" w:cs="仿宋_GB2312" w:hint="eastAsia"/>
          <w:sz w:val="32"/>
          <w:szCs w:val="32"/>
        </w:rPr>
        <w:t>政</w:t>
      </w:r>
      <w:r>
        <w:rPr>
          <w:rStyle w:val="2Char"/>
          <w:rFonts w:ascii="仿宋_GB2312" w:eastAsia="仿宋_GB2312" w:hAnsi="仿宋_GB2312" w:cs="仿宋_GB2312" w:hint="eastAsia"/>
          <w:b w:val="0"/>
          <w:bCs w:val="0"/>
        </w:rPr>
        <w:t>府性基金预算财政拨款收入支出决算表</w:t>
      </w:r>
      <w:r>
        <w:rPr>
          <w:rStyle w:val="a7"/>
          <w:rFonts w:ascii="仿宋_GB2312" w:eastAsia="仿宋_GB2312" w:hAnsi="Calibri" w:cs="仿宋" w:hint="eastAsia"/>
          <w:b w:val="0"/>
          <w:color w:val="000000"/>
          <w:kern w:val="0"/>
          <w:sz w:val="32"/>
          <w:szCs w:val="32"/>
        </w:rPr>
        <w:t>（此表无数据）</w:t>
      </w:r>
    </w:p>
    <w:p w:rsidR="002934D9" w:rsidRDefault="0036555A">
      <w:pPr>
        <w:rPr>
          <w:rFonts w:ascii="仿宋_GB2312" w:eastAsia="仿宋_GB2312" w:hAnsi="仿宋_GB2312" w:cs="仿宋_GB2312"/>
          <w:sz w:val="32"/>
          <w:szCs w:val="32"/>
        </w:rPr>
      </w:pPr>
      <w:bookmarkStart w:id="65" w:name="_Toc15396629"/>
      <w:r>
        <w:rPr>
          <w:rStyle w:val="2Char"/>
          <w:rFonts w:ascii="仿宋_GB2312" w:eastAsia="仿宋_GB2312" w:hAnsi="仿宋_GB2312" w:cs="仿宋_GB2312" w:hint="eastAsia"/>
          <w:b w:val="0"/>
          <w:bCs w:val="0"/>
        </w:rPr>
        <w:t>十一、</w:t>
      </w:r>
      <w:bookmarkEnd w:id="65"/>
      <w:r>
        <w:rPr>
          <w:rFonts w:ascii="仿宋_GB2312" w:eastAsia="仿宋_GB2312" w:hAnsi="仿宋_GB2312" w:cs="仿宋_GB2312" w:hint="eastAsia"/>
          <w:sz w:val="32"/>
          <w:szCs w:val="32"/>
        </w:rPr>
        <w:t>国</w:t>
      </w:r>
      <w:r>
        <w:rPr>
          <w:rStyle w:val="2Char"/>
          <w:rFonts w:ascii="仿宋_GB2312" w:eastAsia="仿宋_GB2312" w:hAnsi="仿宋_GB2312" w:cs="仿宋_GB2312" w:hint="eastAsia"/>
          <w:b w:val="0"/>
          <w:bCs w:val="0"/>
        </w:rPr>
        <w:t>有资本经营预算财政拨款收入支出决算表</w:t>
      </w:r>
      <w:r>
        <w:rPr>
          <w:rStyle w:val="a7"/>
          <w:rFonts w:ascii="仿宋_GB2312" w:eastAsia="仿宋_GB2312" w:hAnsi="Calibri" w:cs="仿宋" w:hint="eastAsia"/>
          <w:b w:val="0"/>
          <w:color w:val="000000"/>
          <w:kern w:val="0"/>
          <w:sz w:val="32"/>
          <w:szCs w:val="32"/>
        </w:rPr>
        <w:t>（此表无数据）</w:t>
      </w:r>
    </w:p>
    <w:p w:rsidR="002934D9" w:rsidRDefault="0036555A">
      <w:pPr>
        <w:rPr>
          <w:rFonts w:ascii="仿宋_GB2312" w:eastAsia="仿宋_GB2312" w:hAnsi="仿宋_GB2312" w:cs="仿宋_GB2312"/>
          <w:sz w:val="32"/>
          <w:szCs w:val="32"/>
        </w:rPr>
      </w:pPr>
      <w:bookmarkStart w:id="66" w:name="_Toc15396630"/>
      <w:r>
        <w:rPr>
          <w:rStyle w:val="2Char"/>
          <w:rFonts w:ascii="仿宋_GB2312" w:eastAsia="仿宋_GB2312" w:hAnsi="仿宋_GB2312" w:cs="仿宋_GB2312" w:hint="eastAsia"/>
          <w:b w:val="0"/>
          <w:bCs w:val="0"/>
        </w:rPr>
        <w:t>十二、</w:t>
      </w:r>
      <w:bookmarkEnd w:id="66"/>
      <w:r>
        <w:rPr>
          <w:rStyle w:val="2Char"/>
          <w:rFonts w:ascii="仿宋_GB2312" w:eastAsia="仿宋_GB2312" w:hAnsi="仿宋_GB2312" w:cs="仿宋_GB2312" w:hint="eastAsia"/>
          <w:b w:val="0"/>
          <w:bCs w:val="0"/>
        </w:rPr>
        <w:t>国有资本经营预算财政拨款支出决算表</w:t>
      </w:r>
      <w:r>
        <w:rPr>
          <w:rStyle w:val="a7"/>
          <w:rFonts w:ascii="仿宋_GB2312" w:eastAsia="仿宋_GB2312" w:hAnsi="Calibri" w:cs="仿宋" w:hint="eastAsia"/>
          <w:b w:val="0"/>
          <w:color w:val="000000"/>
          <w:kern w:val="0"/>
          <w:sz w:val="32"/>
          <w:szCs w:val="32"/>
        </w:rPr>
        <w:t>（此表无数据）</w:t>
      </w:r>
    </w:p>
    <w:p w:rsidR="002934D9" w:rsidRDefault="0036555A">
      <w:pPr>
        <w:pStyle w:val="2"/>
        <w:rPr>
          <w:rFonts w:ascii="仿宋_GB2312" w:eastAsia="仿宋_GB2312" w:hAnsi="仿宋_GB2312" w:cs="仿宋_GB2312"/>
        </w:rPr>
      </w:pPr>
      <w:bookmarkStart w:id="67" w:name="_Toc15396631"/>
      <w:r>
        <w:rPr>
          <w:rStyle w:val="2Char"/>
          <w:rFonts w:ascii="仿宋_GB2312" w:eastAsia="仿宋_GB2312" w:hAnsi="仿宋_GB2312" w:cs="仿宋_GB2312" w:hint="eastAsia"/>
        </w:rPr>
        <w:t>十三、</w:t>
      </w:r>
      <w:bookmarkEnd w:id="67"/>
      <w:r>
        <w:rPr>
          <w:rStyle w:val="2Char"/>
          <w:rFonts w:ascii="仿宋_GB2312" w:eastAsia="仿宋_GB2312" w:hAnsi="仿宋_GB2312" w:cs="仿宋_GB2312" w:hint="eastAsia"/>
        </w:rPr>
        <w:t>财政拨款“三公”经费支出决算表</w:t>
      </w:r>
    </w:p>
    <w:sectPr w:rsidR="002934D9">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4F" w:rsidRDefault="0035424F">
      <w:r>
        <w:separator/>
      </w:r>
    </w:p>
  </w:endnote>
  <w:endnote w:type="continuationSeparator" w:id="0">
    <w:p w:rsidR="0035424F" w:rsidRDefault="003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sdtPr>
    <w:sdtEndPr/>
    <w:sdtContent>
      <w:p w:rsidR="002934D9" w:rsidRDefault="0036555A">
        <w:pPr>
          <w:pStyle w:val="a5"/>
          <w:jc w:val="center"/>
        </w:pPr>
        <w:r>
          <w:fldChar w:fldCharType="begin"/>
        </w:r>
        <w:r>
          <w:instrText>PAGE   \* MERGEFORMAT</w:instrText>
        </w:r>
        <w:r>
          <w:fldChar w:fldCharType="separate"/>
        </w:r>
        <w:r w:rsidR="00C47DBE" w:rsidRPr="00C47DBE">
          <w:rPr>
            <w:noProof/>
            <w:lang w:val="zh-CN"/>
          </w:rPr>
          <w:t>20</w:t>
        </w:r>
        <w:r>
          <w:fldChar w:fldCharType="end"/>
        </w:r>
      </w:p>
    </w:sdtContent>
  </w:sdt>
  <w:p w:rsidR="002934D9" w:rsidRDefault="002934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4F" w:rsidRDefault="0035424F">
      <w:r>
        <w:separator/>
      </w:r>
    </w:p>
  </w:footnote>
  <w:footnote w:type="continuationSeparator" w:id="0">
    <w:p w:rsidR="0035424F" w:rsidRDefault="0035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D9" w:rsidRDefault="002934D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818A09A"/>
    <w:multiLevelType w:val="singleLevel"/>
    <w:tmpl w:val="3818A09A"/>
    <w:lvl w:ilvl="0">
      <w:start w:val="1"/>
      <w:numFmt w:val="chineseCounting"/>
      <w:suff w:val="nothing"/>
      <w:lvlText w:val="%1、"/>
      <w:lvlJc w:val="left"/>
      <w:rPr>
        <w:rFonts w:hint="eastAsia"/>
      </w:rPr>
    </w:lvl>
  </w:abstractNum>
  <w:abstractNum w:abstractNumId="4">
    <w:nsid w:val="58754F6C"/>
    <w:multiLevelType w:val="hybridMultilevel"/>
    <w:tmpl w:val="22AC9C2E"/>
    <w:lvl w:ilvl="0" w:tplc="AD54FC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3OTRmNDFkZmNhN2ZiMGI4ZjVkYThhMWFmOGZlZDYifQ=="/>
  </w:docVars>
  <w:rsids>
    <w:rsidRoot w:val="00F1361C"/>
    <w:rsid w:val="9E3A10E2"/>
    <w:rsid w:val="C47FB813"/>
    <w:rsid w:val="F2E1F9D4"/>
    <w:rsid w:val="F7880819"/>
    <w:rsid w:val="000222C6"/>
    <w:rsid w:val="0002549F"/>
    <w:rsid w:val="000468DB"/>
    <w:rsid w:val="0006487A"/>
    <w:rsid w:val="00065F8F"/>
    <w:rsid w:val="00070A43"/>
    <w:rsid w:val="000742C5"/>
    <w:rsid w:val="000768F2"/>
    <w:rsid w:val="0009184B"/>
    <w:rsid w:val="00094236"/>
    <w:rsid w:val="0009593C"/>
    <w:rsid w:val="00097322"/>
    <w:rsid w:val="000A6A92"/>
    <w:rsid w:val="000B047F"/>
    <w:rsid w:val="000B5923"/>
    <w:rsid w:val="000B5A48"/>
    <w:rsid w:val="000B6FF3"/>
    <w:rsid w:val="000C2C98"/>
    <w:rsid w:val="000C3467"/>
    <w:rsid w:val="000C3CA6"/>
    <w:rsid w:val="000D1267"/>
    <w:rsid w:val="000D1D50"/>
    <w:rsid w:val="000D5782"/>
    <w:rsid w:val="000E6613"/>
    <w:rsid w:val="000E7119"/>
    <w:rsid w:val="000F3D30"/>
    <w:rsid w:val="00114E9B"/>
    <w:rsid w:val="00123991"/>
    <w:rsid w:val="00134B7A"/>
    <w:rsid w:val="00142216"/>
    <w:rsid w:val="00144D6A"/>
    <w:rsid w:val="0014729F"/>
    <w:rsid w:val="00157BAB"/>
    <w:rsid w:val="001654D1"/>
    <w:rsid w:val="00166E95"/>
    <w:rsid w:val="0017128B"/>
    <w:rsid w:val="00174518"/>
    <w:rsid w:val="0018106D"/>
    <w:rsid w:val="001877A7"/>
    <w:rsid w:val="00191536"/>
    <w:rsid w:val="00196687"/>
    <w:rsid w:val="001C0962"/>
    <w:rsid w:val="001D7531"/>
    <w:rsid w:val="001E3E35"/>
    <w:rsid w:val="001E737D"/>
    <w:rsid w:val="001F0592"/>
    <w:rsid w:val="001F7506"/>
    <w:rsid w:val="002006CD"/>
    <w:rsid w:val="00202B36"/>
    <w:rsid w:val="00204B7A"/>
    <w:rsid w:val="00204CDE"/>
    <w:rsid w:val="0021101A"/>
    <w:rsid w:val="00220536"/>
    <w:rsid w:val="00235629"/>
    <w:rsid w:val="00235ACF"/>
    <w:rsid w:val="00260950"/>
    <w:rsid w:val="00260C38"/>
    <w:rsid w:val="00260C9E"/>
    <w:rsid w:val="002616C0"/>
    <w:rsid w:val="00265372"/>
    <w:rsid w:val="002662AA"/>
    <w:rsid w:val="00280496"/>
    <w:rsid w:val="002934D9"/>
    <w:rsid w:val="00294DC9"/>
    <w:rsid w:val="00295495"/>
    <w:rsid w:val="002A31DE"/>
    <w:rsid w:val="002B2613"/>
    <w:rsid w:val="002D6D05"/>
    <w:rsid w:val="002F1818"/>
    <w:rsid w:val="002F567B"/>
    <w:rsid w:val="002F6B90"/>
    <w:rsid w:val="00305054"/>
    <w:rsid w:val="00313BC8"/>
    <w:rsid w:val="003216A9"/>
    <w:rsid w:val="00335A74"/>
    <w:rsid w:val="0035424F"/>
    <w:rsid w:val="0036555A"/>
    <w:rsid w:val="0036561B"/>
    <w:rsid w:val="0037013F"/>
    <w:rsid w:val="00380C92"/>
    <w:rsid w:val="003A484F"/>
    <w:rsid w:val="003A4883"/>
    <w:rsid w:val="003A6521"/>
    <w:rsid w:val="003B0BE0"/>
    <w:rsid w:val="003B0C1B"/>
    <w:rsid w:val="003B688C"/>
    <w:rsid w:val="003C0291"/>
    <w:rsid w:val="003C39AE"/>
    <w:rsid w:val="003C7B60"/>
    <w:rsid w:val="003D0C0F"/>
    <w:rsid w:val="003D1FB2"/>
    <w:rsid w:val="003D66DA"/>
    <w:rsid w:val="003E1310"/>
    <w:rsid w:val="003E6F55"/>
    <w:rsid w:val="00406254"/>
    <w:rsid w:val="004223DE"/>
    <w:rsid w:val="00425872"/>
    <w:rsid w:val="00434489"/>
    <w:rsid w:val="00437085"/>
    <w:rsid w:val="00443880"/>
    <w:rsid w:val="004464F4"/>
    <w:rsid w:val="0046407C"/>
    <w:rsid w:val="00464B39"/>
    <w:rsid w:val="00471401"/>
    <w:rsid w:val="00473F31"/>
    <w:rsid w:val="00481429"/>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11E7"/>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67B4"/>
    <w:rsid w:val="006F020C"/>
    <w:rsid w:val="00707D85"/>
    <w:rsid w:val="007127B7"/>
    <w:rsid w:val="0071798E"/>
    <w:rsid w:val="00723256"/>
    <w:rsid w:val="00723F35"/>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1048"/>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687C"/>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8715C"/>
    <w:rsid w:val="00A91760"/>
    <w:rsid w:val="00A923A1"/>
    <w:rsid w:val="00A925B9"/>
    <w:rsid w:val="00A93B00"/>
    <w:rsid w:val="00A93C21"/>
    <w:rsid w:val="00A96450"/>
    <w:rsid w:val="00AB64C9"/>
    <w:rsid w:val="00AC2296"/>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C6B89"/>
    <w:rsid w:val="00BD0E25"/>
    <w:rsid w:val="00BF5BD6"/>
    <w:rsid w:val="00C03E31"/>
    <w:rsid w:val="00C10CF3"/>
    <w:rsid w:val="00C33E72"/>
    <w:rsid w:val="00C354B2"/>
    <w:rsid w:val="00C35554"/>
    <w:rsid w:val="00C42709"/>
    <w:rsid w:val="00C47DBE"/>
    <w:rsid w:val="00C533CC"/>
    <w:rsid w:val="00C5751C"/>
    <w:rsid w:val="00C61BFC"/>
    <w:rsid w:val="00C62B85"/>
    <w:rsid w:val="00C65438"/>
    <w:rsid w:val="00C7524A"/>
    <w:rsid w:val="00C87FD8"/>
    <w:rsid w:val="00C91381"/>
    <w:rsid w:val="00C91CBB"/>
    <w:rsid w:val="00CB4E60"/>
    <w:rsid w:val="00CB4E70"/>
    <w:rsid w:val="00CC09B6"/>
    <w:rsid w:val="00CC666F"/>
    <w:rsid w:val="00CD1E3F"/>
    <w:rsid w:val="00CD6706"/>
    <w:rsid w:val="00CE0B3D"/>
    <w:rsid w:val="00CE44F6"/>
    <w:rsid w:val="00CE49DA"/>
    <w:rsid w:val="00CE7B61"/>
    <w:rsid w:val="00CF3296"/>
    <w:rsid w:val="00D00095"/>
    <w:rsid w:val="00D114F0"/>
    <w:rsid w:val="00D20620"/>
    <w:rsid w:val="00D254F7"/>
    <w:rsid w:val="00D26091"/>
    <w:rsid w:val="00D2685C"/>
    <w:rsid w:val="00D34E7C"/>
    <w:rsid w:val="00D35489"/>
    <w:rsid w:val="00D36AFE"/>
    <w:rsid w:val="00D51276"/>
    <w:rsid w:val="00D61DB0"/>
    <w:rsid w:val="00D7035F"/>
    <w:rsid w:val="00DA634F"/>
    <w:rsid w:val="00DA65AC"/>
    <w:rsid w:val="00DB1913"/>
    <w:rsid w:val="00DC410D"/>
    <w:rsid w:val="00DC5A81"/>
    <w:rsid w:val="00DC68CA"/>
    <w:rsid w:val="00DC7CBA"/>
    <w:rsid w:val="00DD73B7"/>
    <w:rsid w:val="00DF28BC"/>
    <w:rsid w:val="00DF34B9"/>
    <w:rsid w:val="00E01053"/>
    <w:rsid w:val="00E07ACF"/>
    <w:rsid w:val="00E07ED3"/>
    <w:rsid w:val="00E331A1"/>
    <w:rsid w:val="00E33202"/>
    <w:rsid w:val="00E336A9"/>
    <w:rsid w:val="00E472B1"/>
    <w:rsid w:val="00E50624"/>
    <w:rsid w:val="00E568DF"/>
    <w:rsid w:val="00E64269"/>
    <w:rsid w:val="00E82267"/>
    <w:rsid w:val="00E853CE"/>
    <w:rsid w:val="00E867B6"/>
    <w:rsid w:val="00EA010F"/>
    <w:rsid w:val="00ED0C11"/>
    <w:rsid w:val="00ED126B"/>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0AF3"/>
    <w:rsid w:val="00F417B1"/>
    <w:rsid w:val="00F45853"/>
    <w:rsid w:val="00F514FC"/>
    <w:rsid w:val="00F602DF"/>
    <w:rsid w:val="00F754A1"/>
    <w:rsid w:val="00F76D3F"/>
    <w:rsid w:val="00F81FD9"/>
    <w:rsid w:val="00F83D94"/>
    <w:rsid w:val="00F841AA"/>
    <w:rsid w:val="00F84A94"/>
    <w:rsid w:val="00F87E96"/>
    <w:rsid w:val="00FA23E8"/>
    <w:rsid w:val="00FD3CC1"/>
    <w:rsid w:val="00FD3DE2"/>
    <w:rsid w:val="00FE595F"/>
    <w:rsid w:val="00FF1E02"/>
    <w:rsid w:val="00FF30B4"/>
    <w:rsid w:val="02BC1AB4"/>
    <w:rsid w:val="053A62B5"/>
    <w:rsid w:val="08792D31"/>
    <w:rsid w:val="0A2032A3"/>
    <w:rsid w:val="0B8A37D8"/>
    <w:rsid w:val="0CD0036E"/>
    <w:rsid w:val="0ED10BD7"/>
    <w:rsid w:val="10C055FF"/>
    <w:rsid w:val="118107EC"/>
    <w:rsid w:val="11DD6519"/>
    <w:rsid w:val="14170540"/>
    <w:rsid w:val="16BB723D"/>
    <w:rsid w:val="18015F3F"/>
    <w:rsid w:val="18F338FE"/>
    <w:rsid w:val="1BE8440E"/>
    <w:rsid w:val="1D155CEE"/>
    <w:rsid w:val="1EF26B32"/>
    <w:rsid w:val="1FC97167"/>
    <w:rsid w:val="20F57F95"/>
    <w:rsid w:val="21EE1DF4"/>
    <w:rsid w:val="22742C6A"/>
    <w:rsid w:val="22E26596"/>
    <w:rsid w:val="240371BF"/>
    <w:rsid w:val="25711CC6"/>
    <w:rsid w:val="25C741E6"/>
    <w:rsid w:val="27842671"/>
    <w:rsid w:val="284622EE"/>
    <w:rsid w:val="28AE4515"/>
    <w:rsid w:val="29FD04D3"/>
    <w:rsid w:val="2ABE7A3E"/>
    <w:rsid w:val="2B980A61"/>
    <w:rsid w:val="2CA234A8"/>
    <w:rsid w:val="2EF72E0D"/>
    <w:rsid w:val="2EFA178C"/>
    <w:rsid w:val="2F3E6FC0"/>
    <w:rsid w:val="2FEC019D"/>
    <w:rsid w:val="30B46D73"/>
    <w:rsid w:val="319F7F4E"/>
    <w:rsid w:val="325F4087"/>
    <w:rsid w:val="337C469E"/>
    <w:rsid w:val="35C8539C"/>
    <w:rsid w:val="37601D88"/>
    <w:rsid w:val="37E348E7"/>
    <w:rsid w:val="383D272C"/>
    <w:rsid w:val="39461DED"/>
    <w:rsid w:val="39AE70AB"/>
    <w:rsid w:val="3B7A381E"/>
    <w:rsid w:val="3C0C0783"/>
    <w:rsid w:val="3D385C00"/>
    <w:rsid w:val="3F9F3A96"/>
    <w:rsid w:val="3FFA6330"/>
    <w:rsid w:val="42857B53"/>
    <w:rsid w:val="43FE7C2E"/>
    <w:rsid w:val="44F5252D"/>
    <w:rsid w:val="479832ED"/>
    <w:rsid w:val="484102DA"/>
    <w:rsid w:val="48BF60AB"/>
    <w:rsid w:val="493C27E9"/>
    <w:rsid w:val="496F39ED"/>
    <w:rsid w:val="49FF41D3"/>
    <w:rsid w:val="4B791C54"/>
    <w:rsid w:val="4BE068DB"/>
    <w:rsid w:val="4BF6002B"/>
    <w:rsid w:val="4E855ACD"/>
    <w:rsid w:val="4ECE2238"/>
    <w:rsid w:val="4ED45592"/>
    <w:rsid w:val="51177BA1"/>
    <w:rsid w:val="518C687F"/>
    <w:rsid w:val="51923633"/>
    <w:rsid w:val="51DB4B86"/>
    <w:rsid w:val="52286CAB"/>
    <w:rsid w:val="52A02559"/>
    <w:rsid w:val="539D45B7"/>
    <w:rsid w:val="55333C3E"/>
    <w:rsid w:val="562D695A"/>
    <w:rsid w:val="57907F3E"/>
    <w:rsid w:val="58B8511B"/>
    <w:rsid w:val="59566041"/>
    <w:rsid w:val="5C736221"/>
    <w:rsid w:val="5C8B4012"/>
    <w:rsid w:val="5E473A9D"/>
    <w:rsid w:val="5F851ACB"/>
    <w:rsid w:val="607246D5"/>
    <w:rsid w:val="61007F33"/>
    <w:rsid w:val="61021EFD"/>
    <w:rsid w:val="61072B68"/>
    <w:rsid w:val="63770981"/>
    <w:rsid w:val="64CA39A1"/>
    <w:rsid w:val="651C49D7"/>
    <w:rsid w:val="688B4552"/>
    <w:rsid w:val="69630ADE"/>
    <w:rsid w:val="697B41FF"/>
    <w:rsid w:val="69A85036"/>
    <w:rsid w:val="6C4A05C8"/>
    <w:rsid w:val="6D3A028E"/>
    <w:rsid w:val="6D3B1A89"/>
    <w:rsid w:val="706A53C9"/>
    <w:rsid w:val="71BF4EC2"/>
    <w:rsid w:val="72734D90"/>
    <w:rsid w:val="7412278C"/>
    <w:rsid w:val="79AD174D"/>
    <w:rsid w:val="79E7B28D"/>
    <w:rsid w:val="7CB33B04"/>
    <w:rsid w:val="7E152481"/>
    <w:rsid w:val="7E3C20B3"/>
    <w:rsid w:val="7F8520A8"/>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5:docId w15:val="{56C8C38A-7EE9-48CE-A999-7BFA37A6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67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000">
                <a:solidFill>
                  <a:srgbClr val="000000"/>
                </a:solidFill>
                <a:uFillTx/>
              </a:rPr>
              <a:t>收、支决算总计</a:t>
            </a:r>
            <a:r>
              <a:rPr lang="zh-CN" altLang="en-US" sz="1000">
                <a:solidFill>
                  <a:srgbClr val="000000"/>
                </a:solidFill>
                <a:uFillTx/>
                <a:latin typeface="宋体" panose="02010600030101010101" charset="-122"/>
              </a:rPr>
              <a:t>变动</a:t>
            </a:r>
            <a:r>
              <a:rPr lang="zh-CN" altLang="en-US" sz="1000">
                <a:solidFill>
                  <a:srgbClr val="000000"/>
                </a:solidFill>
                <a:uFillTx/>
              </a:rPr>
              <a:t>情况图</a:t>
            </a:r>
          </a:p>
        </c:rich>
      </c:tx>
      <c:layout>
        <c:manualLayout>
          <c:xMode val="edge"/>
          <c:yMode val="edge"/>
          <c:x val="0.371389291752656"/>
          <c:y val="3.1683270001026997E-2"/>
        </c:manualLayout>
      </c:layout>
      <c:overlay val="0"/>
      <c:spPr>
        <a:noFill/>
        <a:ln w="19013">
          <a:noFill/>
        </a:ln>
      </c:spPr>
    </c:title>
    <c:autoTitleDeleted val="0"/>
    <c:plotArea>
      <c:layout>
        <c:manualLayout>
          <c:layoutTarget val="inner"/>
          <c:xMode val="edge"/>
          <c:yMode val="edge"/>
          <c:x val="0.18481012658227899"/>
          <c:y val="0.25274725274725302"/>
          <c:w val="0.79240506329113902"/>
          <c:h val="0.439560439560441"/>
        </c:manualLayout>
      </c:layout>
      <c:barChart>
        <c:barDir val="col"/>
        <c:grouping val="clustered"/>
        <c:varyColors val="0"/>
        <c:ser>
          <c:idx val="0"/>
          <c:order val="0"/>
          <c:tx>
            <c:strRef>
              <c:f>Sheet1!$A$2</c:f>
              <c:strCache>
                <c:ptCount val="1"/>
              </c:strCache>
            </c:strRef>
          </c:tx>
          <c:spPr>
            <a:solidFill>
              <a:srgbClr val="9999FF"/>
            </a:solidFill>
            <a:ln w="9506">
              <a:solidFill>
                <a:srgbClr val="000000"/>
              </a:solidFill>
              <a:prstDash val="solid"/>
            </a:ln>
          </c:spPr>
          <c:invertIfNegative val="0"/>
          <c:dLbls>
            <c:dLbl>
              <c:idx val="0"/>
              <c:layout>
                <c:manualLayout>
                  <c:x val="0"/>
                  <c:y val="-1.9410496046010101E-2"/>
                </c:manualLayout>
              </c:layout>
              <c:tx>
                <c:rich>
                  <a:bodyPr/>
                  <a:lstStyle/>
                  <a:p>
                    <a:r>
                      <a:rPr lang="en-US" altLang="zh-CN" sz="900"/>
                      <a:t>2021</a:t>
                    </a:r>
                    <a:r>
                      <a:rPr lang="zh-CN" altLang="en-US" sz="900"/>
                      <a:t>年</a:t>
                    </a:r>
                    <a:r>
                      <a:rPr lang="en-US" altLang="zh-CN" sz="900"/>
                      <a:t>, 5165.97</a:t>
                    </a:r>
                  </a:p>
                </c:rich>
              </c:tx>
              <c:dLblPos val="outEnd"/>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3.4092292706684501E-3"/>
                  <c:y val="2.9115744069015102E-2"/>
                </c:manualLayout>
              </c:layout>
              <c:tx>
                <c:rich>
                  <a:bodyPr/>
                  <a:lstStyle/>
                  <a:p>
                    <a:r>
                      <a:rPr lang="en-US" altLang="zh-CN" sz="880"/>
                      <a:t>2022</a:t>
                    </a:r>
                    <a:r>
                      <a:rPr lang="zh-CN" altLang="en-US" sz="880"/>
                      <a:t>年</a:t>
                    </a:r>
                    <a:r>
                      <a:rPr lang="en-US" altLang="zh-CN" sz="880"/>
                      <a:t>, 5044.65</a:t>
                    </a:r>
                  </a:p>
                </c:rich>
              </c:tx>
              <c:dLblPos val="outEnd"/>
              <c:showLegendKey val="0"/>
              <c:showVal val="1"/>
              <c:showCatName val="1"/>
              <c:showSerName val="0"/>
              <c:showPercent val="0"/>
              <c:showBubbleSize val="0"/>
              <c:extLst>
                <c:ext xmlns:c15="http://schemas.microsoft.com/office/drawing/2012/chart" uri="{CE6537A1-D6FC-4f65-9D91-7224C49458BB}">
                  <c15:layout/>
                </c:ext>
              </c:extLst>
            </c:dLbl>
            <c:spPr>
              <a:noFill/>
              <a:ln w="19013">
                <a:noFill/>
              </a:ln>
              <a:effectLst/>
            </c:spPr>
            <c:txPr>
              <a:bodyPr rot="0" spcFirstLastPara="0" vertOverflow="ellipsis" vert="horz" wrap="square" lIns="38100" tIns="19050" rIns="38100" bIns="19050" anchor="ctr" anchorCtr="1">
                <a:spAutoFit/>
              </a:bodyPr>
              <a:lstStyle/>
              <a:p>
                <a:pPr>
                  <a:defRPr lang="zh-CN" sz="67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2021年</c:v>
                </c:pt>
                <c:pt idx="1">
                  <c:v>2022年</c:v>
                </c:pt>
              </c:strCache>
            </c:strRef>
          </c:cat>
          <c:val>
            <c:numRef>
              <c:f>Sheet1!$B$2:$C$2</c:f>
              <c:numCache>
                <c:formatCode>General</c:formatCode>
                <c:ptCount val="2"/>
                <c:pt idx="0">
                  <c:v>5165.97</c:v>
                </c:pt>
                <c:pt idx="1">
                  <c:v>5044.6499999999996</c:v>
                </c:pt>
              </c:numCache>
            </c:numRef>
          </c:val>
        </c:ser>
        <c:dLbls>
          <c:showLegendKey val="0"/>
          <c:showVal val="1"/>
          <c:showCatName val="1"/>
          <c:showSerName val="0"/>
          <c:showPercent val="0"/>
          <c:showBubbleSize val="0"/>
        </c:dLbls>
        <c:gapWidth val="150"/>
        <c:axId val="169857920"/>
        <c:axId val="170050312"/>
      </c:barChart>
      <c:catAx>
        <c:axId val="169857920"/>
        <c:scaling>
          <c:orientation val="minMax"/>
        </c:scaling>
        <c:delete val="0"/>
        <c:axPos val="b"/>
        <c:title>
          <c:tx>
            <c:rich>
              <a:bodyPr rot="0" spcFirstLastPara="0" vertOverflow="ellipsis" vert="horz" wrap="square" anchor="ctr" anchorCtr="1"/>
              <a:lstStyle/>
              <a:p>
                <a:pPr algn="r">
                  <a:defRPr lang="zh-CN" sz="67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900">
                    <a:solidFill>
                      <a:srgbClr val="000000"/>
                    </a:solidFill>
                    <a:uFillTx/>
                    <a:latin typeface="宋体" panose="02010600030101010101" charset="-122"/>
                  </a:rPr>
                  <a:t>年份</a:t>
                </a:r>
              </a:p>
            </c:rich>
          </c:tx>
          <c:layout>
            <c:manualLayout>
              <c:xMode val="edge"/>
              <c:yMode val="edge"/>
              <c:x val="0.54518138116940296"/>
              <c:y val="0.77621443976584303"/>
            </c:manualLayout>
          </c:layout>
          <c:overlay val="0"/>
          <c:spPr>
            <a:noFill/>
            <a:ln w="19013">
              <a:noFill/>
            </a:ln>
          </c:spPr>
        </c:title>
        <c:numFmt formatCode="General" sourceLinked="1"/>
        <c:majorTickMark val="in"/>
        <c:minorTickMark val="none"/>
        <c:tickLblPos val="nextTo"/>
        <c:spPr>
          <a:ln w="2377" cap="flat" cmpd="sng" algn="ctr">
            <a:solidFill>
              <a:srgbClr val="000000"/>
            </a:solidFill>
            <a:prstDash val="solid"/>
            <a:round/>
          </a:ln>
        </c:spPr>
        <c:txPr>
          <a:bodyPr rot="0" spcFirstLastPara="0" vertOverflow="ellipsis" vert="horz" wrap="square" anchor="ctr" anchorCtr="1"/>
          <a:lstStyle/>
          <a:p>
            <a:pPr>
              <a:defRPr lang="zh-CN" sz="9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endParaRPr lang="zh-CN"/>
          </a:p>
        </c:txPr>
        <c:crossAx val="170050312"/>
        <c:crosses val="autoZero"/>
        <c:auto val="1"/>
        <c:lblAlgn val="ctr"/>
        <c:lblOffset val="100"/>
        <c:tickLblSkip val="1"/>
        <c:noMultiLvlLbl val="0"/>
      </c:catAx>
      <c:valAx>
        <c:axId val="170050312"/>
        <c:scaling>
          <c:orientation val="minMax"/>
        </c:scaling>
        <c:delete val="0"/>
        <c:axPos val="l"/>
        <c:majorGridlines>
          <c:spPr>
            <a:ln w="2377" cap="flat" cmpd="sng" algn="ctr">
              <a:solidFill>
                <a:srgbClr val="000000"/>
              </a:solidFill>
              <a:prstDash val="solid"/>
              <a:round/>
            </a:ln>
          </c:spPr>
        </c:majorGridlines>
        <c:title>
          <c:tx>
            <c:rich>
              <a:bodyPr rot="-5400000" spcFirstLastPara="0" vertOverflow="ellipsis" vert="horz" wrap="square" anchor="ctr" anchorCtr="1"/>
              <a:lstStyle/>
              <a:p>
                <a:pPr algn="r">
                  <a:defRPr lang="zh-CN" sz="67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880"/>
                  <a:t>金额</a:t>
                </a:r>
                <a:r>
                  <a:rPr lang="en-US" altLang="zh-CN" sz="880"/>
                  <a:t>/</a:t>
                </a:r>
                <a:r>
                  <a:rPr lang="zh-CN" altLang="en-US" sz="880"/>
                  <a:t>万元</a:t>
                </a:r>
              </a:p>
            </c:rich>
          </c:tx>
          <c:layout>
            <c:manualLayout>
              <c:xMode val="edge"/>
              <c:yMode val="edge"/>
              <c:x val="6.93676434550351E-2"/>
              <c:y val="0.332494608195543"/>
            </c:manualLayout>
          </c:layout>
          <c:overlay val="0"/>
          <c:spPr>
            <a:noFill/>
            <a:ln w="19013">
              <a:noFill/>
            </a:ln>
          </c:spPr>
        </c:title>
        <c:numFmt formatCode="General" sourceLinked="1"/>
        <c:majorTickMark val="in"/>
        <c:minorTickMark val="none"/>
        <c:tickLblPos val="nextTo"/>
        <c:spPr>
          <a:ln w="2377" cap="flat" cmpd="sng" algn="ctr">
            <a:solidFill>
              <a:srgbClr val="000000"/>
            </a:solidFill>
            <a:prstDash val="solid"/>
            <a:round/>
          </a:ln>
        </c:spPr>
        <c:txPr>
          <a:bodyPr rot="0" spcFirstLastPara="0" vertOverflow="ellipsis" vert="horz" wrap="square" anchor="ctr" anchorCtr="1"/>
          <a:lstStyle/>
          <a:p>
            <a:pPr>
              <a:defRPr lang="zh-CN" sz="9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endParaRPr lang="zh-CN"/>
          </a:p>
        </c:txPr>
        <c:crossAx val="169857920"/>
        <c:crosses val="autoZero"/>
        <c:crossBetween val="between"/>
      </c:valAx>
      <c:spPr>
        <a:solidFill>
          <a:srgbClr val="C0C0C0"/>
        </a:solidFill>
        <a:ln w="9506">
          <a:solidFill>
            <a:srgbClr val="808080"/>
          </a:solidFill>
          <a:prstDash val="solid"/>
        </a:ln>
      </c:spPr>
    </c:plotArea>
    <c:plotVisOnly val="1"/>
    <c:dispBlanksAs val="gap"/>
    <c:showDLblsOverMax val="0"/>
  </c:chart>
  <c:spPr>
    <a:noFill/>
    <a:ln w="6350" cap="flat" cmpd="sng" algn="ctr">
      <a:noFill/>
      <a:prstDash val="solid"/>
      <a:round/>
    </a:ln>
  </c:spPr>
  <c:txPr>
    <a:bodyPr/>
    <a:lstStyle/>
    <a:p>
      <a:pPr>
        <a:defRPr lang="zh-CN" sz="67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000">
                <a:solidFill>
                  <a:srgbClr val="000000"/>
                </a:solidFill>
                <a:uFillTx/>
              </a:rPr>
              <a:t>收入决算</a:t>
            </a:r>
            <a:r>
              <a:rPr lang="zh-CN" altLang="en-US" sz="1000">
                <a:solidFill>
                  <a:srgbClr val="000000"/>
                </a:solidFill>
                <a:uFillTx/>
                <a:latin typeface="宋体" panose="02010600030101010101" charset="-122"/>
              </a:rPr>
              <a:t>结构</a:t>
            </a:r>
            <a:r>
              <a:rPr lang="zh-CN" altLang="en-US" sz="1000">
                <a:solidFill>
                  <a:srgbClr val="000000"/>
                </a:solidFill>
                <a:uFillTx/>
              </a:rPr>
              <a:t>图</a:t>
            </a:r>
          </a:p>
        </c:rich>
      </c:tx>
      <c:layout>
        <c:manualLayout>
          <c:xMode val="edge"/>
          <c:yMode val="edge"/>
          <c:x val="0.387300409638695"/>
          <c:y val="2.9409933095113399E-2"/>
        </c:manualLayout>
      </c:layout>
      <c:overlay val="0"/>
      <c:spPr>
        <a:noFill/>
        <a:ln w="19019">
          <a:noFill/>
        </a:ln>
      </c:spPr>
    </c:title>
    <c:autoTitleDeleted val="0"/>
    <c:plotArea>
      <c:layout>
        <c:manualLayout>
          <c:layoutTarget val="inner"/>
          <c:xMode val="edge"/>
          <c:yMode val="edge"/>
          <c:x val="0.27330983659083602"/>
          <c:y val="0.256434699714013"/>
          <c:w val="0.30230695289971199"/>
          <c:h val="0.59961868446139199"/>
        </c:manualLayout>
      </c:layout>
      <c:pieChart>
        <c:varyColors val="1"/>
        <c:ser>
          <c:idx val="0"/>
          <c:order val="0"/>
          <c:tx>
            <c:strRef>
              <c:f>Sheet1!$A$2</c:f>
              <c:strCache>
                <c:ptCount val="1"/>
              </c:strCache>
            </c:strRef>
          </c:tx>
          <c:spPr>
            <a:solidFill>
              <a:srgbClr val="9999FF"/>
            </a:solidFill>
            <a:ln w="9510">
              <a:solidFill>
                <a:srgbClr val="000000"/>
              </a:solidFill>
              <a:prstDash val="solid"/>
            </a:ln>
          </c:spPr>
          <c:dPt>
            <c:idx val="0"/>
            <c:bubble3D val="0"/>
            <c:explosion val="3"/>
          </c:dPt>
          <c:dLbls>
            <c:dLbl>
              <c:idx val="0"/>
              <c:layout>
                <c:manualLayout>
                  <c:x val="-0.19244284871534401"/>
                  <c:y val="-0.34638568469761499"/>
                </c:manualLayout>
              </c:layout>
              <c:numFmt formatCode="0%" sourceLinked="0"/>
              <c:spPr>
                <a:noFill/>
                <a:ln w="19019">
                  <a:noFill/>
                </a:ln>
                <a:effectLst/>
              </c:spPr>
              <c:txPr>
                <a:bodyPr rot="0" spcFirstLastPara="0" vertOverflow="ellipsis" vert="horz" wrap="square" lIns="38100" tIns="19050" rIns="38100" bIns="19050" anchor="ctr" anchorCtr="1"/>
                <a:lstStyle/>
                <a:p>
                  <a:pPr>
                    <a:defRPr lang="zh-CN" sz="825" b="0" i="0" u="none" strike="noStrike" kern="1200" cap="none"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manualLayout>
                      <c:w val="0.28544478305035598"/>
                      <c:h val="0.18537950332284001"/>
                    </c:manualLayout>
                  </c15:layout>
                </c:ext>
              </c:extLst>
            </c:dLbl>
            <c:numFmt formatCode="0%" sourceLinked="0"/>
            <c:spPr>
              <a:noFill/>
              <a:ln w="19019">
                <a:noFill/>
              </a:ln>
              <a:effectLst/>
            </c:spPr>
            <c:txPr>
              <a:bodyPr rot="0" spcFirstLastPara="0" vertOverflow="ellipsis" vert="horz" wrap="square" lIns="38100" tIns="19050" rIns="38100" bIns="19050" anchor="ctr" anchorCtr="1">
                <a:spAutoFit/>
              </a:bodyPr>
              <a:lstStyle/>
              <a:p>
                <a:pPr>
                  <a:defRPr lang="zh-CN" sz="825"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c:f>
              <c:strCache>
                <c:ptCount val="1"/>
                <c:pt idx="0">
                  <c:v>一般公共预算财政拨款收入</c:v>
                </c:pt>
              </c:strCache>
            </c:strRef>
          </c:cat>
          <c:val>
            <c:numRef>
              <c:f>Sheet1!$B$2</c:f>
              <c:numCache>
                <c:formatCode>General</c:formatCode>
                <c:ptCount val="1"/>
                <c:pt idx="0">
                  <c:v>3541.93</c:v>
                </c:pt>
              </c:numCache>
            </c:numRef>
          </c:val>
        </c:ser>
        <c:dLbls>
          <c:showLegendKey val="0"/>
          <c:showVal val="1"/>
          <c:showCatName val="1"/>
          <c:showSerName val="0"/>
          <c:showPercent val="1"/>
          <c:showBubbleSize val="0"/>
          <c:showLeaderLines val="1"/>
        </c:dLbls>
        <c:firstSliceAng val="0"/>
      </c:pieChart>
      <c:spPr>
        <a:solidFill>
          <a:srgbClr val="C0C0C0"/>
        </a:solidFill>
        <a:ln w="9510">
          <a:solidFill>
            <a:srgbClr val="808080"/>
          </a:solidFill>
          <a:prstDash val="solid"/>
        </a:ln>
      </c:spPr>
    </c:plotArea>
    <c:legend>
      <c:legendPos val="r"/>
      <c:legendEntry>
        <c:idx val="0"/>
        <c:txPr>
          <a:bodyPr rot="0" spcFirstLastPara="0" vertOverflow="ellipsis" vert="horz" wrap="square" anchor="ctr" anchorCtr="1"/>
          <a:lstStyle/>
          <a:p>
            <a:pPr>
              <a:defRPr lang="zh-CN" sz="8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0.62390438247011903"/>
          <c:y val="0.40909090909090901"/>
          <c:w val="0.30610889774236399"/>
          <c:h val="0.183098591549296"/>
        </c:manualLayout>
      </c:layout>
      <c:overlay val="0"/>
      <c:spPr>
        <a:noFill/>
        <a:ln w="2377">
          <a:solidFill>
            <a:srgbClr val="000000"/>
          </a:solidFill>
          <a:prstDash val="solid"/>
        </a:ln>
      </c:spPr>
      <c:txPr>
        <a:bodyPr rot="0" spcFirstLastPara="0" vertOverflow="ellipsis" vert="horz" wrap="square" anchor="ctr" anchorCtr="1"/>
        <a:lstStyle/>
        <a:p>
          <a:pPr>
            <a:defRPr lang="zh-CN" sz="8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6350" cap="flat" cmpd="sng" algn="ctr">
      <a:noFill/>
      <a:prstDash val="solid"/>
      <a:round/>
    </a:ln>
  </c:spPr>
  <c:txPr>
    <a:bodyPr/>
    <a:lstStyle/>
    <a:p>
      <a:pPr>
        <a:defRPr lang="zh-CN" sz="114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000"/>
              <a:t>支出决算结构图</a:t>
            </a:r>
          </a:p>
        </c:rich>
      </c:tx>
      <c:layout>
        <c:manualLayout>
          <c:xMode val="edge"/>
          <c:yMode val="edge"/>
          <c:x val="0.45522195962314299"/>
          <c:y val="0.12227786691022099"/>
        </c:manualLayout>
      </c:layout>
      <c:overlay val="0"/>
      <c:spPr>
        <a:noFill/>
        <a:ln w="19016">
          <a:noFill/>
        </a:ln>
      </c:spPr>
    </c:title>
    <c:autoTitleDeleted val="0"/>
    <c:plotArea>
      <c:layout>
        <c:manualLayout>
          <c:layoutTarget val="inner"/>
          <c:xMode val="edge"/>
          <c:yMode val="edge"/>
          <c:x val="0.439971024595051"/>
          <c:y val="0.33404580152671798"/>
          <c:w val="0.229704445717029"/>
          <c:h val="0.58530796931560303"/>
        </c:manualLayout>
      </c:layout>
      <c:pieChart>
        <c:varyColors val="1"/>
        <c:ser>
          <c:idx val="0"/>
          <c:order val="0"/>
          <c:tx>
            <c:strRef>
              <c:f>Sheet1!$A$2</c:f>
              <c:strCache>
                <c:ptCount val="1"/>
              </c:strCache>
            </c:strRef>
          </c:tx>
          <c:spPr>
            <a:solidFill>
              <a:srgbClr val="9999FF"/>
            </a:solidFill>
            <a:ln w="9508">
              <a:solidFill>
                <a:srgbClr val="000000"/>
              </a:solidFill>
              <a:prstDash val="solid"/>
            </a:ln>
          </c:spPr>
          <c:dPt>
            <c:idx val="0"/>
            <c:bubble3D val="0"/>
          </c:dPt>
          <c:dPt>
            <c:idx val="1"/>
            <c:bubble3D val="0"/>
            <c:spPr>
              <a:solidFill>
                <a:srgbClr val="993366"/>
              </a:solidFill>
              <a:ln w="9508">
                <a:solidFill>
                  <a:srgbClr val="000000"/>
                </a:solidFill>
                <a:prstDash val="solid"/>
              </a:ln>
            </c:spPr>
          </c:dPt>
          <c:dLbls>
            <c:dLbl>
              <c:idx val="0"/>
              <c:layout>
                <c:manualLayout>
                  <c:x val="1.8232394762397599E-2"/>
                  <c:y val="6.93227551101568E-2"/>
                </c:manualLayout>
              </c:layout>
              <c:tx>
                <c:rich>
                  <a:bodyPr rot="0" spcFirstLastPara="0" vertOverflow="ellipsis" vert="horz" wrap="square" lIns="38100" tIns="19050" rIns="38100" bIns="19050" anchor="ctr" anchorCtr="1"/>
                  <a:lstStyle/>
                  <a:p>
                    <a:pPr defTabSz="914400">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基本支出</a:t>
                    </a:r>
                    <a:r>
                      <a:rPr lang="en-US" altLang="zh-CN"/>
                      <a:t>, 3012.59</a:t>
                    </a:r>
                    <a:r>
                      <a:rPr lang="zh-CN" altLang="en-US"/>
                      <a:t>万元</a:t>
                    </a:r>
                    <a:r>
                      <a:rPr lang="en-US" altLang="zh-CN"/>
                      <a:t>, 60%</a:t>
                    </a:r>
                  </a:p>
                </c:rich>
              </c:tx>
              <c:numFmt formatCode="0%" sourceLinked="0"/>
              <c:spPr>
                <a:noFill/>
                <a:ln w="19016">
                  <a:noFill/>
                </a:ln>
                <a:effectLst/>
              </c:spPr>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4.7915204762499899E-2"/>
                  <c:y val="1.6032280683264101E-2"/>
                </c:manualLayout>
              </c:layout>
              <c:tx>
                <c:rich>
                  <a:bodyPr rot="0" spcFirstLastPara="0" vertOverflow="ellipsis" vert="horz" wrap="square" lIns="38100" tIns="19050" rIns="38100" bIns="19050" anchor="ctr" anchorCtr="1"/>
                  <a:lstStyle/>
                  <a:p>
                    <a:pPr defTabSz="914400">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项目支出</a:t>
                    </a:r>
                    <a:r>
                      <a:rPr lang="en-US" altLang="zh-CN"/>
                      <a:t>, 2028.05</a:t>
                    </a:r>
                    <a:r>
                      <a:rPr lang="zh-CN" altLang="en-US"/>
                      <a:t>万元</a:t>
                    </a:r>
                    <a:r>
                      <a:rPr lang="en-US" altLang="zh-CN"/>
                      <a:t>, 40%</a:t>
                    </a:r>
                  </a:p>
                </c:rich>
              </c:tx>
              <c:numFmt formatCode="0%" sourceLinked="0"/>
              <c:spPr>
                <a:noFill/>
                <a:ln w="19016">
                  <a:noFill/>
                </a:ln>
                <a:effectLst/>
              </c:spPr>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 sourceLinked="0"/>
            <c:spPr>
              <a:noFill/>
              <a:ln w="19016">
                <a:noFill/>
              </a:ln>
              <a:effectLst/>
            </c:spPr>
            <c:txPr>
              <a:bodyPr rot="0" spcFirstLastPara="0" vertOverflow="ellipsis" vert="horz" wrap="square" lIns="38100" tIns="19050" rIns="38100" bIns="19050" anchor="ctr" anchorCtr="1">
                <a:spAutoFit/>
              </a:bodyPr>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Sheet1!$B$1:$C$1</c:f>
              <c:strCache>
                <c:ptCount val="2"/>
                <c:pt idx="0">
                  <c:v>基本支出</c:v>
                </c:pt>
                <c:pt idx="1">
                  <c:v>项目支出</c:v>
                </c:pt>
              </c:strCache>
            </c:strRef>
          </c:cat>
          <c:val>
            <c:numRef>
              <c:f>Sheet1!$B$2:$C$2</c:f>
              <c:numCache>
                <c:formatCode>General</c:formatCode>
                <c:ptCount val="2"/>
                <c:pt idx="0">
                  <c:v>3012.59</c:v>
                </c:pt>
                <c:pt idx="1">
                  <c:v>2028.05</c:v>
                </c:pt>
              </c:numCache>
            </c:numRef>
          </c:val>
        </c:ser>
        <c:dLbls>
          <c:showLegendKey val="0"/>
          <c:showVal val="1"/>
          <c:showCatName val="1"/>
          <c:showSerName val="0"/>
          <c:showPercent val="1"/>
          <c:showBubbleSize val="0"/>
          <c:showLeaderLines val="1"/>
        </c:dLbls>
        <c:firstSliceAng val="0"/>
      </c:pieChart>
      <c:spPr>
        <a:solidFill>
          <a:srgbClr val="C0C0C0"/>
        </a:solidFill>
        <a:ln w="9508">
          <a:solidFill>
            <a:srgbClr val="808080"/>
          </a:solidFill>
          <a:prstDash val="solid"/>
        </a:ln>
      </c:spPr>
    </c:plotArea>
    <c:legend>
      <c:legendPos val="r"/>
      <c:layout>
        <c:manualLayout>
          <c:xMode val="edge"/>
          <c:yMode val="edge"/>
          <c:x val="0.78850574712643695"/>
          <c:y val="0.48031496062992302"/>
          <c:w val="0.202298850574713"/>
          <c:h val="0.169291338582677"/>
        </c:manualLayout>
      </c:layout>
      <c:overlay val="0"/>
      <c:spPr>
        <a:noFill/>
        <a:ln w="2377">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6350"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000">
                <a:solidFill>
                  <a:srgbClr val="000000"/>
                </a:solidFill>
                <a:uFillTx/>
                <a:latin typeface="宋体" panose="02010600030101010101" charset="-122"/>
              </a:rPr>
              <a:t>财政拨款收、支决算总计变动变动情况图</a:t>
            </a:r>
          </a:p>
        </c:rich>
      </c:tx>
      <c:layout>
        <c:manualLayout>
          <c:xMode val="edge"/>
          <c:yMode val="edge"/>
          <c:x val="0.297731407169609"/>
          <c:y val="2.3683924888744198E-2"/>
        </c:manualLayout>
      </c:layout>
      <c:overlay val="0"/>
      <c:spPr>
        <a:noFill/>
        <a:ln w="19024">
          <a:noFill/>
        </a:ln>
      </c:spPr>
    </c:title>
    <c:autoTitleDeleted val="0"/>
    <c:plotArea>
      <c:layout>
        <c:manualLayout>
          <c:layoutTarget val="inner"/>
          <c:xMode val="edge"/>
          <c:yMode val="edge"/>
          <c:x val="0.185593008739076"/>
          <c:y val="0.23672641190395699"/>
          <c:w val="0.75298377028714103"/>
          <c:h val="0.431653703077444"/>
        </c:manualLayout>
      </c:layout>
      <c:barChart>
        <c:barDir val="col"/>
        <c:grouping val="clustered"/>
        <c:varyColors val="0"/>
        <c:ser>
          <c:idx val="0"/>
          <c:order val="0"/>
          <c:tx>
            <c:strRef>
              <c:f>Sheet1!$A$2</c:f>
              <c:strCache>
                <c:ptCount val="1"/>
              </c:strCache>
            </c:strRef>
          </c:tx>
          <c:spPr>
            <a:solidFill>
              <a:srgbClr val="9999FF"/>
            </a:solidFill>
            <a:ln w="9512">
              <a:solidFill>
                <a:srgbClr val="000000"/>
              </a:solidFill>
              <a:prstDash val="solid"/>
            </a:ln>
          </c:spPr>
          <c:invertIfNegative val="0"/>
          <c:dLbls>
            <c:spPr>
              <a:noFill/>
              <a:ln w="19024">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2021年</c:v>
                </c:pt>
                <c:pt idx="1">
                  <c:v>2022年</c:v>
                </c:pt>
              </c:strCache>
            </c:strRef>
          </c:cat>
          <c:val>
            <c:numRef>
              <c:f>Sheet1!$B$2:$C$2</c:f>
              <c:numCache>
                <c:formatCode>General</c:formatCode>
                <c:ptCount val="2"/>
                <c:pt idx="0">
                  <c:v>5147.24</c:v>
                </c:pt>
                <c:pt idx="1">
                  <c:v>5040.6400000000003</c:v>
                </c:pt>
              </c:numCache>
            </c:numRef>
          </c:val>
        </c:ser>
        <c:dLbls>
          <c:showLegendKey val="0"/>
          <c:showVal val="1"/>
          <c:showCatName val="1"/>
          <c:showSerName val="0"/>
          <c:showPercent val="0"/>
          <c:showBubbleSize val="0"/>
        </c:dLbls>
        <c:gapWidth val="150"/>
        <c:axId val="170156496"/>
        <c:axId val="170260712"/>
      </c:barChart>
      <c:catAx>
        <c:axId val="170156496"/>
        <c:scaling>
          <c:orientation val="minMax"/>
        </c:scaling>
        <c:delete val="0"/>
        <c:axPos val="b"/>
        <c:title>
          <c:tx>
            <c:rich>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年份</a:t>
                </a:r>
              </a:p>
            </c:rich>
          </c:tx>
          <c:layout>
            <c:manualLayout>
              <c:xMode val="edge"/>
              <c:yMode val="edge"/>
              <c:x val="0.52993401105760696"/>
              <c:y val="0.78709655554226998"/>
            </c:manualLayout>
          </c:layout>
          <c:overlay val="0"/>
          <c:spPr>
            <a:noFill/>
            <a:ln w="19024">
              <a:noFill/>
            </a:ln>
          </c:spPr>
        </c:title>
        <c:numFmt formatCode="General" sourceLinked="1"/>
        <c:majorTickMark val="in"/>
        <c:minorTickMark val="none"/>
        <c:tickLblPos val="nextTo"/>
        <c:spPr>
          <a:ln w="2378"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70260712"/>
        <c:crosses val="autoZero"/>
        <c:auto val="1"/>
        <c:lblAlgn val="ctr"/>
        <c:lblOffset val="100"/>
        <c:tickLblSkip val="1"/>
        <c:noMultiLvlLbl val="0"/>
      </c:catAx>
      <c:valAx>
        <c:axId val="170260712"/>
        <c:scaling>
          <c:orientation val="minMax"/>
        </c:scaling>
        <c:delete val="0"/>
        <c:axPos val="l"/>
        <c:majorGridlines>
          <c:spPr>
            <a:ln w="2378" cap="flat" cmpd="sng" algn="ctr">
              <a:solidFill>
                <a:srgbClr val="000000"/>
              </a:solidFill>
              <a:prstDash val="solid"/>
              <a:round/>
            </a:ln>
          </c:spPr>
        </c:majorGridlines>
        <c:title>
          <c:tx>
            <c:rich>
              <a:bodyPr rot="-540000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金额</a:t>
                </a:r>
                <a:r>
                  <a:rPr lang="en-US" altLang="zh-CN"/>
                  <a:t>/</a:t>
                </a:r>
                <a:r>
                  <a:rPr lang="zh-CN" altLang="en-US"/>
                  <a:t>万元</a:t>
                </a:r>
              </a:p>
            </c:rich>
          </c:tx>
          <c:layout>
            <c:manualLayout>
              <c:xMode val="edge"/>
              <c:yMode val="edge"/>
              <c:x val="6.0902443374353597E-2"/>
              <c:y val="0.25239705831603398"/>
            </c:manualLayout>
          </c:layout>
          <c:overlay val="0"/>
          <c:spPr>
            <a:noFill/>
            <a:ln w="19024">
              <a:noFill/>
            </a:ln>
          </c:spPr>
        </c:title>
        <c:numFmt formatCode="General" sourceLinked="1"/>
        <c:majorTickMark val="in"/>
        <c:minorTickMark val="none"/>
        <c:tickLblPos val="nextTo"/>
        <c:spPr>
          <a:ln w="2378"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70156496"/>
        <c:crosses val="autoZero"/>
        <c:crossBetween val="between"/>
      </c:valAx>
      <c:spPr>
        <a:solidFill>
          <a:srgbClr val="C0C0C0"/>
        </a:solidFill>
        <a:ln w="19024">
          <a:noFill/>
        </a:ln>
      </c:spPr>
    </c:plotArea>
    <c:plotVisOnly val="1"/>
    <c:dispBlanksAs val="gap"/>
    <c:showDLblsOverMax val="0"/>
  </c:chart>
  <c:spPr>
    <a:noFill/>
    <a:ln w="6350"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000"/>
              <a:t>一般公共预算财政拨款支出决算总体情况图</a:t>
            </a:r>
          </a:p>
        </c:rich>
      </c:tx>
      <c:layout>
        <c:manualLayout>
          <c:xMode val="edge"/>
          <c:yMode val="edge"/>
          <c:x val="0.27433985817789802"/>
          <c:y val="2.7722712530432E-2"/>
        </c:manualLayout>
      </c:layout>
      <c:overlay val="0"/>
      <c:spPr>
        <a:noFill/>
        <a:ln w="19021">
          <a:noFill/>
        </a:ln>
      </c:spPr>
    </c:title>
    <c:autoTitleDeleted val="0"/>
    <c:plotArea>
      <c:layout>
        <c:manualLayout>
          <c:layoutTarget val="inner"/>
          <c:xMode val="edge"/>
          <c:yMode val="edge"/>
          <c:x val="0.16375854100652601"/>
          <c:y val="0.23899156220835499"/>
          <c:w val="0.81573498964803304"/>
          <c:h val="0.49568965517241398"/>
        </c:manualLayout>
      </c:layout>
      <c:barChart>
        <c:barDir val="col"/>
        <c:grouping val="clustered"/>
        <c:varyColors val="0"/>
        <c:ser>
          <c:idx val="0"/>
          <c:order val="0"/>
          <c:tx>
            <c:strRef>
              <c:f>Sheet1!$A$2</c:f>
              <c:strCache>
                <c:ptCount val="1"/>
              </c:strCache>
            </c:strRef>
          </c:tx>
          <c:spPr>
            <a:solidFill>
              <a:srgbClr val="9999FF"/>
            </a:solidFill>
            <a:ln w="9511">
              <a:solidFill>
                <a:srgbClr val="000000"/>
              </a:solidFill>
              <a:prstDash val="solid"/>
            </a:ln>
          </c:spPr>
          <c:invertIfNegative val="0"/>
          <c:dLbls>
            <c:spPr>
              <a:noFill/>
              <a:ln w="19021">
                <a:noFill/>
              </a:ln>
              <a:effectLst/>
            </c:spPr>
            <c:txPr>
              <a:bodyPr rot="0" spcFirstLastPara="0" vertOverflow="ellipsis" vert="horz" wrap="square" lIns="38100" tIns="19050" rIns="38100" bIns="19050" anchor="ctr" anchorCtr="1">
                <a:spAutoFit/>
              </a:bodyPr>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2021年</c:v>
                </c:pt>
                <c:pt idx="1">
                  <c:v>2022年</c:v>
                </c:pt>
              </c:strCache>
            </c:strRef>
          </c:cat>
          <c:val>
            <c:numRef>
              <c:f>Sheet1!$B$2:$C$2</c:f>
              <c:numCache>
                <c:formatCode>General</c:formatCode>
                <c:ptCount val="2"/>
                <c:pt idx="0">
                  <c:v>5147.24</c:v>
                </c:pt>
                <c:pt idx="1">
                  <c:v>5040.6400000000003</c:v>
                </c:pt>
              </c:numCache>
            </c:numRef>
          </c:val>
        </c:ser>
        <c:dLbls>
          <c:showLegendKey val="0"/>
          <c:showVal val="1"/>
          <c:showCatName val="1"/>
          <c:showSerName val="0"/>
          <c:showPercent val="0"/>
          <c:showBubbleSize val="0"/>
        </c:dLbls>
        <c:gapWidth val="150"/>
        <c:axId val="170174024"/>
        <c:axId val="170174408"/>
      </c:barChart>
      <c:catAx>
        <c:axId val="170174024"/>
        <c:scaling>
          <c:orientation val="minMax"/>
        </c:scaling>
        <c:delete val="0"/>
        <c:axPos val="b"/>
        <c:title>
          <c:tx>
            <c:rich>
              <a:bodyPr rot="0" spcFirstLastPara="0" vertOverflow="ellipsis" vert="horz" wrap="square" anchor="ctr" anchorCtr="1"/>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年份</a:t>
                </a:r>
              </a:p>
            </c:rich>
          </c:tx>
          <c:layout>
            <c:manualLayout>
              <c:xMode val="edge"/>
              <c:yMode val="edge"/>
              <c:x val="0.53810481303074098"/>
              <c:y val="0.813699125916717"/>
            </c:manualLayout>
          </c:layout>
          <c:overlay val="0"/>
          <c:spPr>
            <a:noFill/>
            <a:ln w="19021">
              <a:noFill/>
            </a:ln>
          </c:spPr>
        </c:title>
        <c:numFmt formatCode="General" sourceLinked="1"/>
        <c:majorTickMark val="in"/>
        <c:minorTickMark val="none"/>
        <c:tickLblPos val="nextTo"/>
        <c:spPr>
          <a:ln w="2378" cap="flat" cmpd="sng" algn="ctr">
            <a:solidFill>
              <a:srgbClr val="000000"/>
            </a:solidFill>
            <a:prstDash val="solid"/>
            <a:round/>
          </a:ln>
        </c:spPr>
        <c:txPr>
          <a:bodyPr rot="0" spcFirstLastPara="0" vertOverflow="ellipsis" vert="horz" wrap="square" anchor="ctr" anchorCtr="1"/>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70174408"/>
        <c:crosses val="autoZero"/>
        <c:auto val="1"/>
        <c:lblAlgn val="ctr"/>
        <c:lblOffset val="100"/>
        <c:tickLblSkip val="1"/>
        <c:noMultiLvlLbl val="0"/>
      </c:catAx>
      <c:valAx>
        <c:axId val="170174408"/>
        <c:scaling>
          <c:orientation val="minMax"/>
        </c:scaling>
        <c:delete val="0"/>
        <c:axPos val="l"/>
        <c:majorGridlines>
          <c:spPr>
            <a:ln w="2378" cap="flat" cmpd="sng" algn="ctr">
              <a:solidFill>
                <a:srgbClr val="000000"/>
              </a:solidFill>
              <a:prstDash val="solid"/>
              <a:round/>
            </a:ln>
          </c:spPr>
        </c:majorGridlines>
        <c:title>
          <c:tx>
            <c:rich>
              <a:bodyPr rot="-5400000" spcFirstLastPara="0" vertOverflow="ellipsis" vert="horz" wrap="square" anchor="ctr" anchorCtr="1"/>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金额</a:t>
                </a:r>
                <a:r>
                  <a:rPr lang="en-US" altLang="zh-CN"/>
                  <a:t>/</a:t>
                </a:r>
                <a:r>
                  <a:rPr lang="zh-CN" altLang="en-US"/>
                  <a:t>万元</a:t>
                </a:r>
              </a:p>
            </c:rich>
          </c:tx>
          <c:layout>
            <c:manualLayout>
              <c:xMode val="edge"/>
              <c:yMode val="edge"/>
              <c:x val="3.2813504399332498E-2"/>
              <c:y val="0.32220234222511401"/>
            </c:manualLayout>
          </c:layout>
          <c:overlay val="0"/>
          <c:spPr>
            <a:noFill/>
            <a:ln w="19021">
              <a:noFill/>
            </a:ln>
          </c:spPr>
        </c:title>
        <c:numFmt formatCode="General" sourceLinked="1"/>
        <c:majorTickMark val="in"/>
        <c:minorTickMark val="none"/>
        <c:tickLblPos val="nextTo"/>
        <c:spPr>
          <a:ln w="2378" cap="flat" cmpd="sng" algn="ctr">
            <a:solidFill>
              <a:srgbClr val="000000"/>
            </a:solidFill>
            <a:prstDash val="solid"/>
            <a:round/>
          </a:ln>
        </c:spPr>
        <c:txPr>
          <a:bodyPr rot="0" spcFirstLastPara="0" vertOverflow="ellipsis" vert="horz" wrap="square" anchor="ctr" anchorCtr="1"/>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70174024"/>
        <c:crosses val="autoZero"/>
        <c:crossBetween val="between"/>
      </c:valAx>
      <c:spPr>
        <a:solidFill>
          <a:srgbClr val="C0C0C0"/>
        </a:solidFill>
        <a:ln w="9511">
          <a:solidFill>
            <a:srgbClr val="808080"/>
          </a:solidFill>
          <a:prstDash val="solid"/>
        </a:ln>
      </c:spPr>
    </c:plotArea>
    <c:plotVisOnly val="1"/>
    <c:dispBlanksAs val="gap"/>
    <c:showDLblsOverMax val="0"/>
  </c:chart>
  <c:spPr>
    <a:noFill/>
    <a:ln w="6350" cap="flat" cmpd="sng" algn="ctr">
      <a:noFill/>
      <a:prstDash val="solid"/>
      <a:round/>
    </a:ln>
  </c:spPr>
  <c:txPr>
    <a:bodyPr/>
    <a:lstStyle/>
    <a:p>
      <a:pPr>
        <a:defRPr lang="zh-CN" sz="86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000"/>
              <a:t>一般公共预算财政拨款支出决算结构图</a:t>
            </a:r>
          </a:p>
        </c:rich>
      </c:tx>
      <c:layout>
        <c:manualLayout>
          <c:xMode val="edge"/>
          <c:yMode val="edge"/>
          <c:x val="0.307519777262178"/>
          <c:y val="4.41217929117141E-2"/>
        </c:manualLayout>
      </c:layout>
      <c:overlay val="0"/>
      <c:spPr>
        <a:noFill/>
        <a:ln w="19014">
          <a:noFill/>
        </a:ln>
      </c:spPr>
    </c:title>
    <c:autoTitleDeleted val="0"/>
    <c:plotArea>
      <c:layout>
        <c:manualLayout>
          <c:layoutTarget val="inner"/>
          <c:xMode val="edge"/>
          <c:yMode val="edge"/>
          <c:x val="0.19242723933314501"/>
          <c:y val="0.269593785156444"/>
          <c:w val="0.32372790841867799"/>
          <c:h val="0.53398884544101599"/>
        </c:manualLayout>
      </c:layout>
      <c:pieChart>
        <c:varyColors val="1"/>
        <c:ser>
          <c:idx val="0"/>
          <c:order val="0"/>
          <c:tx>
            <c:strRef>
              <c:f>Sheet1!$A$2</c:f>
              <c:strCache>
                <c:ptCount val="1"/>
              </c:strCache>
            </c:strRef>
          </c:tx>
          <c:spPr>
            <a:solidFill>
              <a:srgbClr val="9999FF"/>
            </a:solidFill>
            <a:ln w="9507">
              <a:solidFill>
                <a:srgbClr val="000000"/>
              </a:solidFill>
              <a:prstDash val="solid"/>
            </a:ln>
          </c:spPr>
          <c:dPt>
            <c:idx val="0"/>
            <c:bubble3D val="0"/>
          </c:dPt>
          <c:dPt>
            <c:idx val="1"/>
            <c:bubble3D val="0"/>
            <c:spPr>
              <a:solidFill>
                <a:srgbClr val="993366"/>
              </a:solidFill>
              <a:ln w="9507">
                <a:solidFill>
                  <a:srgbClr val="000000"/>
                </a:solidFill>
                <a:prstDash val="solid"/>
              </a:ln>
            </c:spPr>
          </c:dPt>
          <c:dPt>
            <c:idx val="2"/>
            <c:bubble3D val="0"/>
            <c:spPr>
              <a:solidFill>
                <a:srgbClr val="FFFFCC"/>
              </a:solidFill>
              <a:ln w="9507">
                <a:solidFill>
                  <a:srgbClr val="000000"/>
                </a:solidFill>
                <a:prstDash val="solid"/>
              </a:ln>
            </c:spPr>
          </c:dPt>
          <c:dPt>
            <c:idx val="3"/>
            <c:bubble3D val="0"/>
            <c:spPr>
              <a:solidFill>
                <a:srgbClr val="CCFFFF"/>
              </a:solidFill>
              <a:ln w="9507">
                <a:solidFill>
                  <a:srgbClr val="000000"/>
                </a:solidFill>
                <a:prstDash val="solid"/>
              </a:ln>
            </c:spPr>
          </c:dPt>
          <c:dLbls>
            <c:numFmt formatCode="0%" sourceLinked="0"/>
            <c:spPr>
              <a:noFill/>
              <a:ln w="19014">
                <a:noFill/>
              </a:ln>
              <a:effectLst/>
            </c:spPr>
            <c:txPr>
              <a:bodyPr rot="0" spcFirstLastPara="0" vertOverflow="ellipsis" vert="horz" wrap="square" lIns="38100" tIns="19050" rIns="38100" bIns="19050" anchor="ctr" anchorCtr="1">
                <a:spAutoFit/>
              </a:bodyPr>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ext>
            </c:extLst>
          </c:dLbls>
          <c:cat>
            <c:strRef>
              <c:f>Sheet1!$B$1:$E$1</c:f>
              <c:strCache>
                <c:ptCount val="4"/>
                <c:pt idx="0">
                  <c:v>一般公共服务（类）支出</c:v>
                </c:pt>
                <c:pt idx="1">
                  <c:v>社会保障和就业（类）支出</c:v>
                </c:pt>
                <c:pt idx="2">
                  <c:v>住房保障支出</c:v>
                </c:pt>
                <c:pt idx="3">
                  <c:v>城乡社区支出</c:v>
                </c:pt>
              </c:strCache>
            </c:strRef>
          </c:cat>
          <c:val>
            <c:numRef>
              <c:f>Sheet1!$B$2:$E$2</c:f>
              <c:numCache>
                <c:formatCode>General</c:formatCode>
                <c:ptCount val="4"/>
                <c:pt idx="0">
                  <c:v>3248.84</c:v>
                </c:pt>
                <c:pt idx="1">
                  <c:v>423.63</c:v>
                </c:pt>
                <c:pt idx="2">
                  <c:v>241.75</c:v>
                </c:pt>
                <c:pt idx="3">
                  <c:v>1126.42</c:v>
                </c:pt>
              </c:numCache>
            </c:numRef>
          </c:val>
        </c:ser>
        <c:dLbls>
          <c:showLegendKey val="0"/>
          <c:showVal val="1"/>
          <c:showCatName val="0"/>
          <c:showSerName val="0"/>
          <c:showPercent val="1"/>
          <c:showBubbleSize val="0"/>
          <c:showLeaderLines val="1"/>
        </c:dLbls>
        <c:firstSliceAng val="0"/>
      </c:pieChart>
      <c:spPr>
        <a:solidFill>
          <a:srgbClr val="C0C0C0"/>
        </a:solidFill>
        <a:ln w="9507">
          <a:solidFill>
            <a:srgbClr val="808080"/>
          </a:solidFill>
          <a:prstDash val="solid"/>
        </a:ln>
      </c:spPr>
    </c:plotArea>
    <c:legend>
      <c:legendPos val="r"/>
      <c:legendEntry>
        <c:idx val="0"/>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2"/>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3"/>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0.60773140304943896"/>
          <c:y val="0.26993865030674802"/>
          <c:w val="0.38564608039427201"/>
          <c:h val="0.53432661408121496"/>
        </c:manualLayout>
      </c:layout>
      <c:overlay val="0"/>
      <c:spPr>
        <a:noFill/>
        <a:ln w="2377">
          <a:solidFill>
            <a:srgbClr val="000000"/>
          </a:solidFill>
          <a:prstDash val="soli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6350" cap="flat" cmpd="sng" algn="ctr">
      <a:no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2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“三公”经费财政拨款支出结构图</a:t>
            </a:r>
          </a:p>
        </c:rich>
      </c:tx>
      <c:layout>
        <c:manualLayout>
          <c:xMode val="edge"/>
          <c:yMode val="edge"/>
          <c:x val="0.31394750656168002"/>
          <c:y val="5.5278314541395403E-2"/>
        </c:manualLayout>
      </c:layout>
      <c:overlay val="0"/>
      <c:spPr>
        <a:noFill/>
        <a:ln w="18990">
          <a:noFill/>
        </a:ln>
      </c:spPr>
    </c:title>
    <c:autoTitleDeleted val="0"/>
    <c:plotArea>
      <c:layout>
        <c:manualLayout>
          <c:layoutTarget val="inner"/>
          <c:xMode val="edge"/>
          <c:yMode val="edge"/>
          <c:x val="0.38677726181663202"/>
          <c:y val="0.286118980169973"/>
          <c:w val="0.22158983332211701"/>
          <c:h val="0.59791591002639199"/>
        </c:manualLayout>
      </c:layout>
      <c:pieChart>
        <c:varyColors val="1"/>
        <c:ser>
          <c:idx val="0"/>
          <c:order val="0"/>
          <c:tx>
            <c:strRef>
              <c:f>Sheet1!$A$2</c:f>
              <c:strCache>
                <c:ptCount val="1"/>
              </c:strCache>
            </c:strRef>
          </c:tx>
          <c:spPr>
            <a:solidFill>
              <a:srgbClr val="9999FF"/>
            </a:solidFill>
            <a:ln w="9495">
              <a:solidFill>
                <a:srgbClr val="000000"/>
              </a:solidFill>
              <a:prstDash val="solid"/>
            </a:ln>
          </c:spPr>
          <c:dPt>
            <c:idx val="0"/>
            <c:bubble3D val="0"/>
          </c:dPt>
          <c:dPt>
            <c:idx val="1"/>
            <c:bubble3D val="0"/>
            <c:spPr>
              <a:solidFill>
                <a:srgbClr val="993366"/>
              </a:solidFill>
              <a:ln w="9495">
                <a:solidFill>
                  <a:srgbClr val="000000"/>
                </a:solidFill>
                <a:prstDash val="solid"/>
              </a:ln>
            </c:spPr>
          </c:dPt>
          <c:dLbls>
            <c:dLbl>
              <c:idx val="0"/>
              <c:layout>
                <c:manualLayout>
                  <c:x val="-0.24241305364218199"/>
                  <c:y val="-0.12641643059490101"/>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4711286089238802"/>
                      <c:h val="0.25070821529745002"/>
                    </c:manualLayout>
                  </c15:layout>
                </c:ext>
              </c:extLst>
            </c:dLbl>
            <c:dLbl>
              <c:idx val="1"/>
              <c:layout>
                <c:manualLayout>
                  <c:x val="-0.220250989189477"/>
                  <c:y val="8.8942772016489702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 sourceLinked="0"/>
            <c:spPr>
              <a:noFill/>
              <a:ln w="18990">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Sheet1!$B$1:$C$1</c:f>
              <c:strCache>
                <c:ptCount val="2"/>
                <c:pt idx="0">
                  <c:v>公务用车购置及运行维护费支出决算</c:v>
                </c:pt>
                <c:pt idx="1">
                  <c:v>公务接待费支出决算</c:v>
                </c:pt>
              </c:strCache>
            </c:strRef>
          </c:cat>
          <c:val>
            <c:numRef>
              <c:f>Sheet1!$B$2:$C$2</c:f>
              <c:numCache>
                <c:formatCode>General</c:formatCode>
                <c:ptCount val="2"/>
                <c:pt idx="0">
                  <c:v>30.55</c:v>
                </c:pt>
                <c:pt idx="1">
                  <c:v>0.71</c:v>
                </c:pt>
              </c:numCache>
            </c:numRef>
          </c:val>
        </c:ser>
        <c:dLbls>
          <c:showLegendKey val="0"/>
          <c:showVal val="1"/>
          <c:showCatName val="1"/>
          <c:showSerName val="0"/>
          <c:showPercent val="1"/>
          <c:showBubbleSize val="0"/>
          <c:showLeaderLines val="1"/>
        </c:dLbls>
        <c:firstSliceAng val="0"/>
      </c:pieChart>
      <c:spPr>
        <a:solidFill>
          <a:srgbClr val="C0C0C0"/>
        </a:solidFill>
        <a:ln w="9495">
          <a:solidFill>
            <a:srgbClr val="808080"/>
          </a:solidFill>
          <a:prstDash val="solid"/>
        </a:ln>
      </c:spPr>
    </c:plotArea>
    <c:legend>
      <c:legendPos val="r"/>
      <c:legendEntry>
        <c:idx val="0"/>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1"/>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0.68600000000000005"/>
          <c:y val="0.35761589403973498"/>
          <c:w val="0.30599999999999999"/>
          <c:h val="0.31788079470198799"/>
        </c:manualLayout>
      </c:layout>
      <c:overlay val="0"/>
      <c:spPr>
        <a:noFill/>
        <a:ln w="2374">
          <a:solidFill>
            <a:srgbClr val="000000"/>
          </a:solidFill>
          <a:prstDash val="soli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6350" cap="flat" cmpd="sng" algn="ctr">
      <a:noFill/>
      <a:prstDash val="solid"/>
      <a:round/>
    </a:ln>
  </c:spPr>
  <c:txPr>
    <a:bodyPr/>
    <a:lstStyle/>
    <a:p>
      <a:pPr>
        <a:defRPr lang="zh-CN" sz="112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888</Words>
  <Characters>5063</Characters>
  <Application>Microsoft Office Word</Application>
  <DocSecurity>0</DocSecurity>
  <Lines>42</Lines>
  <Paragraphs>11</Paragraphs>
  <ScaleCrop>false</ScaleCrop>
  <Company>四川省财政厅</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赵艳梅</cp:lastModifiedBy>
  <cp:revision>40</cp:revision>
  <cp:lastPrinted>2023-07-31T10:35:00Z</cp:lastPrinted>
  <dcterms:created xsi:type="dcterms:W3CDTF">2023-08-28T00:55:00Z</dcterms:created>
  <dcterms:modified xsi:type="dcterms:W3CDTF">2023-09-13T03:15:00Z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4514A258375A4E2994A29EF64D043BAE_12</vt:lpwstr>
  </property>
</Properties>
</file>